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5A4D7" w14:textId="77777777" w:rsidR="00517A73" w:rsidRDefault="00517A73" w:rsidP="00517A73">
      <w:pPr>
        <w:jc w:val="center"/>
        <w:rPr>
          <w:b/>
        </w:rPr>
      </w:pPr>
      <w:bookmarkStart w:id="0" w:name="_GoBack"/>
      <w:bookmarkEnd w:id="0"/>
    </w:p>
    <w:p w14:paraId="12218A39" w14:textId="6ED15774" w:rsidR="00517A73" w:rsidRPr="00F73C10" w:rsidRDefault="00177227" w:rsidP="005D64D7">
      <w:pPr>
        <w:spacing w:line="480" w:lineRule="auto"/>
        <w:jc w:val="center"/>
        <w:rPr>
          <w:b/>
          <w:sz w:val="28"/>
          <w:szCs w:val="28"/>
        </w:rPr>
      </w:pPr>
      <w:r>
        <w:rPr>
          <w:b/>
          <w:sz w:val="28"/>
          <w:szCs w:val="28"/>
        </w:rPr>
        <w:t>National Study of Individual Chapter 11 Bankruptcies</w:t>
      </w:r>
      <w:r w:rsidR="00DB6C4F" w:rsidRPr="00F70B83">
        <w:rPr>
          <w:b/>
          <w:sz w:val="28"/>
          <w:szCs w:val="28"/>
          <w:vertAlign w:val="superscript"/>
        </w:rPr>
        <w:t>**</w:t>
      </w:r>
      <w:r>
        <w:rPr>
          <w:b/>
          <w:sz w:val="28"/>
          <w:szCs w:val="28"/>
        </w:rPr>
        <w:t xml:space="preserve"> </w:t>
      </w:r>
    </w:p>
    <w:p w14:paraId="54A49E4D" w14:textId="77777777" w:rsidR="00517A73" w:rsidRPr="005308A9" w:rsidRDefault="00517A73" w:rsidP="00517A73">
      <w:pPr>
        <w:rPr>
          <w:b/>
        </w:rPr>
      </w:pPr>
    </w:p>
    <w:p w14:paraId="4A59E0BD" w14:textId="77777777" w:rsidR="00517A73" w:rsidRPr="00782958" w:rsidRDefault="00517A73" w:rsidP="00517A73">
      <w:pPr>
        <w:jc w:val="center"/>
        <w:rPr>
          <w:b/>
          <w:sz w:val="22"/>
          <w:szCs w:val="22"/>
        </w:rPr>
      </w:pPr>
    </w:p>
    <w:p w14:paraId="0C0406CB" w14:textId="77777777" w:rsidR="00517A73" w:rsidRPr="00782958" w:rsidRDefault="00517A73" w:rsidP="00517A73">
      <w:pPr>
        <w:rPr>
          <w:sz w:val="22"/>
          <w:szCs w:val="22"/>
        </w:rPr>
      </w:pPr>
    </w:p>
    <w:p w14:paraId="11854668" w14:textId="77777777" w:rsidR="00517A73" w:rsidRPr="00782958" w:rsidRDefault="00517A73" w:rsidP="00517A73">
      <w:pPr>
        <w:jc w:val="center"/>
        <w:rPr>
          <w:sz w:val="22"/>
          <w:szCs w:val="22"/>
        </w:rPr>
      </w:pPr>
      <w:r w:rsidRPr="00782958">
        <w:rPr>
          <w:sz w:val="22"/>
          <w:szCs w:val="22"/>
        </w:rPr>
        <w:t>Professor Rich</w:t>
      </w:r>
      <w:r>
        <w:rPr>
          <w:sz w:val="22"/>
          <w:szCs w:val="22"/>
        </w:rPr>
        <w:t>ard</w:t>
      </w:r>
      <w:r w:rsidRPr="00782958">
        <w:rPr>
          <w:sz w:val="22"/>
          <w:szCs w:val="22"/>
        </w:rPr>
        <w:t xml:space="preserve"> Hynes</w:t>
      </w:r>
      <w:r>
        <w:rPr>
          <w:sz w:val="22"/>
          <w:szCs w:val="22"/>
        </w:rPr>
        <w:t>, Principal Investigator</w:t>
      </w:r>
    </w:p>
    <w:p w14:paraId="4960A761" w14:textId="03059DE6" w:rsidR="00C15F8B" w:rsidRDefault="00C15F8B" w:rsidP="00517A73">
      <w:pPr>
        <w:jc w:val="center"/>
        <w:rPr>
          <w:bCs/>
          <w:sz w:val="22"/>
          <w:szCs w:val="22"/>
        </w:rPr>
      </w:pPr>
      <w:r>
        <w:rPr>
          <w:bCs/>
          <w:sz w:val="22"/>
          <w:szCs w:val="22"/>
        </w:rPr>
        <w:t>John Allan Love Professor of Law</w:t>
      </w:r>
    </w:p>
    <w:p w14:paraId="09009F95" w14:textId="77777777" w:rsidR="00517A73" w:rsidRDefault="00517A73" w:rsidP="00517A73">
      <w:pPr>
        <w:jc w:val="center"/>
        <w:rPr>
          <w:bCs/>
          <w:sz w:val="22"/>
          <w:szCs w:val="22"/>
        </w:rPr>
      </w:pPr>
      <w:r w:rsidRPr="00782958">
        <w:rPr>
          <w:bCs/>
          <w:sz w:val="22"/>
          <w:szCs w:val="22"/>
        </w:rPr>
        <w:t>University of Virginia School of Law</w:t>
      </w:r>
    </w:p>
    <w:p w14:paraId="63C9C7CD" w14:textId="77777777" w:rsidR="00517A73" w:rsidRDefault="00517A73" w:rsidP="00517A73">
      <w:pPr>
        <w:jc w:val="center"/>
        <w:rPr>
          <w:bCs/>
          <w:sz w:val="22"/>
          <w:szCs w:val="22"/>
        </w:rPr>
      </w:pPr>
    </w:p>
    <w:p w14:paraId="4F02F942" w14:textId="596D7EFE" w:rsidR="00517A73" w:rsidRDefault="00517A73" w:rsidP="00517A73">
      <w:pPr>
        <w:jc w:val="center"/>
        <w:rPr>
          <w:bCs/>
          <w:sz w:val="22"/>
          <w:szCs w:val="22"/>
        </w:rPr>
      </w:pPr>
      <w:r>
        <w:rPr>
          <w:bCs/>
          <w:sz w:val="22"/>
          <w:szCs w:val="22"/>
        </w:rPr>
        <w:t>Professor Anne Lawton</w:t>
      </w:r>
      <w:r w:rsidR="00177227">
        <w:rPr>
          <w:bCs/>
          <w:sz w:val="22"/>
          <w:szCs w:val="22"/>
        </w:rPr>
        <w:t>, Associate Investigator</w:t>
      </w:r>
    </w:p>
    <w:p w14:paraId="4021477F" w14:textId="430FF9A5" w:rsidR="00517A73" w:rsidRDefault="00517A73" w:rsidP="00517A73">
      <w:pPr>
        <w:jc w:val="center"/>
        <w:rPr>
          <w:bCs/>
          <w:sz w:val="22"/>
          <w:szCs w:val="22"/>
        </w:rPr>
      </w:pPr>
      <w:r>
        <w:rPr>
          <w:bCs/>
          <w:sz w:val="22"/>
          <w:szCs w:val="22"/>
        </w:rPr>
        <w:t>Professor of Law</w:t>
      </w:r>
    </w:p>
    <w:p w14:paraId="1542E9CC" w14:textId="56E9142B" w:rsidR="00517A73" w:rsidRPr="00782958" w:rsidRDefault="00517A73" w:rsidP="00517A73">
      <w:pPr>
        <w:jc w:val="center"/>
        <w:rPr>
          <w:sz w:val="22"/>
          <w:szCs w:val="22"/>
        </w:rPr>
      </w:pPr>
      <w:r>
        <w:rPr>
          <w:bCs/>
          <w:sz w:val="22"/>
          <w:szCs w:val="22"/>
        </w:rPr>
        <w:t>Michigan State University</w:t>
      </w:r>
    </w:p>
    <w:p w14:paraId="61163972" w14:textId="77777777" w:rsidR="00517A73" w:rsidRDefault="00517A73" w:rsidP="00BF115B">
      <w:pPr>
        <w:jc w:val="center"/>
        <w:rPr>
          <w:rFonts w:ascii="Times New Roman" w:hAnsi="Times New Roman" w:cs="Times New Roman"/>
          <w:b/>
        </w:rPr>
      </w:pPr>
    </w:p>
    <w:p w14:paraId="55FBC589" w14:textId="77777777" w:rsidR="004E2ADE" w:rsidRPr="00782958" w:rsidRDefault="004E2ADE" w:rsidP="004E2ADE">
      <w:pPr>
        <w:jc w:val="center"/>
        <w:rPr>
          <w:sz w:val="22"/>
          <w:szCs w:val="22"/>
        </w:rPr>
      </w:pPr>
      <w:r w:rsidRPr="00782958">
        <w:rPr>
          <w:sz w:val="22"/>
          <w:szCs w:val="22"/>
        </w:rPr>
        <w:t>Professor Margaret Howard</w:t>
      </w:r>
      <w:r>
        <w:rPr>
          <w:sz w:val="22"/>
          <w:szCs w:val="22"/>
        </w:rPr>
        <w:t>, Reporter</w:t>
      </w:r>
    </w:p>
    <w:p w14:paraId="36D605DE" w14:textId="77777777" w:rsidR="004E2ADE" w:rsidRPr="00782958" w:rsidRDefault="004E2ADE" w:rsidP="004E2ADE">
      <w:pPr>
        <w:jc w:val="center"/>
        <w:rPr>
          <w:sz w:val="22"/>
          <w:szCs w:val="22"/>
        </w:rPr>
      </w:pPr>
      <w:r w:rsidRPr="00782958">
        <w:rPr>
          <w:sz w:val="22"/>
          <w:szCs w:val="22"/>
        </w:rPr>
        <w:t>Law Alumni Association Professor of Law</w:t>
      </w:r>
    </w:p>
    <w:p w14:paraId="4BABDB1B" w14:textId="77777777" w:rsidR="004E2ADE" w:rsidRDefault="004E2ADE" w:rsidP="004E2ADE">
      <w:pPr>
        <w:jc w:val="center"/>
        <w:rPr>
          <w:sz w:val="22"/>
          <w:szCs w:val="22"/>
        </w:rPr>
      </w:pPr>
      <w:r w:rsidRPr="00782958">
        <w:rPr>
          <w:sz w:val="22"/>
          <w:szCs w:val="22"/>
        </w:rPr>
        <w:t xml:space="preserve">Washington and Lee University School of Law </w:t>
      </w:r>
    </w:p>
    <w:p w14:paraId="4B17A379" w14:textId="77777777" w:rsidR="00F70B83" w:rsidRDefault="00F70B83" w:rsidP="004E2ADE">
      <w:pPr>
        <w:jc w:val="center"/>
        <w:rPr>
          <w:sz w:val="22"/>
          <w:szCs w:val="22"/>
        </w:rPr>
      </w:pPr>
    </w:p>
    <w:p w14:paraId="087B4B1A" w14:textId="77777777" w:rsidR="00F70B83" w:rsidRDefault="00F70B83" w:rsidP="00F70B83">
      <w:pPr>
        <w:jc w:val="center"/>
        <w:rPr>
          <w:b/>
          <w:sz w:val="28"/>
          <w:szCs w:val="28"/>
        </w:rPr>
      </w:pPr>
    </w:p>
    <w:p w14:paraId="46B38AD1" w14:textId="77777777" w:rsidR="00F70B83" w:rsidRDefault="00F70B83" w:rsidP="00F70B83">
      <w:pPr>
        <w:jc w:val="center"/>
        <w:rPr>
          <w:b/>
          <w:sz w:val="28"/>
          <w:szCs w:val="28"/>
        </w:rPr>
      </w:pPr>
    </w:p>
    <w:p w14:paraId="3383864D" w14:textId="77777777" w:rsidR="00F70B83" w:rsidRDefault="00F70B83" w:rsidP="00F70B83">
      <w:pPr>
        <w:jc w:val="center"/>
        <w:rPr>
          <w:b/>
          <w:sz w:val="28"/>
          <w:szCs w:val="28"/>
        </w:rPr>
      </w:pPr>
      <w:r>
        <w:rPr>
          <w:b/>
          <w:sz w:val="28"/>
          <w:szCs w:val="28"/>
        </w:rPr>
        <w:t>Abstract</w:t>
      </w:r>
    </w:p>
    <w:p w14:paraId="57C3FF3A" w14:textId="77777777" w:rsidR="00F70B83" w:rsidRDefault="00F70B83" w:rsidP="00F70B83">
      <w:pPr>
        <w:jc w:val="center"/>
        <w:rPr>
          <w:b/>
          <w:sz w:val="28"/>
          <w:szCs w:val="28"/>
        </w:rPr>
      </w:pPr>
    </w:p>
    <w:p w14:paraId="15234A4F" w14:textId="77777777" w:rsidR="00F70B83" w:rsidRDefault="00F70B83" w:rsidP="00F70B83">
      <w:r>
        <w:t xml:space="preserve">Individuals account for more than a quarter of chapter 11 bankruptcy filings, and this share has grown over time. For individuals, chapter 11 is more expensive and complicated than the much more common chapter 13 because the applicable rules are a hybrid of those that apply in chapter 13 and those that apply to entities in chapter 11. Some debtors may be forced into chapter 11 by chapter 13’s debt limits, but many debtors who are eligible for chapter 13 choose chapter 11. Perhaps the hybrid nature of individual chapter 11 cases is justified because the individuals who use chapter 11 look like a blend of the typical chapter 13 debtor and a small business: they have much greater assets, debts, income and expenses, and the overwhelming majority are operating some type of business. Real estate also plays a significant role in chapter 11. We find that more than a third of individual chapter 11 debtors confirm a plan and avoid dismissal or conversion for at least 881 days, and that this rate is higher for jointly filed cases, cases filed by experienced attorneys and cases with substantial real estate. The rate is lower in cases filed </w:t>
      </w:r>
      <w:r w:rsidRPr="003D3C11">
        <w:t>pro se</w:t>
      </w:r>
      <w:r>
        <w:t xml:space="preserve"> and cases in which the debtor does not expect to distribute assets to general creditors.  We further find that involuntary chapter 11 cases are almost non-existent; the fear of involuntary servitude through bankruptcy is more of a theoretical than an empirical problem.</w:t>
      </w:r>
    </w:p>
    <w:p w14:paraId="68B389B5" w14:textId="77777777" w:rsidR="00F70B83" w:rsidRPr="00782958" w:rsidRDefault="00F70B83" w:rsidP="004E2ADE">
      <w:pPr>
        <w:jc w:val="center"/>
        <w:rPr>
          <w:sz w:val="22"/>
          <w:szCs w:val="22"/>
        </w:rPr>
      </w:pPr>
    </w:p>
    <w:p w14:paraId="4B88B104" w14:textId="77777777" w:rsidR="004E2ADE" w:rsidRDefault="004E2ADE" w:rsidP="00BF115B">
      <w:pPr>
        <w:jc w:val="center"/>
        <w:rPr>
          <w:rFonts w:ascii="Times New Roman" w:hAnsi="Times New Roman" w:cs="Times New Roman"/>
          <w:b/>
        </w:rPr>
      </w:pPr>
    </w:p>
    <w:p w14:paraId="474219E0" w14:textId="199FE6E0" w:rsidR="00D22A5D" w:rsidRDefault="00177227" w:rsidP="00BF115B">
      <w:pPr>
        <w:jc w:val="center"/>
        <w:rPr>
          <w:rFonts w:ascii="Times New Roman" w:hAnsi="Times New Roman" w:cs="Times New Roman"/>
          <w:b/>
        </w:rPr>
      </w:pPr>
      <w:r>
        <w:rPr>
          <w:rFonts w:ascii="Times New Roman" w:hAnsi="Times New Roman" w:cs="Times New Roman"/>
          <w:b/>
        </w:rPr>
        <w:br w:type="column"/>
      </w:r>
      <w:r w:rsidR="00105189">
        <w:rPr>
          <w:rFonts w:ascii="Times New Roman" w:hAnsi="Times New Roman" w:cs="Times New Roman"/>
          <w:b/>
        </w:rPr>
        <w:lastRenderedPageBreak/>
        <w:t>Index</w:t>
      </w:r>
    </w:p>
    <w:p w14:paraId="11FCA3C7" w14:textId="77777777" w:rsidR="003D3C11" w:rsidRDefault="003D3C11" w:rsidP="00BF115B">
      <w:pPr>
        <w:jc w:val="center"/>
        <w:rPr>
          <w:rFonts w:ascii="Times New Roman" w:hAnsi="Times New Roman" w:cs="Times New Roman"/>
          <w:b/>
        </w:rPr>
      </w:pPr>
    </w:p>
    <w:p w14:paraId="13607ADD" w14:textId="74284196" w:rsidR="00105189" w:rsidRDefault="00095A51" w:rsidP="00105C03">
      <w:pPr>
        <w:pStyle w:val="ListParagraph"/>
        <w:numPr>
          <w:ilvl w:val="0"/>
          <w:numId w:val="3"/>
        </w:numPr>
        <w:ind w:left="720"/>
        <w:rPr>
          <w:rFonts w:ascii="Times New Roman" w:hAnsi="Times New Roman" w:cs="Times New Roman"/>
        </w:rPr>
      </w:pPr>
      <w:r w:rsidRPr="0074488C">
        <w:rPr>
          <w:rFonts w:ascii="Times New Roman" w:hAnsi="Times New Roman" w:cs="Times New Roman"/>
        </w:rPr>
        <w:t>Introduction</w:t>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p>
    <w:p w14:paraId="091339C4" w14:textId="77777777" w:rsidR="00AC29B3" w:rsidRPr="0074488C" w:rsidRDefault="00AC29B3" w:rsidP="00AC29B3">
      <w:pPr>
        <w:pStyle w:val="ListParagraph"/>
        <w:rPr>
          <w:rFonts w:ascii="Times New Roman" w:hAnsi="Times New Roman" w:cs="Times New Roman"/>
        </w:rPr>
      </w:pPr>
    </w:p>
    <w:p w14:paraId="46A12E46" w14:textId="4768FA9F" w:rsidR="00095A51" w:rsidRPr="0074488C" w:rsidRDefault="00095A51" w:rsidP="00105C03">
      <w:pPr>
        <w:pStyle w:val="ListParagraph"/>
        <w:numPr>
          <w:ilvl w:val="0"/>
          <w:numId w:val="3"/>
        </w:numPr>
        <w:ind w:left="720"/>
        <w:rPr>
          <w:rFonts w:ascii="Times New Roman" w:hAnsi="Times New Roman" w:cs="Times New Roman"/>
        </w:rPr>
      </w:pPr>
      <w:r w:rsidRPr="0074488C">
        <w:rPr>
          <w:rFonts w:ascii="Times New Roman" w:hAnsi="Times New Roman" w:cs="Times New Roman"/>
        </w:rPr>
        <w:t>PACER Case Report Data</w:t>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p>
    <w:p w14:paraId="1E62F37B" w14:textId="21638B97" w:rsidR="00095A51" w:rsidRDefault="00095A51" w:rsidP="00105C03">
      <w:pPr>
        <w:pStyle w:val="ListParagraph"/>
        <w:numPr>
          <w:ilvl w:val="0"/>
          <w:numId w:val="4"/>
        </w:numPr>
        <w:rPr>
          <w:rFonts w:ascii="Times New Roman" w:hAnsi="Times New Roman" w:cs="Times New Roman"/>
        </w:rPr>
      </w:pPr>
      <w:r w:rsidRPr="0074488C">
        <w:rPr>
          <w:rFonts w:ascii="Times New Roman" w:hAnsi="Times New Roman" w:cs="Times New Roman"/>
        </w:rPr>
        <w:t>Some Basic Facts about Individuals in Chapter 11</w:t>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p>
    <w:p w14:paraId="7350CE46" w14:textId="02EEF3EE" w:rsidR="00095A51" w:rsidRDefault="00095A51" w:rsidP="00105C03">
      <w:pPr>
        <w:pStyle w:val="ListParagraph"/>
        <w:numPr>
          <w:ilvl w:val="0"/>
          <w:numId w:val="5"/>
        </w:numPr>
        <w:rPr>
          <w:rFonts w:ascii="Times New Roman" w:hAnsi="Times New Roman" w:cs="Times New Roman"/>
          <w:i/>
        </w:rPr>
      </w:pPr>
      <w:r>
        <w:rPr>
          <w:rFonts w:ascii="Times New Roman" w:hAnsi="Times New Roman" w:cs="Times New Roman"/>
          <w:i/>
        </w:rPr>
        <w:t>Chapter 11 Debtor Type</w:t>
      </w:r>
      <w:r w:rsidR="00E00F12">
        <w:rPr>
          <w:rFonts w:ascii="Times New Roman" w:hAnsi="Times New Roman" w:cs="Times New Roman"/>
          <w:i/>
        </w:rPr>
        <w:tab/>
      </w:r>
      <w:r w:rsidR="00E00F12">
        <w:rPr>
          <w:rFonts w:ascii="Times New Roman" w:hAnsi="Times New Roman" w:cs="Times New Roman"/>
          <w:i/>
        </w:rPr>
        <w:tab/>
      </w:r>
      <w:r w:rsidR="00E00F12">
        <w:rPr>
          <w:rFonts w:ascii="Times New Roman" w:hAnsi="Times New Roman" w:cs="Times New Roman"/>
          <w:i/>
        </w:rPr>
        <w:tab/>
      </w:r>
      <w:r w:rsidR="00E00F12">
        <w:rPr>
          <w:rFonts w:ascii="Times New Roman" w:hAnsi="Times New Roman" w:cs="Times New Roman"/>
          <w:i/>
        </w:rPr>
        <w:tab/>
      </w:r>
      <w:r w:rsidR="00E00F12">
        <w:rPr>
          <w:rFonts w:ascii="Times New Roman" w:hAnsi="Times New Roman" w:cs="Times New Roman"/>
          <w:i/>
        </w:rPr>
        <w:tab/>
      </w:r>
      <w:r w:rsidR="00E00F12">
        <w:rPr>
          <w:rFonts w:ascii="Times New Roman" w:hAnsi="Times New Roman" w:cs="Times New Roman"/>
          <w:i/>
        </w:rPr>
        <w:tab/>
      </w:r>
    </w:p>
    <w:p w14:paraId="355D916C" w14:textId="24109D4C" w:rsidR="00095A51" w:rsidRDefault="00095A51" w:rsidP="00105C03">
      <w:pPr>
        <w:pStyle w:val="ListParagraph"/>
        <w:numPr>
          <w:ilvl w:val="0"/>
          <w:numId w:val="5"/>
        </w:numPr>
        <w:rPr>
          <w:rFonts w:ascii="Times New Roman" w:hAnsi="Times New Roman" w:cs="Times New Roman"/>
          <w:i/>
        </w:rPr>
      </w:pPr>
      <w:r>
        <w:rPr>
          <w:rFonts w:ascii="Times New Roman" w:hAnsi="Times New Roman" w:cs="Times New Roman"/>
          <w:i/>
        </w:rPr>
        <w:t>Conversions</w:t>
      </w:r>
      <w:r w:rsidR="00E00F12">
        <w:rPr>
          <w:rFonts w:ascii="Times New Roman" w:hAnsi="Times New Roman" w:cs="Times New Roman"/>
          <w:i/>
        </w:rPr>
        <w:tab/>
      </w:r>
      <w:r w:rsidR="00E00F12">
        <w:rPr>
          <w:rFonts w:ascii="Times New Roman" w:hAnsi="Times New Roman" w:cs="Times New Roman"/>
          <w:i/>
        </w:rPr>
        <w:tab/>
      </w:r>
      <w:r w:rsidR="00E00F12">
        <w:rPr>
          <w:rFonts w:ascii="Times New Roman" w:hAnsi="Times New Roman" w:cs="Times New Roman"/>
          <w:i/>
        </w:rPr>
        <w:tab/>
      </w:r>
      <w:r w:rsidR="00E00F12">
        <w:rPr>
          <w:rFonts w:ascii="Times New Roman" w:hAnsi="Times New Roman" w:cs="Times New Roman"/>
          <w:i/>
        </w:rPr>
        <w:tab/>
      </w:r>
      <w:r w:rsidR="00E00F12">
        <w:rPr>
          <w:rFonts w:ascii="Times New Roman" w:hAnsi="Times New Roman" w:cs="Times New Roman"/>
          <w:i/>
        </w:rPr>
        <w:tab/>
      </w:r>
      <w:r w:rsidR="00E00F12">
        <w:rPr>
          <w:rFonts w:ascii="Times New Roman" w:hAnsi="Times New Roman" w:cs="Times New Roman"/>
          <w:i/>
        </w:rPr>
        <w:tab/>
      </w:r>
      <w:r w:rsidR="00E00F12">
        <w:rPr>
          <w:rFonts w:ascii="Times New Roman" w:hAnsi="Times New Roman" w:cs="Times New Roman"/>
          <w:i/>
        </w:rPr>
        <w:tab/>
      </w:r>
      <w:r w:rsidR="00E00F12">
        <w:rPr>
          <w:rFonts w:ascii="Times New Roman" w:hAnsi="Times New Roman" w:cs="Times New Roman"/>
          <w:i/>
        </w:rPr>
        <w:tab/>
      </w:r>
    </w:p>
    <w:p w14:paraId="6BACBD22" w14:textId="2C6F2A0E" w:rsidR="00095A51" w:rsidRDefault="00095A51" w:rsidP="00105C03">
      <w:pPr>
        <w:pStyle w:val="ListParagraph"/>
        <w:numPr>
          <w:ilvl w:val="0"/>
          <w:numId w:val="5"/>
        </w:numPr>
        <w:rPr>
          <w:rFonts w:ascii="Times New Roman" w:hAnsi="Times New Roman" w:cs="Times New Roman"/>
          <w:i/>
        </w:rPr>
      </w:pPr>
      <w:r>
        <w:rPr>
          <w:rFonts w:ascii="Times New Roman" w:hAnsi="Times New Roman" w:cs="Times New Roman"/>
          <w:i/>
        </w:rPr>
        <w:t>Where are the Debtors Filing?</w:t>
      </w:r>
      <w:r w:rsidR="00E00F12">
        <w:rPr>
          <w:rFonts w:ascii="Times New Roman" w:hAnsi="Times New Roman" w:cs="Times New Roman"/>
          <w:i/>
        </w:rPr>
        <w:tab/>
      </w:r>
      <w:r w:rsidR="00E00F12">
        <w:rPr>
          <w:rFonts w:ascii="Times New Roman" w:hAnsi="Times New Roman" w:cs="Times New Roman"/>
          <w:i/>
        </w:rPr>
        <w:tab/>
      </w:r>
      <w:r w:rsidR="00E00F12">
        <w:rPr>
          <w:rFonts w:ascii="Times New Roman" w:hAnsi="Times New Roman" w:cs="Times New Roman"/>
          <w:i/>
        </w:rPr>
        <w:tab/>
      </w:r>
      <w:r w:rsidR="00E00F12">
        <w:rPr>
          <w:rFonts w:ascii="Times New Roman" w:hAnsi="Times New Roman" w:cs="Times New Roman"/>
          <w:i/>
        </w:rPr>
        <w:tab/>
      </w:r>
      <w:r w:rsidR="00E00F12">
        <w:rPr>
          <w:rFonts w:ascii="Times New Roman" w:hAnsi="Times New Roman" w:cs="Times New Roman"/>
          <w:i/>
        </w:rPr>
        <w:tab/>
      </w:r>
    </w:p>
    <w:p w14:paraId="35D2D1E2" w14:textId="3FAD2378" w:rsidR="00095A51" w:rsidRDefault="00095A51" w:rsidP="00105C03">
      <w:pPr>
        <w:pStyle w:val="ListParagraph"/>
        <w:numPr>
          <w:ilvl w:val="0"/>
          <w:numId w:val="5"/>
        </w:numPr>
        <w:rPr>
          <w:rFonts w:ascii="Times New Roman" w:hAnsi="Times New Roman" w:cs="Times New Roman"/>
          <w:i/>
        </w:rPr>
      </w:pPr>
      <w:r>
        <w:rPr>
          <w:rFonts w:ascii="Times New Roman" w:hAnsi="Times New Roman" w:cs="Times New Roman"/>
          <w:i/>
        </w:rPr>
        <w:t>Primary Nature of Debt and Small Business Status</w:t>
      </w:r>
      <w:r w:rsidR="00E00F12">
        <w:rPr>
          <w:rFonts w:ascii="Times New Roman" w:hAnsi="Times New Roman" w:cs="Times New Roman"/>
          <w:i/>
        </w:rPr>
        <w:tab/>
      </w:r>
      <w:r w:rsidR="00E00F12">
        <w:rPr>
          <w:rFonts w:ascii="Times New Roman" w:hAnsi="Times New Roman" w:cs="Times New Roman"/>
          <w:i/>
        </w:rPr>
        <w:tab/>
      </w:r>
      <w:r w:rsidR="00E00F12">
        <w:rPr>
          <w:rFonts w:ascii="Times New Roman" w:hAnsi="Times New Roman" w:cs="Times New Roman"/>
          <w:i/>
        </w:rPr>
        <w:tab/>
      </w:r>
    </w:p>
    <w:p w14:paraId="3DCDBE41" w14:textId="703677E6" w:rsidR="00095A51" w:rsidRDefault="00095A51" w:rsidP="00105C03">
      <w:pPr>
        <w:pStyle w:val="ListParagraph"/>
        <w:numPr>
          <w:ilvl w:val="0"/>
          <w:numId w:val="5"/>
        </w:numPr>
        <w:rPr>
          <w:rFonts w:ascii="Times New Roman" w:hAnsi="Times New Roman" w:cs="Times New Roman"/>
          <w:i/>
        </w:rPr>
      </w:pPr>
      <w:r>
        <w:rPr>
          <w:rFonts w:ascii="Times New Roman" w:hAnsi="Times New Roman" w:cs="Times New Roman"/>
          <w:i/>
        </w:rPr>
        <w:t>Are Assets Available for Distribution?</w:t>
      </w:r>
      <w:r w:rsidR="00E00F12">
        <w:rPr>
          <w:rFonts w:ascii="Times New Roman" w:hAnsi="Times New Roman" w:cs="Times New Roman"/>
          <w:i/>
        </w:rPr>
        <w:tab/>
      </w:r>
      <w:r w:rsidR="00E00F12">
        <w:rPr>
          <w:rFonts w:ascii="Times New Roman" w:hAnsi="Times New Roman" w:cs="Times New Roman"/>
          <w:i/>
        </w:rPr>
        <w:tab/>
      </w:r>
      <w:r w:rsidR="00E00F12">
        <w:rPr>
          <w:rFonts w:ascii="Times New Roman" w:hAnsi="Times New Roman" w:cs="Times New Roman"/>
          <w:i/>
        </w:rPr>
        <w:tab/>
      </w:r>
      <w:r w:rsidR="00E00F12">
        <w:rPr>
          <w:rFonts w:ascii="Times New Roman" w:hAnsi="Times New Roman" w:cs="Times New Roman"/>
          <w:i/>
        </w:rPr>
        <w:tab/>
      </w:r>
    </w:p>
    <w:p w14:paraId="2BF81E5F" w14:textId="74A2B36E" w:rsidR="00A016E0" w:rsidRDefault="00A016E0" w:rsidP="00105C03">
      <w:pPr>
        <w:pStyle w:val="ListParagraph"/>
        <w:numPr>
          <w:ilvl w:val="0"/>
          <w:numId w:val="4"/>
        </w:numPr>
        <w:rPr>
          <w:rFonts w:ascii="Times New Roman" w:hAnsi="Times New Roman" w:cs="Times New Roman"/>
        </w:rPr>
      </w:pPr>
      <w:r>
        <w:rPr>
          <w:rFonts w:ascii="Times New Roman" w:hAnsi="Times New Roman" w:cs="Times New Roman"/>
        </w:rPr>
        <w:t>Attorneys</w:t>
      </w:r>
      <w:r w:rsidR="00EF57E6">
        <w:rPr>
          <w:rFonts w:ascii="Times New Roman" w:hAnsi="Times New Roman" w:cs="Times New Roman"/>
        </w:rPr>
        <w:tab/>
      </w:r>
      <w:r w:rsidR="00EF57E6">
        <w:rPr>
          <w:rFonts w:ascii="Times New Roman" w:hAnsi="Times New Roman" w:cs="Times New Roman"/>
        </w:rPr>
        <w:tab/>
      </w:r>
      <w:r w:rsidR="00EF57E6">
        <w:rPr>
          <w:rFonts w:ascii="Times New Roman" w:hAnsi="Times New Roman" w:cs="Times New Roman"/>
        </w:rPr>
        <w:tab/>
      </w:r>
      <w:r w:rsidR="00EF57E6">
        <w:rPr>
          <w:rFonts w:ascii="Times New Roman" w:hAnsi="Times New Roman" w:cs="Times New Roman"/>
        </w:rPr>
        <w:tab/>
      </w:r>
      <w:r w:rsidR="00EF57E6">
        <w:rPr>
          <w:rFonts w:ascii="Times New Roman" w:hAnsi="Times New Roman" w:cs="Times New Roman"/>
        </w:rPr>
        <w:tab/>
      </w:r>
      <w:r w:rsidR="00EF57E6">
        <w:rPr>
          <w:rFonts w:ascii="Times New Roman" w:hAnsi="Times New Roman" w:cs="Times New Roman"/>
        </w:rPr>
        <w:tab/>
      </w:r>
      <w:r w:rsidR="00EF57E6">
        <w:rPr>
          <w:rFonts w:ascii="Times New Roman" w:hAnsi="Times New Roman" w:cs="Times New Roman"/>
        </w:rPr>
        <w:tab/>
      </w:r>
      <w:r w:rsidR="00EF57E6">
        <w:rPr>
          <w:rFonts w:ascii="Times New Roman" w:hAnsi="Times New Roman" w:cs="Times New Roman"/>
        </w:rPr>
        <w:tab/>
      </w:r>
      <w:r w:rsidR="00EF57E6">
        <w:rPr>
          <w:rFonts w:ascii="Times New Roman" w:hAnsi="Times New Roman" w:cs="Times New Roman"/>
        </w:rPr>
        <w:tab/>
      </w:r>
    </w:p>
    <w:p w14:paraId="5256EFAA" w14:textId="20CA6CFD" w:rsidR="00A016E0" w:rsidRDefault="00A016E0" w:rsidP="00105C03">
      <w:pPr>
        <w:pStyle w:val="ListParagraph"/>
        <w:numPr>
          <w:ilvl w:val="0"/>
          <w:numId w:val="4"/>
        </w:numPr>
        <w:spacing w:line="480" w:lineRule="auto"/>
        <w:rPr>
          <w:rFonts w:ascii="Times New Roman" w:hAnsi="Times New Roman" w:cs="Times New Roman"/>
        </w:rPr>
      </w:pPr>
      <w:r>
        <w:rPr>
          <w:rFonts w:ascii="Times New Roman" w:hAnsi="Times New Roman" w:cs="Times New Roman"/>
        </w:rPr>
        <w:t>Involuntary Chapter 11 Cases</w:t>
      </w:r>
      <w:r w:rsidR="00EF57E6">
        <w:rPr>
          <w:rFonts w:ascii="Times New Roman" w:hAnsi="Times New Roman" w:cs="Times New Roman"/>
        </w:rPr>
        <w:tab/>
      </w:r>
      <w:r w:rsidR="00EF57E6">
        <w:rPr>
          <w:rFonts w:ascii="Times New Roman" w:hAnsi="Times New Roman" w:cs="Times New Roman"/>
        </w:rPr>
        <w:tab/>
      </w:r>
      <w:r w:rsidR="00EF57E6">
        <w:rPr>
          <w:rFonts w:ascii="Times New Roman" w:hAnsi="Times New Roman" w:cs="Times New Roman"/>
        </w:rPr>
        <w:tab/>
      </w:r>
      <w:r w:rsidR="00EF57E6">
        <w:rPr>
          <w:rFonts w:ascii="Times New Roman" w:hAnsi="Times New Roman" w:cs="Times New Roman"/>
        </w:rPr>
        <w:tab/>
      </w:r>
      <w:r w:rsidR="00EF57E6">
        <w:rPr>
          <w:rFonts w:ascii="Times New Roman" w:hAnsi="Times New Roman" w:cs="Times New Roman"/>
        </w:rPr>
        <w:tab/>
      </w:r>
      <w:r w:rsidR="00EF57E6">
        <w:rPr>
          <w:rFonts w:ascii="Times New Roman" w:hAnsi="Times New Roman" w:cs="Times New Roman"/>
        </w:rPr>
        <w:tab/>
      </w:r>
    </w:p>
    <w:p w14:paraId="30791AAF" w14:textId="10C3DA4A" w:rsidR="00095A51" w:rsidRDefault="00AC29B3" w:rsidP="00105C03">
      <w:pPr>
        <w:pStyle w:val="ListParagraph"/>
        <w:numPr>
          <w:ilvl w:val="0"/>
          <w:numId w:val="3"/>
        </w:numPr>
        <w:ind w:left="720"/>
        <w:rPr>
          <w:rFonts w:ascii="Times New Roman" w:hAnsi="Times New Roman" w:cs="Times New Roman"/>
        </w:rPr>
      </w:pPr>
      <w:r>
        <w:rPr>
          <w:rFonts w:ascii="Times New Roman" w:hAnsi="Times New Roman" w:cs="Times New Roman"/>
        </w:rPr>
        <w:t>Coding Individual Cases</w:t>
      </w:r>
      <w:r w:rsidR="001F05DF">
        <w:rPr>
          <w:rFonts w:ascii="Times New Roman" w:hAnsi="Times New Roman" w:cs="Times New Roman"/>
        </w:rPr>
        <w:tab/>
      </w:r>
      <w:r w:rsidR="001F05DF">
        <w:rPr>
          <w:rFonts w:ascii="Times New Roman" w:hAnsi="Times New Roman" w:cs="Times New Roman"/>
        </w:rPr>
        <w:tab/>
      </w:r>
      <w:r w:rsidR="001F05DF">
        <w:rPr>
          <w:rFonts w:ascii="Times New Roman" w:hAnsi="Times New Roman" w:cs="Times New Roman"/>
        </w:rPr>
        <w:tab/>
      </w:r>
      <w:r w:rsidR="001F05DF">
        <w:rPr>
          <w:rFonts w:ascii="Times New Roman" w:hAnsi="Times New Roman" w:cs="Times New Roman"/>
        </w:rPr>
        <w:tab/>
      </w:r>
      <w:r w:rsidR="001F05DF">
        <w:rPr>
          <w:rFonts w:ascii="Times New Roman" w:hAnsi="Times New Roman" w:cs="Times New Roman"/>
        </w:rPr>
        <w:tab/>
      </w:r>
      <w:r w:rsidR="001F05DF">
        <w:rPr>
          <w:rFonts w:ascii="Times New Roman" w:hAnsi="Times New Roman" w:cs="Times New Roman"/>
        </w:rPr>
        <w:tab/>
      </w:r>
      <w:r w:rsidR="001F05DF">
        <w:rPr>
          <w:rFonts w:ascii="Times New Roman" w:hAnsi="Times New Roman" w:cs="Times New Roman"/>
        </w:rPr>
        <w:tab/>
      </w:r>
    </w:p>
    <w:p w14:paraId="2D652CD5" w14:textId="4499FB16" w:rsidR="00095A51" w:rsidRDefault="00C00664" w:rsidP="00105C03">
      <w:pPr>
        <w:pStyle w:val="ListParagraph"/>
        <w:numPr>
          <w:ilvl w:val="0"/>
          <w:numId w:val="6"/>
        </w:numPr>
        <w:rPr>
          <w:rFonts w:ascii="Times New Roman" w:hAnsi="Times New Roman" w:cs="Times New Roman"/>
        </w:rPr>
      </w:pPr>
      <w:r>
        <w:rPr>
          <w:rFonts w:ascii="Times New Roman" w:hAnsi="Times New Roman" w:cs="Times New Roman"/>
        </w:rPr>
        <w:t>Do Individuals in Chapter 11 Look Like Those in Chapter 13?</w:t>
      </w:r>
      <w:r w:rsidR="001F05DF">
        <w:rPr>
          <w:rFonts w:ascii="Times New Roman" w:hAnsi="Times New Roman" w:cs="Times New Roman"/>
        </w:rPr>
        <w:tab/>
      </w:r>
      <w:r w:rsidR="001F05DF">
        <w:rPr>
          <w:rFonts w:ascii="Times New Roman" w:hAnsi="Times New Roman" w:cs="Times New Roman"/>
        </w:rPr>
        <w:tab/>
      </w:r>
    </w:p>
    <w:p w14:paraId="174F3907" w14:textId="6242494A" w:rsidR="00C00664" w:rsidRDefault="00C00664" w:rsidP="00105C03">
      <w:pPr>
        <w:pStyle w:val="ListParagraph"/>
        <w:numPr>
          <w:ilvl w:val="0"/>
          <w:numId w:val="7"/>
        </w:numPr>
        <w:rPr>
          <w:rFonts w:ascii="Times New Roman" w:hAnsi="Times New Roman" w:cs="Times New Roman"/>
          <w:i/>
        </w:rPr>
      </w:pPr>
      <w:r>
        <w:rPr>
          <w:rFonts w:ascii="Times New Roman" w:hAnsi="Times New Roman" w:cs="Times New Roman"/>
          <w:i/>
        </w:rPr>
        <w:t>Demographic Information</w:t>
      </w:r>
      <w:r w:rsidR="001F05DF">
        <w:rPr>
          <w:rFonts w:ascii="Times New Roman" w:hAnsi="Times New Roman" w:cs="Times New Roman"/>
          <w:i/>
        </w:rPr>
        <w:tab/>
      </w:r>
      <w:r w:rsidR="001F05DF">
        <w:rPr>
          <w:rFonts w:ascii="Times New Roman" w:hAnsi="Times New Roman" w:cs="Times New Roman"/>
          <w:i/>
        </w:rPr>
        <w:tab/>
      </w:r>
      <w:r w:rsidR="001F05DF">
        <w:rPr>
          <w:rFonts w:ascii="Times New Roman" w:hAnsi="Times New Roman" w:cs="Times New Roman"/>
          <w:i/>
        </w:rPr>
        <w:tab/>
      </w:r>
      <w:r w:rsidR="001F05DF">
        <w:rPr>
          <w:rFonts w:ascii="Times New Roman" w:hAnsi="Times New Roman" w:cs="Times New Roman"/>
          <w:i/>
        </w:rPr>
        <w:tab/>
      </w:r>
      <w:r w:rsidR="001F05DF">
        <w:rPr>
          <w:rFonts w:ascii="Times New Roman" w:hAnsi="Times New Roman" w:cs="Times New Roman"/>
          <w:i/>
        </w:rPr>
        <w:tab/>
      </w:r>
      <w:r w:rsidR="001F05DF">
        <w:rPr>
          <w:rFonts w:ascii="Times New Roman" w:hAnsi="Times New Roman" w:cs="Times New Roman"/>
          <w:i/>
        </w:rPr>
        <w:tab/>
      </w:r>
    </w:p>
    <w:p w14:paraId="2BB93EA2" w14:textId="240294F8" w:rsidR="00EC72CC" w:rsidRDefault="00EC72CC" w:rsidP="00105C03">
      <w:pPr>
        <w:pStyle w:val="ListParagraph"/>
        <w:numPr>
          <w:ilvl w:val="0"/>
          <w:numId w:val="7"/>
        </w:numPr>
        <w:rPr>
          <w:rFonts w:ascii="Times New Roman" w:hAnsi="Times New Roman" w:cs="Times New Roman"/>
          <w:i/>
        </w:rPr>
      </w:pPr>
      <w:r>
        <w:rPr>
          <w:rFonts w:ascii="Times New Roman" w:hAnsi="Times New Roman" w:cs="Times New Roman"/>
          <w:i/>
        </w:rPr>
        <w:t>Business Operations</w:t>
      </w:r>
      <w:r w:rsidR="001F05DF">
        <w:rPr>
          <w:rFonts w:ascii="Times New Roman" w:hAnsi="Times New Roman" w:cs="Times New Roman"/>
          <w:i/>
        </w:rPr>
        <w:tab/>
      </w:r>
      <w:r w:rsidR="001F05DF">
        <w:rPr>
          <w:rFonts w:ascii="Times New Roman" w:hAnsi="Times New Roman" w:cs="Times New Roman"/>
          <w:i/>
        </w:rPr>
        <w:tab/>
      </w:r>
      <w:r w:rsidR="001F05DF">
        <w:rPr>
          <w:rFonts w:ascii="Times New Roman" w:hAnsi="Times New Roman" w:cs="Times New Roman"/>
          <w:i/>
        </w:rPr>
        <w:tab/>
      </w:r>
      <w:r w:rsidR="001F05DF">
        <w:rPr>
          <w:rFonts w:ascii="Times New Roman" w:hAnsi="Times New Roman" w:cs="Times New Roman"/>
          <w:i/>
        </w:rPr>
        <w:tab/>
      </w:r>
      <w:r w:rsidR="001F05DF">
        <w:rPr>
          <w:rFonts w:ascii="Times New Roman" w:hAnsi="Times New Roman" w:cs="Times New Roman"/>
          <w:i/>
        </w:rPr>
        <w:tab/>
      </w:r>
      <w:r w:rsidR="001F05DF">
        <w:rPr>
          <w:rFonts w:ascii="Times New Roman" w:hAnsi="Times New Roman" w:cs="Times New Roman"/>
          <w:i/>
        </w:rPr>
        <w:tab/>
      </w:r>
      <w:r w:rsidR="001F05DF">
        <w:rPr>
          <w:rFonts w:ascii="Times New Roman" w:hAnsi="Times New Roman" w:cs="Times New Roman"/>
          <w:i/>
        </w:rPr>
        <w:tab/>
      </w:r>
    </w:p>
    <w:p w14:paraId="55561C6F" w14:textId="1219B5F4" w:rsidR="00EC72CC" w:rsidRDefault="00EC72CC" w:rsidP="00105C03">
      <w:pPr>
        <w:pStyle w:val="ListParagraph"/>
        <w:numPr>
          <w:ilvl w:val="0"/>
          <w:numId w:val="7"/>
        </w:numPr>
        <w:rPr>
          <w:rFonts w:ascii="Times New Roman" w:hAnsi="Times New Roman" w:cs="Times New Roman"/>
          <w:i/>
        </w:rPr>
      </w:pPr>
      <w:r>
        <w:rPr>
          <w:rFonts w:ascii="Times New Roman" w:hAnsi="Times New Roman" w:cs="Times New Roman"/>
          <w:i/>
        </w:rPr>
        <w:t>Prior and Subsequent Bankruptcy Filings</w:t>
      </w:r>
      <w:r w:rsidR="009D6263">
        <w:rPr>
          <w:rFonts w:ascii="Times New Roman" w:hAnsi="Times New Roman" w:cs="Times New Roman"/>
          <w:i/>
        </w:rPr>
        <w:tab/>
      </w:r>
      <w:r w:rsidR="009D6263">
        <w:rPr>
          <w:rFonts w:ascii="Times New Roman" w:hAnsi="Times New Roman" w:cs="Times New Roman"/>
          <w:i/>
        </w:rPr>
        <w:tab/>
      </w:r>
      <w:r w:rsidR="009D6263">
        <w:rPr>
          <w:rFonts w:ascii="Times New Roman" w:hAnsi="Times New Roman" w:cs="Times New Roman"/>
          <w:i/>
        </w:rPr>
        <w:tab/>
      </w:r>
      <w:r w:rsidR="009D6263">
        <w:rPr>
          <w:rFonts w:ascii="Times New Roman" w:hAnsi="Times New Roman" w:cs="Times New Roman"/>
          <w:i/>
        </w:rPr>
        <w:tab/>
      </w:r>
    </w:p>
    <w:p w14:paraId="203F1534" w14:textId="7F660C88" w:rsidR="00EC72CC" w:rsidRDefault="00EC72CC" w:rsidP="00105C03">
      <w:pPr>
        <w:pStyle w:val="ListParagraph"/>
        <w:numPr>
          <w:ilvl w:val="0"/>
          <w:numId w:val="7"/>
        </w:numPr>
        <w:rPr>
          <w:rFonts w:ascii="Times New Roman" w:hAnsi="Times New Roman" w:cs="Times New Roman"/>
          <w:i/>
        </w:rPr>
      </w:pPr>
      <w:r>
        <w:rPr>
          <w:rFonts w:ascii="Times New Roman" w:hAnsi="Times New Roman" w:cs="Times New Roman"/>
          <w:i/>
        </w:rPr>
        <w:t>Size and Complexity</w:t>
      </w:r>
      <w:r w:rsidR="00301015">
        <w:rPr>
          <w:rFonts w:ascii="Times New Roman" w:hAnsi="Times New Roman" w:cs="Times New Roman"/>
          <w:i/>
        </w:rPr>
        <w:tab/>
      </w:r>
      <w:r w:rsidR="00301015">
        <w:rPr>
          <w:rFonts w:ascii="Times New Roman" w:hAnsi="Times New Roman" w:cs="Times New Roman"/>
          <w:i/>
        </w:rPr>
        <w:tab/>
      </w:r>
      <w:r w:rsidR="00301015">
        <w:rPr>
          <w:rFonts w:ascii="Times New Roman" w:hAnsi="Times New Roman" w:cs="Times New Roman"/>
          <w:i/>
        </w:rPr>
        <w:tab/>
      </w:r>
      <w:r w:rsidR="00301015">
        <w:rPr>
          <w:rFonts w:ascii="Times New Roman" w:hAnsi="Times New Roman" w:cs="Times New Roman"/>
          <w:i/>
        </w:rPr>
        <w:tab/>
      </w:r>
      <w:r w:rsidR="00301015">
        <w:rPr>
          <w:rFonts w:ascii="Times New Roman" w:hAnsi="Times New Roman" w:cs="Times New Roman"/>
          <w:i/>
        </w:rPr>
        <w:tab/>
      </w:r>
      <w:r w:rsidR="00301015">
        <w:rPr>
          <w:rFonts w:ascii="Times New Roman" w:hAnsi="Times New Roman" w:cs="Times New Roman"/>
          <w:i/>
        </w:rPr>
        <w:tab/>
      </w:r>
      <w:r w:rsidR="00301015">
        <w:rPr>
          <w:rFonts w:ascii="Times New Roman" w:hAnsi="Times New Roman" w:cs="Times New Roman"/>
          <w:i/>
        </w:rPr>
        <w:tab/>
      </w:r>
    </w:p>
    <w:p w14:paraId="11A6686A" w14:textId="08FBB4C5" w:rsidR="00EC72CC" w:rsidRDefault="00EC72CC" w:rsidP="00105C03">
      <w:pPr>
        <w:pStyle w:val="ListParagraph"/>
        <w:numPr>
          <w:ilvl w:val="0"/>
          <w:numId w:val="6"/>
        </w:numPr>
        <w:rPr>
          <w:rFonts w:ascii="Times New Roman" w:hAnsi="Times New Roman" w:cs="Times New Roman"/>
        </w:rPr>
      </w:pPr>
      <w:r>
        <w:rPr>
          <w:rFonts w:ascii="Times New Roman" w:hAnsi="Times New Roman" w:cs="Times New Roman"/>
        </w:rPr>
        <w:t>The Debtor’s Financial Condition</w:t>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p>
    <w:p w14:paraId="7AFEF1DF" w14:textId="3B52AAAE" w:rsidR="00EC72CC" w:rsidRDefault="00EC72CC" w:rsidP="00105C03">
      <w:pPr>
        <w:pStyle w:val="ListParagraph"/>
        <w:numPr>
          <w:ilvl w:val="0"/>
          <w:numId w:val="8"/>
        </w:numPr>
        <w:rPr>
          <w:rFonts w:ascii="Times New Roman" w:hAnsi="Times New Roman" w:cs="Times New Roman"/>
          <w:i/>
        </w:rPr>
      </w:pPr>
      <w:r>
        <w:rPr>
          <w:rFonts w:ascii="Times New Roman" w:hAnsi="Times New Roman" w:cs="Times New Roman"/>
          <w:i/>
        </w:rPr>
        <w:t>Occupation, Income and Expenses</w:t>
      </w:r>
      <w:r w:rsidR="00301015">
        <w:rPr>
          <w:rFonts w:ascii="Times New Roman" w:hAnsi="Times New Roman" w:cs="Times New Roman"/>
          <w:i/>
        </w:rPr>
        <w:tab/>
      </w:r>
      <w:r w:rsidR="00301015">
        <w:rPr>
          <w:rFonts w:ascii="Times New Roman" w:hAnsi="Times New Roman" w:cs="Times New Roman"/>
          <w:i/>
        </w:rPr>
        <w:tab/>
      </w:r>
      <w:r w:rsidR="00301015">
        <w:rPr>
          <w:rFonts w:ascii="Times New Roman" w:hAnsi="Times New Roman" w:cs="Times New Roman"/>
          <w:i/>
        </w:rPr>
        <w:tab/>
      </w:r>
      <w:r w:rsidR="00301015">
        <w:rPr>
          <w:rFonts w:ascii="Times New Roman" w:hAnsi="Times New Roman" w:cs="Times New Roman"/>
          <w:i/>
        </w:rPr>
        <w:tab/>
      </w:r>
      <w:r w:rsidR="00301015">
        <w:rPr>
          <w:rFonts w:ascii="Times New Roman" w:hAnsi="Times New Roman" w:cs="Times New Roman"/>
          <w:i/>
        </w:rPr>
        <w:tab/>
      </w:r>
    </w:p>
    <w:p w14:paraId="641F46FD" w14:textId="6D6AA921" w:rsidR="00BE1A41" w:rsidRDefault="00BE1A41" w:rsidP="00105C03">
      <w:pPr>
        <w:pStyle w:val="ListParagraph"/>
        <w:numPr>
          <w:ilvl w:val="0"/>
          <w:numId w:val="8"/>
        </w:numPr>
        <w:rPr>
          <w:rFonts w:ascii="Times New Roman" w:hAnsi="Times New Roman" w:cs="Times New Roman"/>
          <w:i/>
        </w:rPr>
      </w:pPr>
      <w:r>
        <w:rPr>
          <w:rFonts w:ascii="Times New Roman" w:hAnsi="Times New Roman" w:cs="Times New Roman"/>
          <w:i/>
        </w:rPr>
        <w:t>Debt</w:t>
      </w:r>
      <w:r w:rsidR="00301015">
        <w:rPr>
          <w:rFonts w:ascii="Times New Roman" w:hAnsi="Times New Roman" w:cs="Times New Roman"/>
          <w:i/>
        </w:rPr>
        <w:tab/>
      </w:r>
      <w:r w:rsidR="00301015">
        <w:rPr>
          <w:rFonts w:ascii="Times New Roman" w:hAnsi="Times New Roman" w:cs="Times New Roman"/>
          <w:i/>
        </w:rPr>
        <w:tab/>
      </w:r>
      <w:r w:rsidR="00301015">
        <w:rPr>
          <w:rFonts w:ascii="Times New Roman" w:hAnsi="Times New Roman" w:cs="Times New Roman"/>
          <w:i/>
        </w:rPr>
        <w:tab/>
      </w:r>
      <w:r w:rsidR="00301015">
        <w:rPr>
          <w:rFonts w:ascii="Times New Roman" w:hAnsi="Times New Roman" w:cs="Times New Roman"/>
          <w:i/>
        </w:rPr>
        <w:tab/>
      </w:r>
      <w:r w:rsidR="00301015">
        <w:rPr>
          <w:rFonts w:ascii="Times New Roman" w:hAnsi="Times New Roman" w:cs="Times New Roman"/>
          <w:i/>
        </w:rPr>
        <w:tab/>
      </w:r>
      <w:r w:rsidR="00301015">
        <w:rPr>
          <w:rFonts w:ascii="Times New Roman" w:hAnsi="Times New Roman" w:cs="Times New Roman"/>
          <w:i/>
        </w:rPr>
        <w:tab/>
      </w:r>
      <w:r w:rsidR="00301015">
        <w:rPr>
          <w:rFonts w:ascii="Times New Roman" w:hAnsi="Times New Roman" w:cs="Times New Roman"/>
          <w:i/>
        </w:rPr>
        <w:tab/>
      </w:r>
      <w:r w:rsidR="00301015">
        <w:rPr>
          <w:rFonts w:ascii="Times New Roman" w:hAnsi="Times New Roman" w:cs="Times New Roman"/>
          <w:i/>
        </w:rPr>
        <w:tab/>
      </w:r>
      <w:r w:rsidR="00301015">
        <w:rPr>
          <w:rFonts w:ascii="Times New Roman" w:hAnsi="Times New Roman" w:cs="Times New Roman"/>
          <w:i/>
        </w:rPr>
        <w:tab/>
      </w:r>
    </w:p>
    <w:p w14:paraId="4BC9BF00" w14:textId="2FE7419D" w:rsidR="002D609A" w:rsidRDefault="002D609A" w:rsidP="00105C03">
      <w:pPr>
        <w:pStyle w:val="ListParagraph"/>
        <w:numPr>
          <w:ilvl w:val="0"/>
          <w:numId w:val="8"/>
        </w:numPr>
        <w:rPr>
          <w:rFonts w:ascii="Times New Roman" w:hAnsi="Times New Roman" w:cs="Times New Roman"/>
          <w:i/>
        </w:rPr>
      </w:pPr>
      <w:r>
        <w:rPr>
          <w:rFonts w:ascii="Times New Roman" w:hAnsi="Times New Roman" w:cs="Times New Roman"/>
          <w:i/>
        </w:rPr>
        <w:t>Assets</w:t>
      </w:r>
      <w:r w:rsidR="00CB0996">
        <w:rPr>
          <w:rFonts w:ascii="Times New Roman" w:hAnsi="Times New Roman" w:cs="Times New Roman"/>
          <w:i/>
        </w:rPr>
        <w:tab/>
      </w:r>
      <w:r w:rsidR="00CB0996">
        <w:rPr>
          <w:rFonts w:ascii="Times New Roman" w:hAnsi="Times New Roman" w:cs="Times New Roman"/>
          <w:i/>
        </w:rPr>
        <w:tab/>
      </w:r>
      <w:r w:rsidR="00CB0996">
        <w:rPr>
          <w:rFonts w:ascii="Times New Roman" w:hAnsi="Times New Roman" w:cs="Times New Roman"/>
          <w:i/>
        </w:rPr>
        <w:tab/>
      </w:r>
      <w:r w:rsidR="00CB0996">
        <w:rPr>
          <w:rFonts w:ascii="Times New Roman" w:hAnsi="Times New Roman" w:cs="Times New Roman"/>
          <w:i/>
        </w:rPr>
        <w:tab/>
      </w:r>
      <w:r w:rsidR="00CB0996">
        <w:rPr>
          <w:rFonts w:ascii="Times New Roman" w:hAnsi="Times New Roman" w:cs="Times New Roman"/>
          <w:i/>
        </w:rPr>
        <w:tab/>
      </w:r>
      <w:r w:rsidR="00CB0996">
        <w:rPr>
          <w:rFonts w:ascii="Times New Roman" w:hAnsi="Times New Roman" w:cs="Times New Roman"/>
          <w:i/>
        </w:rPr>
        <w:tab/>
      </w:r>
      <w:r w:rsidR="00CB0996">
        <w:rPr>
          <w:rFonts w:ascii="Times New Roman" w:hAnsi="Times New Roman" w:cs="Times New Roman"/>
          <w:i/>
        </w:rPr>
        <w:tab/>
      </w:r>
      <w:r w:rsidR="00CB0996">
        <w:rPr>
          <w:rFonts w:ascii="Times New Roman" w:hAnsi="Times New Roman" w:cs="Times New Roman"/>
          <w:i/>
        </w:rPr>
        <w:tab/>
      </w:r>
      <w:r w:rsidR="00CB0996">
        <w:rPr>
          <w:rFonts w:ascii="Times New Roman" w:hAnsi="Times New Roman" w:cs="Times New Roman"/>
          <w:i/>
        </w:rPr>
        <w:tab/>
      </w:r>
    </w:p>
    <w:p w14:paraId="52CF0D27" w14:textId="77777777" w:rsidR="00003007" w:rsidRDefault="00003007" w:rsidP="00003007">
      <w:pPr>
        <w:rPr>
          <w:rFonts w:ascii="Times New Roman" w:hAnsi="Times New Roman" w:cs="Times New Roman"/>
        </w:rPr>
      </w:pPr>
    </w:p>
    <w:p w14:paraId="100DEFC8" w14:textId="55CCE9CB" w:rsidR="00840F84" w:rsidRDefault="00840F84" w:rsidP="00003007">
      <w:pPr>
        <w:rPr>
          <w:rFonts w:ascii="Times New Roman" w:hAnsi="Times New Roman" w:cs="Times New Roman"/>
        </w:rPr>
      </w:pPr>
      <w:r>
        <w:rPr>
          <w:rFonts w:ascii="Times New Roman" w:hAnsi="Times New Roman" w:cs="Times New Roman"/>
        </w:rPr>
        <w:t>IV</w:t>
      </w:r>
      <w:r w:rsidR="008D0D0F">
        <w:rPr>
          <w:rFonts w:ascii="Times New Roman" w:hAnsi="Times New Roman" w:cs="Times New Roman"/>
        </w:rPr>
        <w:t>.</w:t>
      </w:r>
      <w:r w:rsidR="008D0D0F">
        <w:rPr>
          <w:rFonts w:ascii="Times New Roman" w:hAnsi="Times New Roman" w:cs="Times New Roman"/>
        </w:rPr>
        <w:tab/>
        <w:t>Is Chapter 11 Succeeding?</w:t>
      </w:r>
      <w:r w:rsidR="008D0D0F">
        <w:rPr>
          <w:rFonts w:ascii="Times New Roman" w:hAnsi="Times New Roman" w:cs="Times New Roman"/>
        </w:rPr>
        <w:tab/>
      </w:r>
      <w:r w:rsidR="008D0D0F">
        <w:rPr>
          <w:rFonts w:ascii="Times New Roman" w:hAnsi="Times New Roman" w:cs="Times New Roman"/>
        </w:rPr>
        <w:tab/>
      </w:r>
      <w:r w:rsidR="008D0D0F">
        <w:rPr>
          <w:rFonts w:ascii="Times New Roman" w:hAnsi="Times New Roman" w:cs="Times New Roman"/>
        </w:rPr>
        <w:tab/>
      </w:r>
      <w:r w:rsidR="008D0D0F">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AD2919C" w14:textId="47106DED" w:rsidR="007B1AA4" w:rsidRDefault="00840F84" w:rsidP="00840F84">
      <w:pPr>
        <w:ind w:left="1080" w:hanging="360"/>
        <w:rPr>
          <w:rFonts w:ascii="Times New Roman" w:hAnsi="Times New Roman" w:cs="Times New Roman"/>
        </w:rPr>
      </w:pPr>
      <w:r>
        <w:rPr>
          <w:rFonts w:ascii="Times New Roman" w:hAnsi="Times New Roman" w:cs="Times New Roman"/>
        </w:rPr>
        <w:t>A.</w:t>
      </w:r>
      <w:r w:rsidR="00003007">
        <w:rPr>
          <w:rFonts w:ascii="Times New Roman" w:hAnsi="Times New Roman" w:cs="Times New Roman"/>
        </w:rPr>
        <w:tab/>
      </w:r>
      <w:r w:rsidR="00904288">
        <w:rPr>
          <w:rFonts w:ascii="Times New Roman" w:hAnsi="Times New Roman" w:cs="Times New Roman"/>
        </w:rPr>
        <w:t>Debtor Success—</w:t>
      </w:r>
      <w:r w:rsidR="007B1AA4">
        <w:rPr>
          <w:rFonts w:ascii="Times New Roman" w:hAnsi="Times New Roman" w:cs="Times New Roman"/>
        </w:rPr>
        <w:t>The PACER Data</w:t>
      </w:r>
      <w:r>
        <w:rPr>
          <w:rFonts w:ascii="Times New Roman" w:hAnsi="Times New Roman" w:cs="Times New Roman"/>
        </w:rPr>
        <w:tab/>
      </w:r>
    </w:p>
    <w:p w14:paraId="3BC535C3" w14:textId="027663DC" w:rsidR="007B1AA4" w:rsidRPr="00003007" w:rsidRDefault="007B1AA4" w:rsidP="00003007">
      <w:pPr>
        <w:pStyle w:val="ListParagraph"/>
        <w:numPr>
          <w:ilvl w:val="0"/>
          <w:numId w:val="29"/>
        </w:numPr>
        <w:rPr>
          <w:rFonts w:ascii="Times New Roman" w:hAnsi="Times New Roman" w:cs="Times New Roman"/>
          <w:i/>
        </w:rPr>
      </w:pPr>
      <w:r w:rsidRPr="00003007">
        <w:rPr>
          <w:rFonts w:ascii="Times New Roman" w:hAnsi="Times New Roman" w:cs="Times New Roman"/>
          <w:i/>
        </w:rPr>
        <w:t>Defining Success</w:t>
      </w:r>
    </w:p>
    <w:p w14:paraId="2A21135B" w14:textId="77777777" w:rsidR="007B1AA4" w:rsidRPr="007B1AA4" w:rsidRDefault="007B1AA4" w:rsidP="00003007">
      <w:pPr>
        <w:pStyle w:val="ListParagraph"/>
        <w:numPr>
          <w:ilvl w:val="0"/>
          <w:numId w:val="29"/>
        </w:numPr>
        <w:rPr>
          <w:rFonts w:ascii="Times New Roman" w:hAnsi="Times New Roman" w:cs="Times New Roman"/>
        </w:rPr>
      </w:pPr>
      <w:r>
        <w:rPr>
          <w:rFonts w:ascii="Times New Roman" w:hAnsi="Times New Roman" w:cs="Times New Roman"/>
          <w:i/>
        </w:rPr>
        <w:t>Predicting Success</w:t>
      </w:r>
    </w:p>
    <w:p w14:paraId="5CC6ED2D" w14:textId="3F2037B0" w:rsidR="007B1AA4" w:rsidRDefault="00840F84" w:rsidP="00840F84">
      <w:pPr>
        <w:ind w:left="108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7B1AA4">
        <w:rPr>
          <w:rFonts w:ascii="Times New Roman" w:hAnsi="Times New Roman" w:cs="Times New Roman"/>
        </w:rPr>
        <w:t xml:space="preserve">Debtor </w:t>
      </w:r>
      <w:r w:rsidR="00904288">
        <w:rPr>
          <w:rFonts w:ascii="Times New Roman" w:hAnsi="Times New Roman" w:cs="Times New Roman"/>
        </w:rPr>
        <w:t>Success—</w:t>
      </w:r>
      <w:r w:rsidR="007B1AA4">
        <w:rPr>
          <w:rFonts w:ascii="Times New Roman" w:hAnsi="Times New Roman" w:cs="Times New Roman"/>
        </w:rPr>
        <w:t>T</w:t>
      </w:r>
      <w:r>
        <w:rPr>
          <w:rFonts w:ascii="Times New Roman" w:hAnsi="Times New Roman" w:cs="Times New Roman"/>
        </w:rPr>
        <w:t>he Random Sample Data</w:t>
      </w:r>
    </w:p>
    <w:p w14:paraId="7EBDF953" w14:textId="77777777" w:rsidR="007B1AA4" w:rsidRDefault="007B1AA4" w:rsidP="00840F84">
      <w:pPr>
        <w:ind w:left="1080" w:hanging="360"/>
        <w:rPr>
          <w:rFonts w:ascii="Times New Roman" w:hAnsi="Times New Roman" w:cs="Times New Roman"/>
          <w:i/>
        </w:rPr>
      </w:pPr>
      <w:r>
        <w:rPr>
          <w:rFonts w:ascii="Times New Roman" w:hAnsi="Times New Roman" w:cs="Times New Roman"/>
        </w:rPr>
        <w:tab/>
      </w:r>
      <w:r>
        <w:rPr>
          <w:rFonts w:ascii="Times New Roman" w:hAnsi="Times New Roman" w:cs="Times New Roman"/>
          <w:i/>
        </w:rPr>
        <w:t>1.</w:t>
      </w:r>
      <w:r>
        <w:rPr>
          <w:rFonts w:ascii="Times New Roman" w:hAnsi="Times New Roman" w:cs="Times New Roman"/>
          <w:i/>
        </w:rPr>
        <w:tab/>
        <w:t>Defining Success</w:t>
      </w:r>
    </w:p>
    <w:p w14:paraId="4742B554" w14:textId="77777777" w:rsidR="007B1AA4" w:rsidRDefault="007B1AA4" w:rsidP="00840F84">
      <w:pPr>
        <w:ind w:left="1080" w:hanging="360"/>
        <w:rPr>
          <w:rFonts w:ascii="Times New Roman" w:hAnsi="Times New Roman" w:cs="Times New Roman"/>
          <w:i/>
        </w:rPr>
      </w:pPr>
      <w:r>
        <w:rPr>
          <w:rFonts w:ascii="Times New Roman" w:hAnsi="Times New Roman" w:cs="Times New Roman"/>
          <w:i/>
        </w:rPr>
        <w:tab/>
        <w:t>2.</w:t>
      </w:r>
      <w:r>
        <w:rPr>
          <w:rFonts w:ascii="Times New Roman" w:hAnsi="Times New Roman" w:cs="Times New Roman"/>
          <w:i/>
        </w:rPr>
        <w:tab/>
        <w:t>Predicting Success</w:t>
      </w:r>
    </w:p>
    <w:p w14:paraId="5CC56684" w14:textId="10274F8F" w:rsidR="00840F84" w:rsidRDefault="007B1AA4" w:rsidP="00840F84">
      <w:pPr>
        <w:ind w:left="1080" w:hanging="360"/>
        <w:rPr>
          <w:rFonts w:ascii="Times New Roman" w:hAnsi="Times New Roman" w:cs="Times New Roman"/>
        </w:rPr>
      </w:pPr>
      <w:r>
        <w:rPr>
          <w:rFonts w:ascii="Times New Roman" w:hAnsi="Times New Roman" w:cs="Times New Roman"/>
          <w:i/>
        </w:rPr>
        <w:tab/>
        <w:t>3.</w:t>
      </w:r>
      <w:r>
        <w:rPr>
          <w:rFonts w:ascii="Times New Roman" w:hAnsi="Times New Roman" w:cs="Times New Roman"/>
          <w:i/>
        </w:rPr>
        <w:tab/>
        <w:t>Direct Evidence of the Impact of the Absolute Priority Rule</w:t>
      </w:r>
      <w:r w:rsidR="00840F84">
        <w:rPr>
          <w:rFonts w:ascii="Times New Roman" w:hAnsi="Times New Roman" w:cs="Times New Roman"/>
        </w:rPr>
        <w:tab/>
      </w:r>
      <w:r w:rsidR="00840F84">
        <w:rPr>
          <w:rFonts w:ascii="Times New Roman" w:hAnsi="Times New Roman" w:cs="Times New Roman"/>
        </w:rPr>
        <w:tab/>
      </w:r>
      <w:r w:rsidR="00840F84">
        <w:rPr>
          <w:rFonts w:ascii="Times New Roman" w:hAnsi="Times New Roman" w:cs="Times New Roman"/>
        </w:rPr>
        <w:tab/>
      </w:r>
    </w:p>
    <w:p w14:paraId="1BFABC88" w14:textId="188213A0" w:rsidR="00840F84" w:rsidRDefault="00840F84" w:rsidP="00840F84">
      <w:pPr>
        <w:ind w:left="108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7B1AA4">
        <w:rPr>
          <w:rFonts w:ascii="Times New Roman" w:hAnsi="Times New Roman" w:cs="Times New Roman"/>
        </w:rPr>
        <w:t xml:space="preserve">Timely Disposition of Cases </w:t>
      </w:r>
    </w:p>
    <w:p w14:paraId="54ED40EA" w14:textId="7874D35F" w:rsidR="00840F84" w:rsidRPr="008D0D0F" w:rsidRDefault="00840F84" w:rsidP="00840F84">
      <w:pPr>
        <w:ind w:left="1440" w:hanging="360"/>
        <w:rPr>
          <w:rFonts w:ascii="Times New Roman" w:hAnsi="Times New Roman" w:cs="Times New Roman"/>
          <w:i/>
        </w:rPr>
      </w:pPr>
      <w:r w:rsidRPr="008D0D0F">
        <w:rPr>
          <w:rFonts w:ascii="Times New Roman" w:hAnsi="Times New Roman" w:cs="Times New Roman"/>
          <w:i/>
        </w:rPr>
        <w:t>1.</w:t>
      </w:r>
      <w:r w:rsidRPr="008D0D0F">
        <w:rPr>
          <w:rFonts w:ascii="Times New Roman" w:hAnsi="Times New Roman" w:cs="Times New Roman"/>
          <w:i/>
        </w:rPr>
        <w:tab/>
        <w:t>PACER Case Report Data</w:t>
      </w:r>
    </w:p>
    <w:p w14:paraId="6C043512" w14:textId="639F670D" w:rsidR="00840F84" w:rsidRPr="008D0D0F" w:rsidRDefault="00840F84" w:rsidP="00840F84">
      <w:pPr>
        <w:ind w:left="1440" w:hanging="360"/>
        <w:rPr>
          <w:rFonts w:ascii="Times New Roman" w:hAnsi="Times New Roman" w:cs="Times New Roman"/>
          <w:i/>
        </w:rPr>
      </w:pPr>
      <w:r w:rsidRPr="008D0D0F">
        <w:rPr>
          <w:rFonts w:ascii="Times New Roman" w:hAnsi="Times New Roman" w:cs="Times New Roman"/>
          <w:i/>
        </w:rPr>
        <w:t>2.</w:t>
      </w:r>
      <w:r w:rsidRPr="008D0D0F">
        <w:rPr>
          <w:rFonts w:ascii="Times New Roman" w:hAnsi="Times New Roman" w:cs="Times New Roman"/>
          <w:i/>
        </w:rPr>
        <w:tab/>
        <w:t>The Random Sample</w:t>
      </w:r>
      <w:r w:rsidR="0075317C">
        <w:rPr>
          <w:rFonts w:ascii="Times New Roman" w:hAnsi="Times New Roman" w:cs="Times New Roman"/>
          <w:i/>
        </w:rPr>
        <w:t xml:space="preserve"> </w:t>
      </w:r>
      <w:r w:rsidR="007B1AA4">
        <w:rPr>
          <w:rFonts w:ascii="Times New Roman" w:hAnsi="Times New Roman" w:cs="Times New Roman"/>
          <w:i/>
        </w:rPr>
        <w:t>Data</w:t>
      </w:r>
      <w:r w:rsidRPr="008D0D0F">
        <w:rPr>
          <w:rFonts w:ascii="Times New Roman" w:hAnsi="Times New Roman" w:cs="Times New Roman"/>
          <w:i/>
        </w:rPr>
        <w:tab/>
      </w:r>
      <w:r w:rsidRPr="008D0D0F">
        <w:rPr>
          <w:rFonts w:ascii="Times New Roman" w:hAnsi="Times New Roman" w:cs="Times New Roman"/>
          <w:i/>
        </w:rPr>
        <w:tab/>
      </w:r>
      <w:r w:rsidRPr="008D0D0F">
        <w:rPr>
          <w:rFonts w:ascii="Times New Roman" w:hAnsi="Times New Roman" w:cs="Times New Roman"/>
          <w:i/>
        </w:rPr>
        <w:tab/>
      </w:r>
      <w:r w:rsidRPr="008D0D0F">
        <w:rPr>
          <w:rFonts w:ascii="Times New Roman" w:hAnsi="Times New Roman" w:cs="Times New Roman"/>
          <w:i/>
        </w:rPr>
        <w:tab/>
      </w:r>
      <w:r w:rsidRPr="008D0D0F">
        <w:rPr>
          <w:rFonts w:ascii="Times New Roman" w:hAnsi="Times New Roman" w:cs="Times New Roman"/>
          <w:i/>
        </w:rPr>
        <w:tab/>
      </w:r>
      <w:r w:rsidRPr="008D0D0F">
        <w:rPr>
          <w:rFonts w:ascii="Times New Roman" w:hAnsi="Times New Roman" w:cs="Times New Roman"/>
          <w:i/>
        </w:rPr>
        <w:tab/>
      </w:r>
    </w:p>
    <w:p w14:paraId="49D2EFE4" w14:textId="77777777" w:rsidR="00003007" w:rsidRDefault="00003007" w:rsidP="00003007">
      <w:pPr>
        <w:rPr>
          <w:rFonts w:ascii="Times New Roman" w:hAnsi="Times New Roman" w:cs="Times New Roman"/>
        </w:rPr>
      </w:pPr>
    </w:p>
    <w:p w14:paraId="06697203" w14:textId="62733BAE" w:rsidR="00B82B2A" w:rsidRPr="00840F84" w:rsidRDefault="00840F84" w:rsidP="00003007">
      <w:pPr>
        <w:rPr>
          <w:rFonts w:ascii="Times New Roman" w:hAnsi="Times New Roman" w:cs="Times New Roman"/>
        </w:rPr>
      </w:pPr>
      <w:r>
        <w:rPr>
          <w:rFonts w:ascii="Times New Roman" w:hAnsi="Times New Roman" w:cs="Times New Roman"/>
        </w:rPr>
        <w:t>V.</w:t>
      </w:r>
      <w:r>
        <w:rPr>
          <w:rFonts w:ascii="Times New Roman" w:hAnsi="Times New Roman" w:cs="Times New Roman"/>
        </w:rPr>
        <w:tab/>
      </w:r>
      <w:r w:rsidR="00B82B2A" w:rsidRPr="00840F84">
        <w:rPr>
          <w:rFonts w:ascii="Times New Roman" w:hAnsi="Times New Roman" w:cs="Times New Roman"/>
        </w:rPr>
        <w:t>Conclusions and Next Steps</w:t>
      </w:r>
      <w:r w:rsidR="004E4ACE" w:rsidRPr="00840F84">
        <w:rPr>
          <w:rFonts w:ascii="Times New Roman" w:hAnsi="Times New Roman" w:cs="Times New Roman"/>
        </w:rPr>
        <w:tab/>
      </w:r>
      <w:r w:rsidR="004E4ACE" w:rsidRPr="00840F84">
        <w:rPr>
          <w:rFonts w:ascii="Times New Roman" w:hAnsi="Times New Roman" w:cs="Times New Roman"/>
        </w:rPr>
        <w:tab/>
      </w:r>
      <w:r w:rsidR="004E4ACE" w:rsidRPr="00840F84">
        <w:rPr>
          <w:rFonts w:ascii="Times New Roman" w:hAnsi="Times New Roman" w:cs="Times New Roman"/>
        </w:rPr>
        <w:tab/>
      </w:r>
      <w:r w:rsidR="004E4ACE" w:rsidRPr="00840F84">
        <w:rPr>
          <w:rFonts w:ascii="Times New Roman" w:hAnsi="Times New Roman" w:cs="Times New Roman"/>
        </w:rPr>
        <w:tab/>
      </w:r>
      <w:r w:rsidR="004E4ACE" w:rsidRPr="00840F84">
        <w:rPr>
          <w:rFonts w:ascii="Times New Roman" w:hAnsi="Times New Roman" w:cs="Times New Roman"/>
        </w:rPr>
        <w:tab/>
      </w:r>
      <w:r w:rsidR="004E4ACE" w:rsidRPr="00840F84">
        <w:rPr>
          <w:rFonts w:ascii="Times New Roman" w:hAnsi="Times New Roman" w:cs="Times New Roman"/>
        </w:rPr>
        <w:tab/>
      </w:r>
      <w:r w:rsidR="004E4ACE" w:rsidRPr="00840F84">
        <w:rPr>
          <w:rFonts w:ascii="Times New Roman" w:hAnsi="Times New Roman" w:cs="Times New Roman"/>
        </w:rPr>
        <w:tab/>
      </w:r>
    </w:p>
    <w:p w14:paraId="3DE34A4E" w14:textId="77777777" w:rsidR="00105189" w:rsidRPr="0074488C" w:rsidRDefault="00105189" w:rsidP="00BF115B">
      <w:pPr>
        <w:jc w:val="center"/>
        <w:rPr>
          <w:rFonts w:ascii="Times New Roman" w:hAnsi="Times New Roman" w:cs="Times New Roman"/>
        </w:rPr>
      </w:pPr>
    </w:p>
    <w:p w14:paraId="762CE071" w14:textId="32AB401E" w:rsidR="00105189" w:rsidRPr="00AC29B3" w:rsidRDefault="00105189" w:rsidP="00105189">
      <w:pPr>
        <w:rPr>
          <w:rFonts w:ascii="Times New Roman" w:hAnsi="Times New Roman" w:cs="Times New Roman"/>
          <w:b/>
        </w:rPr>
      </w:pPr>
      <w:r w:rsidRPr="00AC29B3">
        <w:rPr>
          <w:rFonts w:ascii="Times New Roman" w:hAnsi="Times New Roman" w:cs="Times New Roman"/>
          <w:b/>
        </w:rPr>
        <w:t>Tables</w:t>
      </w:r>
    </w:p>
    <w:p w14:paraId="6F1EF1CB" w14:textId="79C57286" w:rsidR="00B968A6" w:rsidRPr="0074488C" w:rsidRDefault="00202BB0" w:rsidP="0074488C">
      <w:pPr>
        <w:rPr>
          <w:rFonts w:ascii="Times New Roman" w:hAnsi="Times New Roman" w:cs="Times New Roman"/>
        </w:rPr>
      </w:pPr>
      <w:r w:rsidRPr="0074488C">
        <w:rPr>
          <w:rFonts w:ascii="Times New Roman" w:hAnsi="Times New Roman" w:cs="Times New Roman"/>
        </w:rPr>
        <w:t>Table 1: Debtor Type for Chapter 11 Cases</w:t>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p>
    <w:p w14:paraId="7CB657C6" w14:textId="7EE7A546" w:rsidR="00B968A6" w:rsidRPr="0074488C" w:rsidRDefault="00B968A6" w:rsidP="0074488C">
      <w:pPr>
        <w:keepNext/>
        <w:rPr>
          <w:rFonts w:ascii="Times New Roman" w:hAnsi="Times New Roman" w:cs="Times New Roman"/>
        </w:rPr>
      </w:pPr>
      <w:r w:rsidRPr="0074488C">
        <w:rPr>
          <w:rFonts w:ascii="Times New Roman" w:hAnsi="Times New Roman" w:cs="Times New Roman"/>
        </w:rPr>
        <w:t>Table 2: Conversion Between Chapt</w:t>
      </w:r>
      <w:r w:rsidR="00904288">
        <w:rPr>
          <w:rFonts w:ascii="Times New Roman" w:hAnsi="Times New Roman" w:cs="Times New Roman"/>
        </w:rPr>
        <w:t>ers for Individual Bankruptcy—</w:t>
      </w:r>
      <w:r w:rsidRPr="0074488C">
        <w:rPr>
          <w:rFonts w:ascii="Times New Roman" w:hAnsi="Times New Roman" w:cs="Times New Roman"/>
        </w:rPr>
        <w:t>2010</w:t>
      </w:r>
      <w:r w:rsidR="00E00F12">
        <w:rPr>
          <w:rFonts w:ascii="Times New Roman" w:hAnsi="Times New Roman" w:cs="Times New Roman"/>
        </w:rPr>
        <w:tab/>
      </w:r>
    </w:p>
    <w:p w14:paraId="0E4C6221" w14:textId="438D3357" w:rsidR="00B968A6" w:rsidRPr="0074488C" w:rsidRDefault="00B968A6" w:rsidP="0074488C">
      <w:pPr>
        <w:keepNext/>
        <w:rPr>
          <w:rFonts w:ascii="Times New Roman" w:hAnsi="Times New Roman" w:cs="Times New Roman"/>
        </w:rPr>
      </w:pPr>
      <w:r w:rsidRPr="0074488C">
        <w:rPr>
          <w:rFonts w:ascii="Times New Roman" w:hAnsi="Times New Roman" w:cs="Times New Roman"/>
        </w:rPr>
        <w:t xml:space="preserve">Table </w:t>
      </w:r>
      <w:r w:rsidR="00F42C5C">
        <w:rPr>
          <w:rFonts w:ascii="Times New Roman" w:hAnsi="Times New Roman" w:cs="Times New Roman"/>
        </w:rPr>
        <w:t>3</w:t>
      </w:r>
      <w:r w:rsidRPr="0074488C">
        <w:rPr>
          <w:rFonts w:ascii="Times New Roman" w:hAnsi="Times New Roman" w:cs="Times New Roman"/>
        </w:rPr>
        <w:t>: Conversion Between Cha</w:t>
      </w:r>
      <w:r w:rsidR="00904288">
        <w:rPr>
          <w:rFonts w:ascii="Times New Roman" w:hAnsi="Times New Roman" w:cs="Times New Roman"/>
        </w:rPr>
        <w:t>pters for Individual Bankruptcy—</w:t>
      </w:r>
      <w:r w:rsidRPr="0074488C">
        <w:rPr>
          <w:rFonts w:ascii="Times New Roman" w:hAnsi="Times New Roman" w:cs="Times New Roman"/>
        </w:rPr>
        <w:t>2013</w:t>
      </w:r>
      <w:r w:rsidR="00E00F12">
        <w:rPr>
          <w:rFonts w:ascii="Times New Roman" w:hAnsi="Times New Roman" w:cs="Times New Roman"/>
        </w:rPr>
        <w:tab/>
      </w:r>
    </w:p>
    <w:p w14:paraId="1F4C3A0D" w14:textId="26C78999" w:rsidR="00F049D5" w:rsidRDefault="00EB6226" w:rsidP="00F049D5">
      <w:pPr>
        <w:rPr>
          <w:rFonts w:ascii="Times New Roman" w:hAnsi="Times New Roman" w:cs="Times New Roman"/>
        </w:rPr>
      </w:pPr>
      <w:r w:rsidRPr="0074488C">
        <w:rPr>
          <w:rFonts w:ascii="Times New Roman" w:hAnsi="Times New Roman" w:cs="Times New Roman"/>
        </w:rPr>
        <w:t xml:space="preserve">Table </w:t>
      </w:r>
      <w:r w:rsidR="00F42C5C">
        <w:rPr>
          <w:rFonts w:ascii="Times New Roman" w:hAnsi="Times New Roman" w:cs="Times New Roman"/>
        </w:rPr>
        <w:t>4</w:t>
      </w:r>
      <w:r w:rsidRPr="0074488C">
        <w:rPr>
          <w:rFonts w:ascii="Times New Roman" w:hAnsi="Times New Roman" w:cs="Times New Roman"/>
        </w:rPr>
        <w:t>: Top 5 and Bottom 5 Districts for Individual Chapter 11 Filings</w:t>
      </w:r>
      <w:r w:rsidR="00E00F12">
        <w:rPr>
          <w:rFonts w:ascii="Times New Roman" w:hAnsi="Times New Roman" w:cs="Times New Roman"/>
        </w:rPr>
        <w:tab/>
      </w:r>
      <w:r w:rsidR="00E00F12">
        <w:rPr>
          <w:rFonts w:ascii="Times New Roman" w:hAnsi="Times New Roman" w:cs="Times New Roman"/>
        </w:rPr>
        <w:tab/>
      </w:r>
    </w:p>
    <w:p w14:paraId="3F8EC387" w14:textId="4FF6836E" w:rsidR="00F049D5" w:rsidRDefault="00EB6226" w:rsidP="00F049D5">
      <w:pPr>
        <w:rPr>
          <w:rFonts w:ascii="Times New Roman" w:hAnsi="Times New Roman" w:cs="Times New Roman"/>
        </w:rPr>
      </w:pPr>
      <w:r w:rsidRPr="0074488C">
        <w:rPr>
          <w:rFonts w:ascii="Times New Roman" w:hAnsi="Times New Roman" w:cs="Times New Roman"/>
        </w:rPr>
        <w:t xml:space="preserve">Table </w:t>
      </w:r>
      <w:r w:rsidR="00F42C5C">
        <w:rPr>
          <w:rFonts w:ascii="Times New Roman" w:hAnsi="Times New Roman" w:cs="Times New Roman"/>
        </w:rPr>
        <w:t>5</w:t>
      </w:r>
      <w:r w:rsidRPr="0074488C">
        <w:rPr>
          <w:rFonts w:ascii="Times New Roman" w:hAnsi="Times New Roman" w:cs="Times New Roman"/>
        </w:rPr>
        <w:t>: Primary Nature of Debt</w:t>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p>
    <w:p w14:paraId="10AA455F" w14:textId="3F1CEC6D" w:rsidR="00F049D5" w:rsidRDefault="00EB6226" w:rsidP="00F049D5">
      <w:pPr>
        <w:rPr>
          <w:rFonts w:ascii="Times New Roman" w:hAnsi="Times New Roman" w:cs="Times New Roman"/>
        </w:rPr>
      </w:pPr>
      <w:r w:rsidRPr="0074488C">
        <w:rPr>
          <w:rFonts w:ascii="Times New Roman" w:hAnsi="Times New Roman" w:cs="Times New Roman"/>
        </w:rPr>
        <w:t xml:space="preserve">Table </w:t>
      </w:r>
      <w:r w:rsidR="00F42C5C">
        <w:rPr>
          <w:rFonts w:ascii="Times New Roman" w:hAnsi="Times New Roman" w:cs="Times New Roman"/>
        </w:rPr>
        <w:t>6</w:t>
      </w:r>
      <w:r w:rsidR="00904288">
        <w:rPr>
          <w:rFonts w:ascii="Times New Roman" w:hAnsi="Times New Roman" w:cs="Times New Roman"/>
        </w:rPr>
        <w:t xml:space="preserve">: </w:t>
      </w:r>
      <w:r w:rsidRPr="0074488C">
        <w:rPr>
          <w:rFonts w:ascii="Times New Roman" w:hAnsi="Times New Roman" w:cs="Times New Roman"/>
        </w:rPr>
        <w:t>Small Business Debtors</w:t>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r w:rsidR="00E00F12">
        <w:rPr>
          <w:rFonts w:ascii="Times New Roman" w:hAnsi="Times New Roman" w:cs="Times New Roman"/>
        </w:rPr>
        <w:tab/>
      </w:r>
    </w:p>
    <w:p w14:paraId="475E3D2E" w14:textId="1EB1D713" w:rsidR="00F049D5" w:rsidRDefault="00EB6226" w:rsidP="00F049D5">
      <w:pPr>
        <w:rPr>
          <w:rFonts w:ascii="Times New Roman" w:hAnsi="Times New Roman" w:cs="Times New Roman"/>
        </w:rPr>
      </w:pPr>
      <w:r w:rsidRPr="0074488C">
        <w:rPr>
          <w:rFonts w:ascii="Times New Roman" w:hAnsi="Times New Roman" w:cs="Times New Roman"/>
        </w:rPr>
        <w:lastRenderedPageBreak/>
        <w:t xml:space="preserve">Table </w:t>
      </w:r>
      <w:r w:rsidR="00F42C5C">
        <w:rPr>
          <w:rFonts w:ascii="Times New Roman" w:hAnsi="Times New Roman" w:cs="Times New Roman"/>
        </w:rPr>
        <w:t>7</w:t>
      </w:r>
      <w:r w:rsidRPr="0074488C">
        <w:rPr>
          <w:rFonts w:ascii="Times New Roman" w:hAnsi="Times New Roman" w:cs="Times New Roman"/>
        </w:rPr>
        <w:t xml:space="preserve">: Assets </w:t>
      </w:r>
      <w:r w:rsidR="00904288">
        <w:rPr>
          <w:rFonts w:ascii="Times New Roman" w:hAnsi="Times New Roman" w:cs="Times New Roman"/>
        </w:rPr>
        <w:t>Available for General Creditors—</w:t>
      </w:r>
      <w:r w:rsidR="0056738F">
        <w:rPr>
          <w:rFonts w:ascii="Times New Roman" w:hAnsi="Times New Roman" w:cs="Times New Roman"/>
        </w:rPr>
        <w:t>PACER Data</w:t>
      </w:r>
      <w:r w:rsidR="00EF57E6">
        <w:rPr>
          <w:rFonts w:ascii="Times New Roman" w:hAnsi="Times New Roman" w:cs="Times New Roman"/>
        </w:rPr>
        <w:tab/>
      </w:r>
      <w:r w:rsidR="00EF57E6">
        <w:rPr>
          <w:rFonts w:ascii="Times New Roman" w:hAnsi="Times New Roman" w:cs="Times New Roman"/>
        </w:rPr>
        <w:tab/>
      </w:r>
      <w:r w:rsidR="00EF57E6">
        <w:rPr>
          <w:rFonts w:ascii="Times New Roman" w:hAnsi="Times New Roman" w:cs="Times New Roman"/>
        </w:rPr>
        <w:tab/>
      </w:r>
      <w:r w:rsidR="00EF57E6">
        <w:rPr>
          <w:rFonts w:ascii="Times New Roman" w:hAnsi="Times New Roman" w:cs="Times New Roman"/>
        </w:rPr>
        <w:tab/>
      </w:r>
    </w:p>
    <w:p w14:paraId="63D490B0" w14:textId="53A6E6CA" w:rsidR="00F049D5" w:rsidRDefault="00EB6226" w:rsidP="00F049D5">
      <w:pPr>
        <w:rPr>
          <w:rFonts w:ascii="Times New Roman" w:hAnsi="Times New Roman" w:cs="Times New Roman"/>
        </w:rPr>
      </w:pPr>
      <w:r w:rsidRPr="0074488C">
        <w:rPr>
          <w:rFonts w:ascii="Times New Roman" w:hAnsi="Times New Roman" w:cs="Times New Roman"/>
        </w:rPr>
        <w:t xml:space="preserve">Table </w:t>
      </w:r>
      <w:r w:rsidR="00F42C5C">
        <w:rPr>
          <w:rFonts w:ascii="Times New Roman" w:hAnsi="Times New Roman" w:cs="Times New Roman"/>
        </w:rPr>
        <w:t>8</w:t>
      </w:r>
      <w:r w:rsidRPr="0074488C">
        <w:rPr>
          <w:rFonts w:ascii="Times New Roman" w:hAnsi="Times New Roman" w:cs="Times New Roman"/>
        </w:rPr>
        <w:t>: Attorneys</w:t>
      </w:r>
      <w:r w:rsidR="00EF57E6">
        <w:rPr>
          <w:rFonts w:ascii="Times New Roman" w:hAnsi="Times New Roman" w:cs="Times New Roman"/>
        </w:rPr>
        <w:tab/>
      </w:r>
      <w:r w:rsidR="00EF57E6">
        <w:rPr>
          <w:rFonts w:ascii="Times New Roman" w:hAnsi="Times New Roman" w:cs="Times New Roman"/>
        </w:rPr>
        <w:tab/>
      </w:r>
      <w:r w:rsidR="00EF57E6">
        <w:rPr>
          <w:rFonts w:ascii="Times New Roman" w:hAnsi="Times New Roman" w:cs="Times New Roman"/>
        </w:rPr>
        <w:tab/>
      </w:r>
      <w:r w:rsidR="00EF57E6">
        <w:rPr>
          <w:rFonts w:ascii="Times New Roman" w:hAnsi="Times New Roman" w:cs="Times New Roman"/>
        </w:rPr>
        <w:tab/>
      </w:r>
      <w:r w:rsidR="00EF57E6">
        <w:rPr>
          <w:rFonts w:ascii="Times New Roman" w:hAnsi="Times New Roman" w:cs="Times New Roman"/>
        </w:rPr>
        <w:tab/>
      </w:r>
      <w:r w:rsidR="00EF57E6">
        <w:rPr>
          <w:rFonts w:ascii="Times New Roman" w:hAnsi="Times New Roman" w:cs="Times New Roman"/>
        </w:rPr>
        <w:tab/>
      </w:r>
      <w:r w:rsidR="00EF57E6">
        <w:rPr>
          <w:rFonts w:ascii="Times New Roman" w:hAnsi="Times New Roman" w:cs="Times New Roman"/>
        </w:rPr>
        <w:tab/>
      </w:r>
      <w:r w:rsidR="00EF57E6">
        <w:rPr>
          <w:rFonts w:ascii="Times New Roman" w:hAnsi="Times New Roman" w:cs="Times New Roman"/>
        </w:rPr>
        <w:tab/>
      </w:r>
      <w:r w:rsidR="00EF57E6">
        <w:rPr>
          <w:rFonts w:ascii="Times New Roman" w:hAnsi="Times New Roman" w:cs="Times New Roman"/>
        </w:rPr>
        <w:tab/>
      </w:r>
    </w:p>
    <w:p w14:paraId="4674F55B" w14:textId="0E12658C" w:rsidR="00EB6226" w:rsidRDefault="00EB6226" w:rsidP="00F049D5">
      <w:pPr>
        <w:rPr>
          <w:rFonts w:ascii="Times New Roman" w:hAnsi="Times New Roman" w:cs="Times New Roman"/>
          <w:bCs/>
        </w:rPr>
      </w:pPr>
      <w:r w:rsidRPr="0074488C">
        <w:rPr>
          <w:rFonts w:ascii="Times New Roman" w:hAnsi="Times New Roman" w:cs="Times New Roman"/>
          <w:bCs/>
        </w:rPr>
        <w:t xml:space="preserve">Table </w:t>
      </w:r>
      <w:r w:rsidR="00F42C5C">
        <w:rPr>
          <w:rFonts w:ascii="Times New Roman" w:hAnsi="Times New Roman" w:cs="Times New Roman"/>
          <w:bCs/>
        </w:rPr>
        <w:t>9</w:t>
      </w:r>
      <w:r w:rsidRPr="0074488C">
        <w:rPr>
          <w:rFonts w:ascii="Times New Roman" w:hAnsi="Times New Roman" w:cs="Times New Roman"/>
          <w:bCs/>
        </w:rPr>
        <w:t xml:space="preserve">: </w:t>
      </w:r>
      <w:r w:rsidR="00F42C5C">
        <w:rPr>
          <w:rFonts w:ascii="Times New Roman" w:hAnsi="Times New Roman" w:cs="Times New Roman"/>
          <w:bCs/>
        </w:rPr>
        <w:t xml:space="preserve">Household Size and Marital Status </w:t>
      </w:r>
    </w:p>
    <w:p w14:paraId="788E9D8C" w14:textId="7FC7D20C" w:rsidR="001E60CD" w:rsidRDefault="001E60CD" w:rsidP="001F05DF">
      <w:pPr>
        <w:rPr>
          <w:rFonts w:ascii="Times New Roman" w:hAnsi="Times New Roman" w:cs="Times New Roman"/>
          <w:bCs/>
        </w:rPr>
      </w:pPr>
      <w:r>
        <w:rPr>
          <w:rFonts w:ascii="Times New Roman" w:hAnsi="Times New Roman" w:cs="Times New Roman"/>
          <w:bCs/>
        </w:rPr>
        <w:t xml:space="preserve">Table </w:t>
      </w:r>
      <w:r w:rsidR="00F42C5C">
        <w:rPr>
          <w:rFonts w:ascii="Times New Roman" w:hAnsi="Times New Roman" w:cs="Times New Roman"/>
          <w:bCs/>
        </w:rPr>
        <w:t>10</w:t>
      </w:r>
      <w:r>
        <w:rPr>
          <w:rFonts w:ascii="Times New Roman" w:hAnsi="Times New Roman" w:cs="Times New Roman"/>
          <w:bCs/>
        </w:rPr>
        <w:t xml:space="preserve">: </w:t>
      </w:r>
      <w:r w:rsidR="00F42C5C">
        <w:rPr>
          <w:rFonts w:ascii="Times New Roman" w:hAnsi="Times New Roman" w:cs="Times New Roman"/>
          <w:bCs/>
        </w:rPr>
        <w:t xml:space="preserve">Joint Filers and Sex of Debtor </w:t>
      </w:r>
    </w:p>
    <w:p w14:paraId="76CF5563" w14:textId="3F85B699" w:rsidR="001E60CD" w:rsidRDefault="001E60CD" w:rsidP="0074488C">
      <w:pPr>
        <w:keepNext/>
        <w:spacing w:line="276" w:lineRule="auto"/>
        <w:rPr>
          <w:rFonts w:ascii="Times New Roman" w:hAnsi="Times New Roman" w:cs="Times New Roman"/>
          <w:bCs/>
        </w:rPr>
      </w:pPr>
      <w:r>
        <w:rPr>
          <w:rFonts w:ascii="Times New Roman" w:hAnsi="Times New Roman" w:cs="Times New Roman"/>
          <w:bCs/>
        </w:rPr>
        <w:t>Table 1</w:t>
      </w:r>
      <w:r w:rsidR="00F42C5C">
        <w:rPr>
          <w:rFonts w:ascii="Times New Roman" w:hAnsi="Times New Roman" w:cs="Times New Roman"/>
          <w:bCs/>
        </w:rPr>
        <w:t>1</w:t>
      </w:r>
      <w:r>
        <w:rPr>
          <w:rFonts w:ascii="Times New Roman" w:hAnsi="Times New Roman" w:cs="Times New Roman"/>
          <w:bCs/>
        </w:rPr>
        <w:t xml:space="preserve">: </w:t>
      </w:r>
      <w:r w:rsidR="00F42C5C">
        <w:rPr>
          <w:rFonts w:ascii="Times New Roman" w:hAnsi="Times New Roman" w:cs="Times New Roman"/>
          <w:bCs/>
        </w:rPr>
        <w:t xml:space="preserve">Engaged in Business </w:t>
      </w:r>
    </w:p>
    <w:p w14:paraId="2F1E3D7F" w14:textId="283F6F10" w:rsidR="003F4A13" w:rsidRDefault="003F4A13" w:rsidP="0074488C">
      <w:pPr>
        <w:keepNext/>
        <w:spacing w:line="276" w:lineRule="auto"/>
        <w:rPr>
          <w:rFonts w:ascii="Times New Roman" w:hAnsi="Times New Roman" w:cs="Times New Roman"/>
          <w:bCs/>
        </w:rPr>
      </w:pPr>
      <w:r>
        <w:rPr>
          <w:rFonts w:ascii="Times New Roman" w:hAnsi="Times New Roman" w:cs="Times New Roman"/>
          <w:bCs/>
        </w:rPr>
        <w:t xml:space="preserve">Table </w:t>
      </w:r>
      <w:r w:rsidR="00F42C5C">
        <w:rPr>
          <w:rFonts w:ascii="Times New Roman" w:hAnsi="Times New Roman" w:cs="Times New Roman"/>
          <w:bCs/>
        </w:rPr>
        <w:t>12</w:t>
      </w:r>
      <w:r>
        <w:rPr>
          <w:rFonts w:ascii="Times New Roman" w:hAnsi="Times New Roman" w:cs="Times New Roman"/>
          <w:bCs/>
        </w:rPr>
        <w:t xml:space="preserve">: </w:t>
      </w:r>
      <w:r w:rsidR="00F42C5C">
        <w:rPr>
          <w:rFonts w:ascii="Times New Roman" w:hAnsi="Times New Roman" w:cs="Times New Roman"/>
          <w:bCs/>
        </w:rPr>
        <w:t>Related Bankruptcy Cases</w:t>
      </w:r>
    </w:p>
    <w:p w14:paraId="2F23AD71" w14:textId="70A2FB2B" w:rsidR="003F4A13" w:rsidRDefault="003F4A13" w:rsidP="0074488C">
      <w:pPr>
        <w:keepNext/>
        <w:spacing w:line="276" w:lineRule="auto"/>
        <w:rPr>
          <w:rFonts w:ascii="Times New Roman" w:hAnsi="Times New Roman" w:cs="Times New Roman"/>
          <w:bCs/>
        </w:rPr>
      </w:pPr>
      <w:r>
        <w:rPr>
          <w:rFonts w:ascii="Times New Roman" w:hAnsi="Times New Roman" w:cs="Times New Roman"/>
          <w:bCs/>
        </w:rPr>
        <w:t xml:space="preserve">Table </w:t>
      </w:r>
      <w:r w:rsidR="00F42C5C">
        <w:rPr>
          <w:rFonts w:ascii="Times New Roman" w:hAnsi="Times New Roman" w:cs="Times New Roman"/>
          <w:bCs/>
        </w:rPr>
        <w:t>13</w:t>
      </w:r>
      <w:r>
        <w:rPr>
          <w:rFonts w:ascii="Times New Roman" w:hAnsi="Times New Roman" w:cs="Times New Roman"/>
          <w:bCs/>
        </w:rPr>
        <w:t xml:space="preserve">: </w:t>
      </w:r>
      <w:r w:rsidR="00F42C5C">
        <w:rPr>
          <w:rFonts w:ascii="Times New Roman" w:hAnsi="Times New Roman" w:cs="Times New Roman"/>
          <w:bCs/>
        </w:rPr>
        <w:t xml:space="preserve">Guaranties or Co-Debtors </w:t>
      </w:r>
    </w:p>
    <w:p w14:paraId="55D75769" w14:textId="5FB7FEA6" w:rsidR="003F4A13" w:rsidRDefault="003F4A13" w:rsidP="0074488C">
      <w:pPr>
        <w:keepNext/>
        <w:spacing w:line="276" w:lineRule="auto"/>
        <w:rPr>
          <w:rFonts w:ascii="Times New Roman" w:hAnsi="Times New Roman" w:cs="Times New Roman"/>
          <w:bCs/>
        </w:rPr>
      </w:pPr>
      <w:r>
        <w:rPr>
          <w:rFonts w:ascii="Times New Roman" w:hAnsi="Times New Roman" w:cs="Times New Roman"/>
          <w:bCs/>
        </w:rPr>
        <w:t xml:space="preserve">Table </w:t>
      </w:r>
      <w:r w:rsidR="00F42C5C">
        <w:rPr>
          <w:rFonts w:ascii="Times New Roman" w:hAnsi="Times New Roman" w:cs="Times New Roman"/>
          <w:bCs/>
        </w:rPr>
        <w:t>14</w:t>
      </w:r>
      <w:r>
        <w:rPr>
          <w:rFonts w:ascii="Times New Roman" w:hAnsi="Times New Roman" w:cs="Times New Roman"/>
          <w:bCs/>
        </w:rPr>
        <w:t xml:space="preserve">: </w:t>
      </w:r>
      <w:r w:rsidR="00F42C5C">
        <w:rPr>
          <w:rFonts w:ascii="Times New Roman" w:hAnsi="Times New Roman" w:cs="Times New Roman"/>
          <w:bCs/>
        </w:rPr>
        <w:t>Small Business Debtors</w:t>
      </w:r>
      <w:r w:rsidR="005D64D7">
        <w:rPr>
          <w:rFonts w:ascii="Times New Roman" w:hAnsi="Times New Roman" w:cs="Times New Roman"/>
          <w:bCs/>
        </w:rPr>
        <w:t>—</w:t>
      </w:r>
      <w:r w:rsidR="00F42C5C">
        <w:rPr>
          <w:rFonts w:ascii="Times New Roman" w:hAnsi="Times New Roman" w:cs="Times New Roman"/>
          <w:bCs/>
        </w:rPr>
        <w:t xml:space="preserve">2010 and 2013 </w:t>
      </w:r>
    </w:p>
    <w:p w14:paraId="00903C3A" w14:textId="6DFC3D19" w:rsidR="003F4A13" w:rsidRDefault="003F4A13" w:rsidP="0074488C">
      <w:pPr>
        <w:keepNext/>
        <w:spacing w:line="276" w:lineRule="auto"/>
        <w:rPr>
          <w:rFonts w:ascii="Times New Roman" w:hAnsi="Times New Roman" w:cs="Times New Roman"/>
          <w:bCs/>
        </w:rPr>
      </w:pPr>
      <w:r>
        <w:rPr>
          <w:rFonts w:ascii="Times New Roman" w:hAnsi="Times New Roman" w:cs="Times New Roman"/>
          <w:bCs/>
        </w:rPr>
        <w:t xml:space="preserve">Table </w:t>
      </w:r>
      <w:r w:rsidR="00F42C5C">
        <w:rPr>
          <w:rFonts w:ascii="Times New Roman" w:hAnsi="Times New Roman" w:cs="Times New Roman"/>
          <w:bCs/>
        </w:rPr>
        <w:t>15</w:t>
      </w:r>
      <w:r>
        <w:rPr>
          <w:rFonts w:ascii="Times New Roman" w:hAnsi="Times New Roman" w:cs="Times New Roman"/>
          <w:bCs/>
        </w:rPr>
        <w:t xml:space="preserve">: </w:t>
      </w:r>
      <w:r w:rsidR="00F42C5C">
        <w:rPr>
          <w:rFonts w:ascii="Times New Roman" w:hAnsi="Times New Roman" w:cs="Times New Roman"/>
          <w:bCs/>
        </w:rPr>
        <w:t>Objection</w:t>
      </w:r>
      <w:r w:rsidR="002A5CA7">
        <w:rPr>
          <w:rFonts w:ascii="Times New Roman" w:hAnsi="Times New Roman" w:cs="Times New Roman"/>
          <w:bCs/>
        </w:rPr>
        <w:t>s</w:t>
      </w:r>
      <w:r w:rsidR="00F42C5C">
        <w:rPr>
          <w:rFonts w:ascii="Times New Roman" w:hAnsi="Times New Roman" w:cs="Times New Roman"/>
          <w:bCs/>
        </w:rPr>
        <w:t xml:space="preserve"> by Unsecured Creditors </w:t>
      </w:r>
    </w:p>
    <w:p w14:paraId="359F2108" w14:textId="63377297" w:rsidR="00D15B8C" w:rsidRDefault="00D15B8C" w:rsidP="001F05DF">
      <w:pPr>
        <w:keepNext/>
        <w:rPr>
          <w:rFonts w:ascii="Times New Roman" w:eastAsia="Times New Roman" w:hAnsi="Times New Roman" w:cs="Times New Roman"/>
          <w:color w:val="000000"/>
        </w:rPr>
      </w:pPr>
      <w:r w:rsidRPr="0074488C">
        <w:rPr>
          <w:rFonts w:ascii="Times New Roman" w:hAnsi="Times New Roman" w:cs="Times New Roman"/>
        </w:rPr>
        <w:t>Table 1</w:t>
      </w:r>
      <w:r w:rsidR="00F42C5C">
        <w:rPr>
          <w:rFonts w:ascii="Times New Roman" w:hAnsi="Times New Roman" w:cs="Times New Roman"/>
        </w:rPr>
        <w:t>6</w:t>
      </w:r>
      <w:r w:rsidRPr="0074488C">
        <w:rPr>
          <w:rFonts w:ascii="Times New Roman" w:hAnsi="Times New Roman" w:cs="Times New Roman"/>
        </w:rPr>
        <w:t xml:space="preserve">: </w:t>
      </w:r>
      <w:r w:rsidR="00F42C5C">
        <w:rPr>
          <w:rFonts w:ascii="Times New Roman" w:hAnsi="Times New Roman" w:cs="Times New Roman"/>
        </w:rPr>
        <w:t>Appointment of Chapter 11 Trustee or Examiner</w:t>
      </w:r>
      <w:r w:rsidR="00F42C5C">
        <w:rPr>
          <w:rFonts w:ascii="Times New Roman" w:hAnsi="Times New Roman" w:cs="Times New Roman"/>
        </w:rPr>
        <w:tab/>
      </w:r>
      <w:r w:rsidR="001F05DF">
        <w:rPr>
          <w:rFonts w:ascii="Times New Roman" w:eastAsia="Times New Roman" w:hAnsi="Times New Roman" w:cs="Times New Roman"/>
          <w:color w:val="000000"/>
        </w:rPr>
        <w:tab/>
      </w:r>
      <w:r w:rsidR="001F05DF">
        <w:rPr>
          <w:rFonts w:ascii="Times New Roman" w:eastAsia="Times New Roman" w:hAnsi="Times New Roman" w:cs="Times New Roman"/>
          <w:color w:val="000000"/>
        </w:rPr>
        <w:tab/>
      </w:r>
    </w:p>
    <w:p w14:paraId="5DEF45E1" w14:textId="01FCCCDE" w:rsidR="008D7B06" w:rsidRPr="008D7B06" w:rsidRDefault="008D7B06" w:rsidP="00256046">
      <w:pPr>
        <w:keepNext/>
        <w:rPr>
          <w:rFonts w:ascii="Times New Roman" w:hAnsi="Times New Roman" w:cs="Times New Roman"/>
        </w:rPr>
      </w:pPr>
      <w:r>
        <w:rPr>
          <w:rFonts w:ascii="Times New Roman" w:hAnsi="Times New Roman" w:cs="Times New Roman"/>
        </w:rPr>
        <w:t>Table 1</w:t>
      </w:r>
      <w:r w:rsidR="00F42C5C">
        <w:rPr>
          <w:rFonts w:ascii="Times New Roman" w:hAnsi="Times New Roman" w:cs="Times New Roman"/>
        </w:rPr>
        <w:t>7</w:t>
      </w:r>
      <w:r>
        <w:rPr>
          <w:rFonts w:ascii="Times New Roman" w:hAnsi="Times New Roman" w:cs="Times New Roman"/>
        </w:rPr>
        <w:t xml:space="preserve">: </w:t>
      </w:r>
      <w:r w:rsidR="00F42C5C">
        <w:rPr>
          <w:rFonts w:ascii="Times New Roman" w:hAnsi="Times New Roman" w:cs="Times New Roman"/>
        </w:rPr>
        <w:t>Prior Bankruptcies Based on Debtor Disclosure</w:t>
      </w:r>
      <w:r w:rsidR="00F42C5C">
        <w:rPr>
          <w:rFonts w:ascii="Times New Roman" w:hAnsi="Times New Roman" w:cs="Times New Roman"/>
        </w:rPr>
        <w:tab/>
      </w:r>
    </w:p>
    <w:p w14:paraId="619BF47B" w14:textId="21E635A1" w:rsidR="008D7B06" w:rsidRDefault="008D7B06" w:rsidP="00256046">
      <w:pPr>
        <w:keepNext/>
        <w:rPr>
          <w:rFonts w:ascii="Times New Roman" w:hAnsi="Times New Roman" w:cs="Times New Roman"/>
        </w:rPr>
      </w:pPr>
      <w:r>
        <w:rPr>
          <w:rFonts w:ascii="Times New Roman" w:hAnsi="Times New Roman" w:cs="Times New Roman"/>
        </w:rPr>
        <w:t>Table 1</w:t>
      </w:r>
      <w:r w:rsidR="00F42C5C">
        <w:rPr>
          <w:rFonts w:ascii="Times New Roman" w:hAnsi="Times New Roman" w:cs="Times New Roman"/>
        </w:rPr>
        <w:t>8</w:t>
      </w:r>
      <w:r>
        <w:rPr>
          <w:rFonts w:ascii="Times New Roman" w:hAnsi="Times New Roman" w:cs="Times New Roman"/>
        </w:rPr>
        <w:t xml:space="preserve">: </w:t>
      </w:r>
      <w:r w:rsidR="00F42C5C" w:rsidRPr="00C442A8">
        <w:rPr>
          <w:rFonts w:ascii="Times New Roman" w:hAnsi="Times New Roman" w:cs="Times New Roman"/>
        </w:rPr>
        <w:t>Prior and Later Bankruptcies</w:t>
      </w:r>
      <w:r w:rsidR="005D64D7">
        <w:rPr>
          <w:rFonts w:ascii="Times New Roman" w:hAnsi="Times New Roman" w:cs="Times New Roman"/>
        </w:rPr>
        <w:t>—</w:t>
      </w:r>
      <w:r w:rsidR="00F42C5C" w:rsidRPr="00C442A8">
        <w:rPr>
          <w:rFonts w:ascii="Times New Roman" w:hAnsi="Times New Roman" w:cs="Times New Roman"/>
        </w:rPr>
        <w:t>2010</w:t>
      </w:r>
      <w:r w:rsidR="007603BC">
        <w:rPr>
          <w:rFonts w:ascii="Times New Roman" w:hAnsi="Times New Roman" w:cs="Times New Roman"/>
        </w:rPr>
        <w:tab/>
      </w:r>
      <w:r w:rsidR="007603BC">
        <w:rPr>
          <w:rFonts w:ascii="Times New Roman" w:hAnsi="Times New Roman" w:cs="Times New Roman"/>
        </w:rPr>
        <w:tab/>
      </w:r>
      <w:r w:rsidR="001F05DF">
        <w:rPr>
          <w:rFonts w:ascii="Times New Roman" w:hAnsi="Times New Roman" w:cs="Times New Roman"/>
        </w:rPr>
        <w:tab/>
      </w:r>
      <w:r w:rsidR="001F05DF">
        <w:rPr>
          <w:rFonts w:ascii="Times New Roman" w:hAnsi="Times New Roman" w:cs="Times New Roman"/>
        </w:rPr>
        <w:tab/>
      </w:r>
      <w:r w:rsidR="001F05DF">
        <w:rPr>
          <w:rFonts w:ascii="Times New Roman" w:hAnsi="Times New Roman" w:cs="Times New Roman"/>
        </w:rPr>
        <w:tab/>
      </w:r>
      <w:r w:rsidR="001F05DF">
        <w:rPr>
          <w:rFonts w:ascii="Times New Roman" w:hAnsi="Times New Roman" w:cs="Times New Roman"/>
        </w:rPr>
        <w:tab/>
      </w:r>
    </w:p>
    <w:p w14:paraId="4EA9E80D" w14:textId="42B114F7" w:rsidR="00623C1D" w:rsidRDefault="00623C1D" w:rsidP="00256046">
      <w:pPr>
        <w:keepNext/>
        <w:rPr>
          <w:rFonts w:ascii="Times New Roman" w:hAnsi="Times New Roman" w:cs="Times New Roman"/>
        </w:rPr>
      </w:pPr>
      <w:r>
        <w:rPr>
          <w:rFonts w:ascii="Times New Roman" w:hAnsi="Times New Roman" w:cs="Times New Roman"/>
        </w:rPr>
        <w:t>Table 1</w:t>
      </w:r>
      <w:r w:rsidR="00F42C5C">
        <w:rPr>
          <w:rFonts w:ascii="Times New Roman" w:hAnsi="Times New Roman" w:cs="Times New Roman"/>
        </w:rPr>
        <w:t>9</w:t>
      </w:r>
      <w:r>
        <w:rPr>
          <w:rFonts w:ascii="Times New Roman" w:hAnsi="Times New Roman" w:cs="Times New Roman"/>
        </w:rPr>
        <w:t xml:space="preserve">: </w:t>
      </w:r>
      <w:r w:rsidR="00F42C5C" w:rsidRPr="00256046">
        <w:rPr>
          <w:rFonts w:ascii="Times New Roman" w:hAnsi="Times New Roman" w:cs="Times New Roman"/>
        </w:rPr>
        <w:t>Other Filings 2010 and §</w:t>
      </w:r>
      <w:r w:rsidR="007603BC">
        <w:rPr>
          <w:rFonts w:ascii="Times New Roman" w:hAnsi="Times New Roman" w:cs="Times New Roman"/>
        </w:rPr>
        <w:t> </w:t>
      </w:r>
      <w:r w:rsidR="00F42C5C" w:rsidRPr="00256046">
        <w:rPr>
          <w:rFonts w:ascii="Times New Roman" w:hAnsi="Times New Roman" w:cs="Times New Roman"/>
        </w:rPr>
        <w:t>362(c)(3)</w:t>
      </w:r>
      <w:r w:rsidR="00F42C5C">
        <w:rPr>
          <w:rFonts w:ascii="Times New Roman" w:hAnsi="Times New Roman" w:cs="Times New Roman"/>
        </w:rPr>
        <w:t xml:space="preserve"> </w:t>
      </w:r>
    </w:p>
    <w:p w14:paraId="16844D06" w14:textId="1F606C43" w:rsidR="00C442A8" w:rsidRDefault="00C442A8" w:rsidP="00256046">
      <w:pPr>
        <w:pStyle w:val="FootnoteText"/>
        <w:rPr>
          <w:rFonts w:ascii="Times New Roman" w:hAnsi="Times New Roman" w:cs="Times New Roman"/>
        </w:rPr>
      </w:pPr>
      <w:r>
        <w:rPr>
          <w:rFonts w:ascii="Times New Roman" w:hAnsi="Times New Roman" w:cs="Times New Roman"/>
        </w:rPr>
        <w:t>Table 2</w:t>
      </w:r>
      <w:r w:rsidR="00F42C5C">
        <w:rPr>
          <w:rFonts w:ascii="Times New Roman" w:hAnsi="Times New Roman" w:cs="Times New Roman"/>
        </w:rPr>
        <w:t>0</w:t>
      </w:r>
      <w:r>
        <w:rPr>
          <w:rFonts w:ascii="Times New Roman" w:hAnsi="Times New Roman" w:cs="Times New Roman"/>
        </w:rPr>
        <w:t>: Estimated Number of Creditors</w:t>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p>
    <w:p w14:paraId="6C8BAC6E" w14:textId="5125F77E" w:rsidR="00C442A8" w:rsidRDefault="00C442A8" w:rsidP="00256046">
      <w:pPr>
        <w:pStyle w:val="FootnoteText"/>
        <w:rPr>
          <w:rFonts w:ascii="Times New Roman" w:hAnsi="Times New Roman" w:cs="Times New Roman"/>
        </w:rPr>
      </w:pPr>
      <w:r>
        <w:rPr>
          <w:rFonts w:ascii="Times New Roman" w:hAnsi="Times New Roman" w:cs="Times New Roman"/>
        </w:rPr>
        <w:t>Table 2</w:t>
      </w:r>
      <w:r w:rsidR="00F42C5C">
        <w:rPr>
          <w:rFonts w:ascii="Times New Roman" w:hAnsi="Times New Roman" w:cs="Times New Roman"/>
        </w:rPr>
        <w:t>1</w:t>
      </w:r>
      <w:r>
        <w:rPr>
          <w:rFonts w:ascii="Times New Roman" w:hAnsi="Times New Roman" w:cs="Times New Roman"/>
        </w:rPr>
        <w:t>: Estimated Assets and Liabilities</w:t>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p>
    <w:p w14:paraId="6C61DC37" w14:textId="4FE1D1F2" w:rsidR="00EC72CC" w:rsidRDefault="00EC72CC" w:rsidP="00256046">
      <w:pPr>
        <w:pStyle w:val="FootnoteText"/>
        <w:rPr>
          <w:rFonts w:ascii="Times New Roman" w:hAnsi="Times New Roman" w:cs="Times New Roman"/>
        </w:rPr>
      </w:pPr>
      <w:r>
        <w:rPr>
          <w:rFonts w:ascii="Times New Roman" w:hAnsi="Times New Roman" w:cs="Times New Roman"/>
        </w:rPr>
        <w:t>Table 2</w:t>
      </w:r>
      <w:r w:rsidR="00F42C5C">
        <w:rPr>
          <w:rFonts w:ascii="Times New Roman" w:hAnsi="Times New Roman" w:cs="Times New Roman"/>
        </w:rPr>
        <w:t>2</w:t>
      </w:r>
      <w:r>
        <w:rPr>
          <w:rFonts w:ascii="Times New Roman" w:hAnsi="Times New Roman" w:cs="Times New Roman"/>
        </w:rPr>
        <w:t>: Assets Available for General Creditors</w:t>
      </w:r>
      <w:r w:rsidR="00904288">
        <w:rPr>
          <w:rFonts w:ascii="Times New Roman" w:hAnsi="Times New Roman" w:cs="Times New Roman"/>
        </w:rPr>
        <w:t>—</w:t>
      </w:r>
      <w:r w:rsidR="0056738F">
        <w:rPr>
          <w:rFonts w:ascii="Times New Roman" w:hAnsi="Times New Roman" w:cs="Times New Roman"/>
        </w:rPr>
        <w:t>Random Sample</w:t>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p>
    <w:p w14:paraId="448670FE" w14:textId="409D645C" w:rsidR="00945334" w:rsidRDefault="00945334" w:rsidP="00256046">
      <w:pPr>
        <w:pStyle w:val="FootnoteText"/>
        <w:rPr>
          <w:rFonts w:ascii="Times New Roman" w:hAnsi="Times New Roman" w:cs="Times New Roman"/>
        </w:rPr>
      </w:pPr>
      <w:r>
        <w:rPr>
          <w:rFonts w:ascii="Times New Roman" w:hAnsi="Times New Roman" w:cs="Times New Roman"/>
        </w:rPr>
        <w:t>Table 2</w:t>
      </w:r>
      <w:r w:rsidR="00F42C5C">
        <w:rPr>
          <w:rFonts w:ascii="Times New Roman" w:hAnsi="Times New Roman" w:cs="Times New Roman"/>
        </w:rPr>
        <w:t>3</w:t>
      </w:r>
      <w:r>
        <w:rPr>
          <w:rFonts w:ascii="Times New Roman" w:hAnsi="Times New Roman" w:cs="Times New Roman"/>
        </w:rPr>
        <w:t>: Occupation</w:t>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p>
    <w:p w14:paraId="74A99A42" w14:textId="38947C9C" w:rsidR="00945334" w:rsidRDefault="00945334" w:rsidP="00256046">
      <w:pPr>
        <w:pStyle w:val="FootnoteText"/>
        <w:rPr>
          <w:rFonts w:ascii="Times New Roman" w:hAnsi="Times New Roman" w:cs="Times New Roman"/>
        </w:rPr>
      </w:pPr>
      <w:r>
        <w:rPr>
          <w:rFonts w:ascii="Times New Roman" w:hAnsi="Times New Roman" w:cs="Times New Roman"/>
        </w:rPr>
        <w:t>Table 2</w:t>
      </w:r>
      <w:r w:rsidR="00F42C5C">
        <w:rPr>
          <w:rFonts w:ascii="Times New Roman" w:hAnsi="Times New Roman" w:cs="Times New Roman"/>
        </w:rPr>
        <w:t>4</w:t>
      </w:r>
      <w:r>
        <w:rPr>
          <w:rFonts w:ascii="Times New Roman" w:hAnsi="Times New Roman" w:cs="Times New Roman"/>
        </w:rPr>
        <w:t>: Employment Duration in Years</w:t>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p>
    <w:p w14:paraId="54C5DB23" w14:textId="337D2C5D" w:rsidR="000B3B15" w:rsidRDefault="000B3B15" w:rsidP="00256046">
      <w:pPr>
        <w:pStyle w:val="FootnoteText"/>
        <w:rPr>
          <w:rFonts w:ascii="Times New Roman" w:hAnsi="Times New Roman" w:cs="Times New Roman"/>
        </w:rPr>
      </w:pPr>
      <w:r>
        <w:rPr>
          <w:rFonts w:ascii="Times New Roman" w:hAnsi="Times New Roman" w:cs="Times New Roman"/>
        </w:rPr>
        <w:t>Table 2</w:t>
      </w:r>
      <w:r w:rsidR="00F42C5C">
        <w:rPr>
          <w:rFonts w:ascii="Times New Roman" w:hAnsi="Times New Roman" w:cs="Times New Roman"/>
        </w:rPr>
        <w:t>5</w:t>
      </w:r>
      <w:r>
        <w:rPr>
          <w:rFonts w:ascii="Times New Roman" w:hAnsi="Times New Roman" w:cs="Times New Roman"/>
        </w:rPr>
        <w:t>: Debtors’ Monthly Income</w:t>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p>
    <w:p w14:paraId="051C6FCB" w14:textId="641BAE65" w:rsidR="000B3B15" w:rsidRDefault="000B3B15" w:rsidP="00256046">
      <w:pPr>
        <w:pStyle w:val="FootnoteText"/>
        <w:rPr>
          <w:rFonts w:ascii="Times New Roman" w:hAnsi="Times New Roman" w:cs="Times New Roman"/>
        </w:rPr>
      </w:pPr>
      <w:r>
        <w:rPr>
          <w:rFonts w:ascii="Times New Roman" w:hAnsi="Times New Roman" w:cs="Times New Roman"/>
        </w:rPr>
        <w:t>Table 2</w:t>
      </w:r>
      <w:r w:rsidR="00F42C5C">
        <w:rPr>
          <w:rFonts w:ascii="Times New Roman" w:hAnsi="Times New Roman" w:cs="Times New Roman"/>
        </w:rPr>
        <w:t>6</w:t>
      </w:r>
      <w:r>
        <w:rPr>
          <w:rFonts w:ascii="Times New Roman" w:hAnsi="Times New Roman" w:cs="Times New Roman"/>
        </w:rPr>
        <w:t>: Debtors’ Monthly Expenses</w:t>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p>
    <w:p w14:paraId="7843254F" w14:textId="14FE44E4" w:rsidR="00BE1A41" w:rsidRDefault="00BE1A41" w:rsidP="00256046">
      <w:pPr>
        <w:pStyle w:val="FootnoteText"/>
        <w:rPr>
          <w:rFonts w:ascii="Times New Roman" w:hAnsi="Times New Roman" w:cs="Times New Roman"/>
        </w:rPr>
      </w:pPr>
      <w:r>
        <w:rPr>
          <w:rFonts w:ascii="Times New Roman" w:hAnsi="Times New Roman" w:cs="Times New Roman"/>
        </w:rPr>
        <w:t>Table 2</w:t>
      </w:r>
      <w:r w:rsidR="00F42C5C">
        <w:rPr>
          <w:rFonts w:ascii="Times New Roman" w:hAnsi="Times New Roman" w:cs="Times New Roman"/>
        </w:rPr>
        <w:t>7</w:t>
      </w:r>
      <w:r>
        <w:rPr>
          <w:rFonts w:ascii="Times New Roman" w:hAnsi="Times New Roman" w:cs="Times New Roman"/>
        </w:rPr>
        <w:t>: Medical Expenses</w:t>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r w:rsidR="00301015">
        <w:rPr>
          <w:rFonts w:ascii="Times New Roman" w:hAnsi="Times New Roman" w:cs="Times New Roman"/>
        </w:rPr>
        <w:tab/>
      </w:r>
    </w:p>
    <w:p w14:paraId="3DF7A52C" w14:textId="6A979215" w:rsidR="00F42C5C" w:rsidRDefault="00F42C5C" w:rsidP="00256046">
      <w:pPr>
        <w:pStyle w:val="FootnoteText"/>
        <w:rPr>
          <w:rFonts w:ascii="Times New Roman" w:hAnsi="Times New Roman" w:cs="Times New Roman"/>
        </w:rPr>
      </w:pPr>
      <w:r>
        <w:rPr>
          <w:rFonts w:ascii="Times New Roman" w:hAnsi="Times New Roman" w:cs="Times New Roman"/>
        </w:rPr>
        <w:t>Table 28: Attorney Compensation</w:t>
      </w:r>
    </w:p>
    <w:p w14:paraId="63233034" w14:textId="79A59D64" w:rsidR="00E20922" w:rsidRPr="00715D5C" w:rsidRDefault="00E20922" w:rsidP="00256046">
      <w:pPr>
        <w:keepNext/>
        <w:keepLines/>
        <w:rPr>
          <w:rFonts w:ascii="Times New Roman" w:hAnsi="Times New Roman" w:cs="Times New Roman"/>
        </w:rPr>
      </w:pPr>
      <w:r w:rsidRPr="00256046">
        <w:rPr>
          <w:rFonts w:ascii="Times New Roman" w:hAnsi="Times New Roman" w:cs="Times New Roman"/>
        </w:rPr>
        <w:t>Table 29:</w:t>
      </w:r>
      <w:r w:rsidR="00904288">
        <w:rPr>
          <w:rFonts w:ascii="Times New Roman" w:hAnsi="Times New Roman" w:cs="Times New Roman"/>
        </w:rPr>
        <w:t xml:space="preserve"> Distribution of Indebtedness—</w:t>
      </w:r>
      <w:r w:rsidRPr="00256046">
        <w:rPr>
          <w:rFonts w:ascii="Times New Roman" w:hAnsi="Times New Roman" w:cs="Times New Roman"/>
        </w:rPr>
        <w:t>Liabilities from Summary of Schedules</w:t>
      </w:r>
      <w:r w:rsidR="00CB0996">
        <w:rPr>
          <w:rFonts w:ascii="Times New Roman" w:hAnsi="Times New Roman" w:cs="Times New Roman"/>
        </w:rPr>
        <w:tab/>
      </w:r>
    </w:p>
    <w:p w14:paraId="1202F3FF" w14:textId="6193F8DE" w:rsidR="00024B78" w:rsidRDefault="00024B78" w:rsidP="00024B78">
      <w:pPr>
        <w:rPr>
          <w:rFonts w:ascii="Times New Roman" w:hAnsi="Times New Roman" w:cs="Times New Roman"/>
        </w:rPr>
      </w:pPr>
      <w:r w:rsidRPr="00024B78">
        <w:rPr>
          <w:rFonts w:ascii="Times New Roman" w:hAnsi="Times New Roman" w:cs="Times New Roman"/>
        </w:rPr>
        <w:t>Table 30: Impact of Chapter 13 Actual and Hypothetical Debt Limits</w:t>
      </w:r>
      <w:r w:rsidR="00CB0996">
        <w:rPr>
          <w:rFonts w:ascii="Times New Roman" w:hAnsi="Times New Roman" w:cs="Times New Roman"/>
        </w:rPr>
        <w:tab/>
      </w:r>
      <w:r w:rsidR="00CB0996">
        <w:rPr>
          <w:rFonts w:ascii="Times New Roman" w:hAnsi="Times New Roman" w:cs="Times New Roman"/>
        </w:rPr>
        <w:tab/>
      </w:r>
    </w:p>
    <w:p w14:paraId="0646F840" w14:textId="04BF3A17" w:rsidR="00FD6D8A" w:rsidRDefault="00FD6D8A" w:rsidP="00024B78">
      <w:pPr>
        <w:rPr>
          <w:rFonts w:ascii="Times New Roman" w:hAnsi="Times New Roman" w:cs="Times New Roman"/>
        </w:rPr>
      </w:pPr>
      <w:r>
        <w:rPr>
          <w:rFonts w:ascii="Times New Roman" w:hAnsi="Times New Roman" w:cs="Times New Roman"/>
        </w:rPr>
        <w:t>Table 31: Debt-to-Income Ratios</w:t>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p>
    <w:p w14:paraId="6BAE57EF" w14:textId="372424E0" w:rsidR="00FD6D8A" w:rsidRDefault="00FD6D8A" w:rsidP="00024B78">
      <w:pPr>
        <w:rPr>
          <w:rFonts w:ascii="Times New Roman" w:hAnsi="Times New Roman" w:cs="Times New Roman"/>
        </w:rPr>
      </w:pPr>
      <w:r>
        <w:rPr>
          <w:rFonts w:ascii="Times New Roman" w:hAnsi="Times New Roman" w:cs="Times New Roman"/>
        </w:rPr>
        <w:t>Table 32: Types of Priority Debt</w:t>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p>
    <w:p w14:paraId="649608D2" w14:textId="00A778C6" w:rsidR="00FD6D8A" w:rsidRDefault="00FD6D8A" w:rsidP="00024B78">
      <w:pPr>
        <w:rPr>
          <w:rFonts w:ascii="Times New Roman" w:hAnsi="Times New Roman" w:cs="Times New Roman"/>
        </w:rPr>
      </w:pPr>
      <w:r>
        <w:rPr>
          <w:rFonts w:ascii="Times New Roman" w:hAnsi="Times New Roman" w:cs="Times New Roman"/>
        </w:rPr>
        <w:t>Table 33: Amount of Priority Debt by Category</w:t>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p>
    <w:p w14:paraId="4DBC7BA7" w14:textId="33D0FDC7" w:rsidR="002D609A" w:rsidRDefault="002D609A" w:rsidP="00024B78">
      <w:pPr>
        <w:rPr>
          <w:rFonts w:ascii="Times New Roman" w:hAnsi="Times New Roman" w:cs="Times New Roman"/>
        </w:rPr>
      </w:pPr>
      <w:r>
        <w:rPr>
          <w:rFonts w:ascii="Times New Roman" w:hAnsi="Times New Roman" w:cs="Times New Roman"/>
        </w:rPr>
        <w:t>Table 34: Assets from Summary of Schedules</w:t>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p>
    <w:p w14:paraId="2FAA9690" w14:textId="73A47775" w:rsidR="00A2311C" w:rsidRDefault="00A2311C" w:rsidP="00024B78">
      <w:pPr>
        <w:rPr>
          <w:rFonts w:ascii="Times New Roman" w:hAnsi="Times New Roman" w:cs="Times New Roman"/>
        </w:rPr>
      </w:pPr>
      <w:r>
        <w:rPr>
          <w:rFonts w:ascii="Times New Roman" w:hAnsi="Times New Roman" w:cs="Times New Roman"/>
        </w:rPr>
        <w:t>Table 35: Home Ownership</w:t>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p>
    <w:p w14:paraId="0DD38508" w14:textId="0787C9BE" w:rsidR="00E12CFF" w:rsidRDefault="00E12CFF" w:rsidP="00024B78">
      <w:pPr>
        <w:rPr>
          <w:rFonts w:ascii="Times New Roman" w:hAnsi="Times New Roman" w:cs="Times New Roman"/>
        </w:rPr>
      </w:pPr>
      <w:r>
        <w:rPr>
          <w:rFonts w:ascii="Times New Roman" w:hAnsi="Times New Roman" w:cs="Times New Roman"/>
        </w:rPr>
        <w:t>Table 36: Other Real Property</w:t>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p>
    <w:p w14:paraId="06A3307E" w14:textId="7F532E0D" w:rsidR="00E12CFF" w:rsidRDefault="00E12CFF" w:rsidP="00024B78">
      <w:pPr>
        <w:rPr>
          <w:rFonts w:ascii="Times New Roman" w:hAnsi="Times New Roman" w:cs="Times New Roman"/>
        </w:rPr>
      </w:pPr>
      <w:r>
        <w:rPr>
          <w:rFonts w:ascii="Times New Roman" w:hAnsi="Times New Roman" w:cs="Times New Roman"/>
        </w:rPr>
        <w:t>Table 37: Number of Parcels</w:t>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p>
    <w:p w14:paraId="1289F70B" w14:textId="351A931F" w:rsidR="00BD18FB" w:rsidRDefault="00BD18FB" w:rsidP="00024B78">
      <w:pPr>
        <w:rPr>
          <w:rFonts w:ascii="Times New Roman" w:hAnsi="Times New Roman" w:cs="Times New Roman"/>
        </w:rPr>
      </w:pPr>
      <w:r>
        <w:rPr>
          <w:rFonts w:ascii="Times New Roman" w:hAnsi="Times New Roman" w:cs="Times New Roman"/>
        </w:rPr>
        <w:t>Table 38: Debtor Equity in Real Property</w:t>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r w:rsidR="00CB0996">
        <w:rPr>
          <w:rFonts w:ascii="Times New Roman" w:hAnsi="Times New Roman" w:cs="Times New Roman"/>
        </w:rPr>
        <w:tab/>
      </w:r>
    </w:p>
    <w:p w14:paraId="1146A496" w14:textId="4702E27C" w:rsidR="00F15F38" w:rsidRDefault="00904288" w:rsidP="00024B78">
      <w:pPr>
        <w:rPr>
          <w:rFonts w:ascii="Times New Roman" w:hAnsi="Times New Roman" w:cs="Times New Roman"/>
        </w:rPr>
      </w:pPr>
      <w:r>
        <w:rPr>
          <w:rFonts w:ascii="Times New Roman" w:hAnsi="Times New Roman" w:cs="Times New Roman"/>
        </w:rPr>
        <w:t xml:space="preserve">Table 39: </w:t>
      </w:r>
      <w:r w:rsidR="00F42C5C">
        <w:rPr>
          <w:rFonts w:ascii="Times New Roman" w:hAnsi="Times New Roman" w:cs="Times New Roman"/>
        </w:rPr>
        <w:t xml:space="preserve">Outcomes of Individual Chapter 11 Cases </w:t>
      </w:r>
      <w:r>
        <w:rPr>
          <w:rFonts w:ascii="Times New Roman" w:hAnsi="Times New Roman" w:cs="Times New Roman"/>
        </w:rPr>
        <w:tab/>
      </w:r>
      <w:r>
        <w:rPr>
          <w:rFonts w:ascii="Times New Roman" w:hAnsi="Times New Roman" w:cs="Times New Roman"/>
        </w:rPr>
        <w:tab/>
      </w:r>
      <w:r w:rsidR="004E4ACE">
        <w:rPr>
          <w:rFonts w:ascii="Times New Roman" w:hAnsi="Times New Roman" w:cs="Times New Roman"/>
        </w:rPr>
        <w:tab/>
      </w:r>
      <w:r w:rsidR="004E4ACE">
        <w:rPr>
          <w:rFonts w:ascii="Times New Roman" w:hAnsi="Times New Roman" w:cs="Times New Roman"/>
        </w:rPr>
        <w:tab/>
      </w:r>
    </w:p>
    <w:p w14:paraId="38819DB7" w14:textId="0C1376E7" w:rsidR="00E80AAB" w:rsidRDefault="00E80AAB" w:rsidP="00024B78">
      <w:pPr>
        <w:rPr>
          <w:rFonts w:ascii="Times New Roman" w:hAnsi="Times New Roman" w:cs="Times New Roman"/>
        </w:rPr>
      </w:pPr>
      <w:r>
        <w:rPr>
          <w:rFonts w:ascii="Times New Roman" w:hAnsi="Times New Roman" w:cs="Times New Roman"/>
        </w:rPr>
        <w:t xml:space="preserve">Table 40: </w:t>
      </w:r>
      <w:r w:rsidR="00F42C5C">
        <w:rPr>
          <w:rFonts w:ascii="Times New Roman" w:hAnsi="Times New Roman" w:cs="Times New Roman"/>
        </w:rPr>
        <w:t xml:space="preserve">Chapter 13 Outcomes </w:t>
      </w:r>
    </w:p>
    <w:p w14:paraId="54CFD76B" w14:textId="02FF542E" w:rsidR="00B82B2A" w:rsidRDefault="00B82B2A" w:rsidP="00024B78">
      <w:pPr>
        <w:rPr>
          <w:rFonts w:ascii="Times New Roman" w:hAnsi="Times New Roman" w:cs="Times New Roman"/>
        </w:rPr>
      </w:pPr>
      <w:r>
        <w:rPr>
          <w:rFonts w:ascii="Times New Roman" w:hAnsi="Times New Roman" w:cs="Times New Roman"/>
        </w:rPr>
        <w:t xml:space="preserve">Table 41: </w:t>
      </w:r>
      <w:r w:rsidR="00F42C5C">
        <w:rPr>
          <w:rFonts w:ascii="Times New Roman" w:hAnsi="Times New Roman" w:cs="Times New Roman"/>
        </w:rPr>
        <w:t xml:space="preserve">Outcomes Measured at 545 Days </w:t>
      </w:r>
    </w:p>
    <w:p w14:paraId="4837A5F8" w14:textId="5F81A328" w:rsidR="00BB6D3F" w:rsidRPr="00ED2537" w:rsidRDefault="00BB6D3F" w:rsidP="00ED2537">
      <w:pPr>
        <w:rPr>
          <w:rFonts w:ascii="Times New Roman" w:hAnsi="Times New Roman" w:cs="Times New Roman"/>
        </w:rPr>
      </w:pPr>
      <w:r w:rsidRPr="00ED2537">
        <w:rPr>
          <w:rFonts w:ascii="Times New Roman" w:hAnsi="Times New Roman" w:cs="Times New Roman"/>
        </w:rPr>
        <w:t xml:space="preserve">Table 42: </w:t>
      </w:r>
      <w:r w:rsidR="00F42C5C">
        <w:rPr>
          <w:rFonts w:ascii="Times New Roman" w:hAnsi="Times New Roman" w:cs="Times New Roman"/>
        </w:rPr>
        <w:t xml:space="preserve">Predictors of Success </w:t>
      </w:r>
    </w:p>
    <w:p w14:paraId="44880175" w14:textId="0483B747" w:rsidR="00B82B2A" w:rsidRDefault="00B82B2A" w:rsidP="00BB6D3F">
      <w:pPr>
        <w:rPr>
          <w:rFonts w:ascii="Times New Roman" w:hAnsi="Times New Roman" w:cs="Times New Roman"/>
        </w:rPr>
      </w:pPr>
      <w:r>
        <w:rPr>
          <w:rFonts w:ascii="Times New Roman" w:hAnsi="Times New Roman" w:cs="Times New Roman"/>
        </w:rPr>
        <w:t>Table 4</w:t>
      </w:r>
      <w:r w:rsidR="00BB6D3F">
        <w:rPr>
          <w:rFonts w:ascii="Times New Roman" w:hAnsi="Times New Roman" w:cs="Times New Roman"/>
        </w:rPr>
        <w:t>3</w:t>
      </w:r>
      <w:r>
        <w:rPr>
          <w:rFonts w:ascii="Times New Roman" w:hAnsi="Times New Roman" w:cs="Times New Roman"/>
        </w:rPr>
        <w:t xml:space="preserve">: </w:t>
      </w:r>
      <w:r w:rsidR="00F42C5C">
        <w:rPr>
          <w:rFonts w:ascii="Times New Roman" w:hAnsi="Times New Roman" w:cs="Times New Roman"/>
        </w:rPr>
        <w:t xml:space="preserve">Success by Attorney Representation </w:t>
      </w:r>
    </w:p>
    <w:p w14:paraId="6D74CD4E" w14:textId="6178FCFC" w:rsidR="00B82B2A" w:rsidRDefault="00B82B2A" w:rsidP="00024B78">
      <w:pPr>
        <w:rPr>
          <w:rFonts w:ascii="Times New Roman" w:hAnsi="Times New Roman" w:cs="Times New Roman"/>
        </w:rPr>
      </w:pPr>
      <w:r>
        <w:rPr>
          <w:rFonts w:ascii="Times New Roman" w:hAnsi="Times New Roman" w:cs="Times New Roman"/>
        </w:rPr>
        <w:t>Table 4</w:t>
      </w:r>
      <w:r w:rsidR="00BB6D3F">
        <w:rPr>
          <w:rFonts w:ascii="Times New Roman" w:hAnsi="Times New Roman" w:cs="Times New Roman"/>
        </w:rPr>
        <w:t>4</w:t>
      </w:r>
      <w:r>
        <w:rPr>
          <w:rFonts w:ascii="Times New Roman" w:hAnsi="Times New Roman" w:cs="Times New Roman"/>
        </w:rPr>
        <w:t xml:space="preserve">: </w:t>
      </w:r>
      <w:r w:rsidR="00F42C5C">
        <w:rPr>
          <w:rFonts w:ascii="Times New Roman" w:hAnsi="Times New Roman" w:cs="Times New Roman"/>
        </w:rPr>
        <w:t xml:space="preserve">Success and Interpretation of the </w:t>
      </w:r>
      <w:r w:rsidR="009D3966">
        <w:rPr>
          <w:rFonts w:ascii="Times New Roman" w:hAnsi="Times New Roman" w:cs="Times New Roman"/>
        </w:rPr>
        <w:t xml:space="preserve">APR </w:t>
      </w:r>
      <w:r w:rsidR="00904288">
        <w:rPr>
          <w:rFonts w:ascii="Times New Roman" w:hAnsi="Times New Roman" w:cs="Times New Roman"/>
        </w:rPr>
        <w:t>Exception—</w:t>
      </w:r>
      <w:r w:rsidR="009D3966">
        <w:rPr>
          <w:rFonts w:ascii="Times New Roman" w:hAnsi="Times New Roman" w:cs="Times New Roman"/>
        </w:rPr>
        <w:t xml:space="preserve">PACER Data </w:t>
      </w:r>
    </w:p>
    <w:p w14:paraId="3798BAE2" w14:textId="458AC642" w:rsidR="00B82B2A" w:rsidRDefault="00B82B2A" w:rsidP="00024B78">
      <w:pPr>
        <w:rPr>
          <w:rFonts w:ascii="Times New Roman" w:hAnsi="Times New Roman" w:cs="Times New Roman"/>
        </w:rPr>
      </w:pPr>
      <w:r>
        <w:rPr>
          <w:rFonts w:ascii="Times New Roman" w:hAnsi="Times New Roman" w:cs="Times New Roman"/>
        </w:rPr>
        <w:t>Table 4</w:t>
      </w:r>
      <w:r w:rsidR="00BB6D3F">
        <w:rPr>
          <w:rFonts w:ascii="Times New Roman" w:hAnsi="Times New Roman" w:cs="Times New Roman"/>
        </w:rPr>
        <w:t>5</w:t>
      </w:r>
      <w:r>
        <w:rPr>
          <w:rFonts w:ascii="Times New Roman" w:hAnsi="Times New Roman" w:cs="Times New Roman"/>
        </w:rPr>
        <w:t>:</w:t>
      </w:r>
      <w:r w:rsidR="00904288">
        <w:rPr>
          <w:rFonts w:ascii="Times New Roman" w:hAnsi="Times New Roman" w:cs="Times New Roman"/>
        </w:rPr>
        <w:t xml:space="preserve"> Regressions of Su</w:t>
      </w:r>
      <w:r w:rsidR="00EA3620">
        <w:rPr>
          <w:rFonts w:ascii="Times New Roman" w:hAnsi="Times New Roman" w:cs="Times New Roman"/>
        </w:rPr>
        <w:t>rvival</w:t>
      </w:r>
      <w:r w:rsidR="00904288">
        <w:rPr>
          <w:rFonts w:ascii="Times New Roman" w:hAnsi="Times New Roman" w:cs="Times New Roman"/>
        </w:rPr>
        <w:t xml:space="preserve"> Rate—PACER </w:t>
      </w:r>
      <w:r w:rsidR="009D3966">
        <w:rPr>
          <w:rFonts w:ascii="Times New Roman" w:hAnsi="Times New Roman" w:cs="Times New Roman"/>
        </w:rPr>
        <w:t xml:space="preserve">Data </w:t>
      </w:r>
      <w:r w:rsidR="004E4ACE">
        <w:rPr>
          <w:rFonts w:ascii="Times New Roman" w:hAnsi="Times New Roman" w:cs="Times New Roman"/>
        </w:rPr>
        <w:tab/>
      </w:r>
      <w:r w:rsidR="004E4ACE">
        <w:rPr>
          <w:rFonts w:ascii="Times New Roman" w:hAnsi="Times New Roman" w:cs="Times New Roman"/>
        </w:rPr>
        <w:tab/>
      </w:r>
      <w:r w:rsidR="004E146D">
        <w:rPr>
          <w:rFonts w:ascii="Times New Roman" w:hAnsi="Times New Roman" w:cs="Times New Roman"/>
        </w:rPr>
        <w:tab/>
      </w:r>
    </w:p>
    <w:p w14:paraId="187C2605" w14:textId="433C8111" w:rsidR="00B82B2A" w:rsidRDefault="00B82B2A" w:rsidP="00024B78">
      <w:pPr>
        <w:rPr>
          <w:rFonts w:ascii="Times New Roman" w:hAnsi="Times New Roman" w:cs="Times New Roman"/>
        </w:rPr>
      </w:pPr>
      <w:r>
        <w:rPr>
          <w:rFonts w:ascii="Times New Roman" w:hAnsi="Times New Roman" w:cs="Times New Roman"/>
        </w:rPr>
        <w:t>Table 4</w:t>
      </w:r>
      <w:r w:rsidR="00BB6D3F">
        <w:rPr>
          <w:rFonts w:ascii="Times New Roman" w:hAnsi="Times New Roman" w:cs="Times New Roman"/>
        </w:rPr>
        <w:t>6</w:t>
      </w:r>
      <w:r>
        <w:rPr>
          <w:rFonts w:ascii="Times New Roman" w:hAnsi="Times New Roman" w:cs="Times New Roman"/>
        </w:rPr>
        <w:t xml:space="preserve">: </w:t>
      </w:r>
      <w:r w:rsidR="00F42C5C">
        <w:rPr>
          <w:rFonts w:ascii="Times New Roman" w:hAnsi="Times New Roman" w:cs="Times New Roman"/>
        </w:rPr>
        <w:t xml:space="preserve">Random Sample Data Success Rates </w:t>
      </w:r>
    </w:p>
    <w:p w14:paraId="6DCB4F4D" w14:textId="292C8C31" w:rsidR="00B82B2A" w:rsidRDefault="00B82B2A" w:rsidP="00024B78">
      <w:pPr>
        <w:rPr>
          <w:rFonts w:ascii="Times New Roman" w:hAnsi="Times New Roman" w:cs="Times New Roman"/>
        </w:rPr>
      </w:pPr>
      <w:r>
        <w:rPr>
          <w:rFonts w:ascii="Times New Roman" w:hAnsi="Times New Roman" w:cs="Times New Roman"/>
        </w:rPr>
        <w:t>Table 4</w:t>
      </w:r>
      <w:r w:rsidR="00BB6D3F">
        <w:rPr>
          <w:rFonts w:ascii="Times New Roman" w:hAnsi="Times New Roman" w:cs="Times New Roman"/>
        </w:rPr>
        <w:t>7</w:t>
      </w:r>
      <w:r>
        <w:rPr>
          <w:rFonts w:ascii="Times New Roman" w:hAnsi="Times New Roman" w:cs="Times New Roman"/>
        </w:rPr>
        <w:t xml:space="preserve">: </w:t>
      </w:r>
      <w:r w:rsidR="00F42C5C">
        <w:rPr>
          <w:rFonts w:ascii="Times New Roman" w:hAnsi="Times New Roman" w:cs="Times New Roman"/>
        </w:rPr>
        <w:t xml:space="preserve">Success Comparisons </w:t>
      </w:r>
    </w:p>
    <w:p w14:paraId="49B4FDBD" w14:textId="278DB8D8" w:rsidR="00F42C5C" w:rsidRDefault="00F42C5C" w:rsidP="00024B78">
      <w:pPr>
        <w:rPr>
          <w:rFonts w:ascii="Times New Roman" w:hAnsi="Times New Roman" w:cs="Times New Roman"/>
        </w:rPr>
      </w:pPr>
      <w:r>
        <w:rPr>
          <w:rFonts w:ascii="Times New Roman" w:hAnsi="Times New Roman" w:cs="Times New Roman"/>
        </w:rPr>
        <w:t>Table 48: Marginal Effects for Non-Dichotomous Variables</w:t>
      </w:r>
    </w:p>
    <w:p w14:paraId="56A8DF5C" w14:textId="086243E0" w:rsidR="00F42C5C" w:rsidRDefault="00F42C5C" w:rsidP="00024B78">
      <w:pPr>
        <w:rPr>
          <w:rFonts w:ascii="Times New Roman" w:hAnsi="Times New Roman" w:cs="Times New Roman"/>
        </w:rPr>
      </w:pPr>
      <w:r>
        <w:rPr>
          <w:rFonts w:ascii="Times New Roman" w:hAnsi="Times New Roman" w:cs="Times New Roman"/>
        </w:rPr>
        <w:t xml:space="preserve">Table 49: Success and Interpretation of the </w:t>
      </w:r>
      <w:r w:rsidR="009D3966">
        <w:rPr>
          <w:rFonts w:ascii="Times New Roman" w:hAnsi="Times New Roman" w:cs="Times New Roman"/>
        </w:rPr>
        <w:t xml:space="preserve">APR </w:t>
      </w:r>
      <w:r>
        <w:rPr>
          <w:rFonts w:ascii="Times New Roman" w:hAnsi="Times New Roman" w:cs="Times New Roman"/>
        </w:rPr>
        <w:t>Exception</w:t>
      </w:r>
      <w:r w:rsidR="00904288">
        <w:rPr>
          <w:rFonts w:ascii="Times New Roman" w:hAnsi="Times New Roman" w:cs="Times New Roman"/>
        </w:rPr>
        <w:t>—</w:t>
      </w:r>
      <w:r w:rsidR="009D3966">
        <w:rPr>
          <w:rFonts w:ascii="Times New Roman" w:hAnsi="Times New Roman" w:cs="Times New Roman"/>
        </w:rPr>
        <w:t>Random Sample</w:t>
      </w:r>
      <w:r>
        <w:rPr>
          <w:rFonts w:ascii="Times New Roman" w:hAnsi="Times New Roman" w:cs="Times New Roman"/>
        </w:rPr>
        <w:t xml:space="preserve"> </w:t>
      </w:r>
    </w:p>
    <w:p w14:paraId="24FC8533" w14:textId="036D62DC" w:rsidR="00F42C5C" w:rsidRDefault="00F42C5C" w:rsidP="00024B78">
      <w:pPr>
        <w:rPr>
          <w:rFonts w:ascii="Times New Roman" w:hAnsi="Times New Roman" w:cs="Times New Roman"/>
        </w:rPr>
      </w:pPr>
      <w:r>
        <w:rPr>
          <w:rFonts w:ascii="Times New Roman" w:hAnsi="Times New Roman" w:cs="Times New Roman"/>
        </w:rPr>
        <w:t>Table 50: Regressions of Success Rates</w:t>
      </w:r>
      <w:r w:rsidR="00904288">
        <w:rPr>
          <w:rFonts w:ascii="Times New Roman" w:hAnsi="Times New Roman" w:cs="Times New Roman"/>
        </w:rPr>
        <w:t>—</w:t>
      </w:r>
      <w:r w:rsidR="009D3966">
        <w:rPr>
          <w:rFonts w:ascii="Times New Roman" w:hAnsi="Times New Roman" w:cs="Times New Roman"/>
        </w:rPr>
        <w:t>Random Sample</w:t>
      </w:r>
    </w:p>
    <w:p w14:paraId="068EBAEA" w14:textId="4994C0B4" w:rsidR="00F42C5C" w:rsidRDefault="00F42C5C" w:rsidP="00024B78">
      <w:pPr>
        <w:rPr>
          <w:rFonts w:ascii="Times New Roman" w:hAnsi="Times New Roman" w:cs="Times New Roman"/>
        </w:rPr>
      </w:pPr>
      <w:r>
        <w:rPr>
          <w:rFonts w:ascii="Times New Roman" w:hAnsi="Times New Roman" w:cs="Times New Roman"/>
        </w:rPr>
        <w:t>Table 51: APR Objections</w:t>
      </w:r>
    </w:p>
    <w:p w14:paraId="57113114" w14:textId="07F0F80E" w:rsidR="00F42C5C" w:rsidRDefault="00F42C5C" w:rsidP="00024B78">
      <w:pPr>
        <w:rPr>
          <w:rFonts w:ascii="Times New Roman" w:hAnsi="Times New Roman" w:cs="Times New Roman"/>
        </w:rPr>
      </w:pPr>
      <w:r>
        <w:rPr>
          <w:rFonts w:ascii="Times New Roman" w:hAnsi="Times New Roman" w:cs="Times New Roman"/>
        </w:rPr>
        <w:t>Table 52: Days to Conversion or Dismissal for “Failed” Cases in 2010</w:t>
      </w:r>
      <w:r w:rsidR="00904288">
        <w:rPr>
          <w:rFonts w:ascii="Times New Roman" w:hAnsi="Times New Roman" w:cs="Times New Roman"/>
        </w:rPr>
        <w:t>—</w:t>
      </w:r>
      <w:r w:rsidR="009D3966">
        <w:rPr>
          <w:rFonts w:ascii="Times New Roman" w:hAnsi="Times New Roman" w:cs="Times New Roman"/>
        </w:rPr>
        <w:t>PACER Data</w:t>
      </w:r>
    </w:p>
    <w:p w14:paraId="6DE3ADA2" w14:textId="633AB9F2" w:rsidR="00F42C5C" w:rsidRDefault="00904288" w:rsidP="00024B78">
      <w:pPr>
        <w:rPr>
          <w:rFonts w:ascii="Times New Roman" w:hAnsi="Times New Roman" w:cs="Times New Roman"/>
        </w:rPr>
      </w:pPr>
      <w:r>
        <w:rPr>
          <w:rFonts w:ascii="Times New Roman" w:hAnsi="Times New Roman" w:cs="Times New Roman"/>
        </w:rPr>
        <w:t>Table 53: Filing of Schedules—</w:t>
      </w:r>
      <w:r w:rsidR="00F42C5C">
        <w:rPr>
          <w:rFonts w:ascii="Times New Roman" w:hAnsi="Times New Roman" w:cs="Times New Roman"/>
        </w:rPr>
        <w:t>Time in Days</w:t>
      </w:r>
    </w:p>
    <w:p w14:paraId="454413FD" w14:textId="031146CF" w:rsidR="00F42C5C" w:rsidRDefault="00F42C5C" w:rsidP="00024B78">
      <w:pPr>
        <w:rPr>
          <w:rFonts w:ascii="Times New Roman" w:hAnsi="Times New Roman" w:cs="Times New Roman"/>
        </w:rPr>
      </w:pPr>
      <w:r>
        <w:rPr>
          <w:rFonts w:ascii="Times New Roman" w:hAnsi="Times New Roman" w:cs="Times New Roman"/>
        </w:rPr>
        <w:t>Table 54: Plan Proposed by Non-Debtor</w:t>
      </w:r>
    </w:p>
    <w:p w14:paraId="4353DB4F" w14:textId="45F97632" w:rsidR="00F42C5C" w:rsidRDefault="00F42C5C" w:rsidP="00024B78">
      <w:pPr>
        <w:rPr>
          <w:rFonts w:ascii="Times New Roman" w:hAnsi="Times New Roman" w:cs="Times New Roman"/>
        </w:rPr>
      </w:pPr>
      <w:r>
        <w:rPr>
          <w:rFonts w:ascii="Times New Roman" w:hAnsi="Times New Roman" w:cs="Times New Roman"/>
        </w:rPr>
        <w:t>Table 55: Plan Timing</w:t>
      </w:r>
    </w:p>
    <w:p w14:paraId="0E3839D4" w14:textId="684C4C8F" w:rsidR="00F42C5C" w:rsidRDefault="00F42C5C" w:rsidP="00024B78">
      <w:pPr>
        <w:rPr>
          <w:rFonts w:ascii="Times New Roman" w:hAnsi="Times New Roman" w:cs="Times New Roman"/>
        </w:rPr>
      </w:pPr>
      <w:r>
        <w:rPr>
          <w:rFonts w:ascii="Times New Roman" w:hAnsi="Times New Roman" w:cs="Times New Roman"/>
        </w:rPr>
        <w:t>Table 56: Small Business Debtors and Time to First Plan Proposal</w:t>
      </w:r>
    </w:p>
    <w:p w14:paraId="5221F279" w14:textId="681AC9C7" w:rsidR="00CF674F" w:rsidRPr="00CF674F" w:rsidRDefault="00CF674F" w:rsidP="00024B78">
      <w:pPr>
        <w:rPr>
          <w:rFonts w:ascii="Times New Roman" w:hAnsi="Times New Roman" w:cs="Times New Roman"/>
        </w:rPr>
      </w:pPr>
      <w:r w:rsidRPr="00CF674F">
        <w:rPr>
          <w:rFonts w:ascii="Times New Roman" w:hAnsi="Times New Roman" w:cs="Times New Roman"/>
        </w:rPr>
        <w:t>Table 57: Time in Days to Conversion or Dismissal—Random Sample</w:t>
      </w:r>
    </w:p>
    <w:p w14:paraId="6E782D0C" w14:textId="77777777" w:rsidR="00B968A6" w:rsidRDefault="00B968A6" w:rsidP="0074488C">
      <w:pPr>
        <w:rPr>
          <w:rFonts w:ascii="Times New Roman" w:hAnsi="Times New Roman" w:cs="Times New Roman"/>
          <w:b/>
        </w:rPr>
      </w:pPr>
    </w:p>
    <w:p w14:paraId="279BB6E0" w14:textId="77777777" w:rsidR="00B968A6" w:rsidRPr="00AC29B3" w:rsidRDefault="00B968A6" w:rsidP="0074488C">
      <w:pPr>
        <w:rPr>
          <w:rFonts w:ascii="Times New Roman" w:hAnsi="Times New Roman" w:cs="Times New Roman"/>
          <w:b/>
        </w:rPr>
      </w:pPr>
      <w:r w:rsidRPr="00AC29B3">
        <w:rPr>
          <w:rFonts w:ascii="Times New Roman" w:hAnsi="Times New Roman" w:cs="Times New Roman"/>
          <w:b/>
        </w:rPr>
        <w:t>Figures</w:t>
      </w:r>
    </w:p>
    <w:p w14:paraId="57B101EE" w14:textId="20C9C879" w:rsidR="00EB6226" w:rsidRPr="0074488C" w:rsidRDefault="00B968A6" w:rsidP="0074488C">
      <w:pPr>
        <w:rPr>
          <w:rFonts w:ascii="Times New Roman" w:hAnsi="Times New Roman" w:cs="Times New Roman"/>
        </w:rPr>
      </w:pPr>
      <w:r w:rsidRPr="0074488C">
        <w:rPr>
          <w:rFonts w:ascii="Times New Roman" w:hAnsi="Times New Roman" w:cs="Times New Roman"/>
        </w:rPr>
        <w:t xml:space="preserve">Figure 1: Individual Chapter </w:t>
      </w:r>
      <w:r w:rsidR="002B1DBA">
        <w:rPr>
          <w:rFonts w:ascii="Times New Roman" w:hAnsi="Times New Roman" w:cs="Times New Roman"/>
        </w:rPr>
        <w:t xml:space="preserve">11 </w:t>
      </w:r>
      <w:r w:rsidR="00D9767A">
        <w:rPr>
          <w:rFonts w:ascii="Times New Roman" w:hAnsi="Times New Roman" w:cs="Times New Roman"/>
        </w:rPr>
        <w:t>C</w:t>
      </w:r>
      <w:r w:rsidR="002B1DBA">
        <w:rPr>
          <w:rFonts w:ascii="Times New Roman" w:hAnsi="Times New Roman" w:cs="Times New Roman"/>
        </w:rPr>
        <w:t xml:space="preserve">ases </w:t>
      </w:r>
      <w:r w:rsidRPr="0074488C">
        <w:rPr>
          <w:rFonts w:ascii="Times New Roman" w:hAnsi="Times New Roman" w:cs="Times New Roman"/>
        </w:rPr>
        <w:t>in Harvard</w:t>
      </w:r>
      <w:r w:rsidR="00D9767A">
        <w:rPr>
          <w:rFonts w:ascii="Times New Roman" w:hAnsi="Times New Roman" w:cs="Times New Roman"/>
        </w:rPr>
        <w:t>’</w:t>
      </w:r>
      <w:r w:rsidRPr="0074488C">
        <w:rPr>
          <w:rFonts w:ascii="Times New Roman" w:hAnsi="Times New Roman" w:cs="Times New Roman"/>
        </w:rPr>
        <w:t>s Bankruptcy Data Project</w:t>
      </w:r>
      <w:r w:rsidR="004E4ACE">
        <w:rPr>
          <w:rFonts w:ascii="Times New Roman" w:hAnsi="Times New Roman" w:cs="Times New Roman"/>
        </w:rPr>
        <w:tab/>
      </w:r>
      <w:r w:rsidR="004E4ACE">
        <w:rPr>
          <w:rFonts w:ascii="Times New Roman" w:hAnsi="Times New Roman" w:cs="Times New Roman"/>
        </w:rPr>
        <w:tab/>
      </w:r>
    </w:p>
    <w:p w14:paraId="0DB4DA09" w14:textId="578AE367" w:rsidR="00B82B2A" w:rsidRDefault="004B1991" w:rsidP="00256046">
      <w:pPr>
        <w:rPr>
          <w:rFonts w:ascii="Times New Roman" w:hAnsi="Times New Roman" w:cs="Times New Roman"/>
        </w:rPr>
      </w:pPr>
      <w:r w:rsidRPr="00256046">
        <w:rPr>
          <w:rFonts w:ascii="Times New Roman" w:hAnsi="Times New Roman" w:cs="Times New Roman"/>
        </w:rPr>
        <w:t>Figure 2: Number of Other Bankruptcy Filings by 2010 Debtors</w:t>
      </w:r>
      <w:r w:rsidR="004E4ACE">
        <w:rPr>
          <w:rFonts w:ascii="Times New Roman" w:hAnsi="Times New Roman" w:cs="Times New Roman"/>
        </w:rPr>
        <w:tab/>
      </w:r>
      <w:r w:rsidR="004E4ACE">
        <w:rPr>
          <w:rFonts w:ascii="Times New Roman" w:hAnsi="Times New Roman" w:cs="Times New Roman"/>
        </w:rPr>
        <w:tab/>
      </w:r>
      <w:r w:rsidR="004E4ACE">
        <w:rPr>
          <w:rFonts w:ascii="Times New Roman" w:hAnsi="Times New Roman" w:cs="Times New Roman"/>
        </w:rPr>
        <w:tab/>
      </w:r>
    </w:p>
    <w:p w14:paraId="73339499" w14:textId="77777777" w:rsidR="00B82B2A" w:rsidRDefault="00B82B2A" w:rsidP="00B82B2A">
      <w:pPr>
        <w:rPr>
          <w:rFonts w:ascii="Times New Roman" w:hAnsi="Times New Roman" w:cs="Times New Roman"/>
        </w:rPr>
      </w:pPr>
    </w:p>
    <w:p w14:paraId="0790FA0D" w14:textId="740026E0" w:rsidR="00B82B2A" w:rsidRDefault="00B82B2A" w:rsidP="00B82B2A">
      <w:pPr>
        <w:rPr>
          <w:rFonts w:ascii="Times New Roman" w:hAnsi="Times New Roman" w:cs="Times New Roman"/>
          <w:b/>
        </w:rPr>
      </w:pPr>
      <w:r>
        <w:rPr>
          <w:rFonts w:ascii="Times New Roman" w:hAnsi="Times New Roman" w:cs="Times New Roman"/>
          <w:b/>
        </w:rPr>
        <w:t>Appendix A</w:t>
      </w:r>
      <w:r w:rsidR="009E554A">
        <w:rPr>
          <w:rFonts w:ascii="Times New Roman" w:hAnsi="Times New Roman" w:cs="Times New Roman"/>
          <w:b/>
        </w:rPr>
        <w:t xml:space="preserve">: </w:t>
      </w:r>
      <w:r w:rsidR="009E554A">
        <w:rPr>
          <w:rFonts w:ascii="Times New Roman" w:hAnsi="Times New Roman" w:cs="Times New Roman"/>
        </w:rPr>
        <w:t>Individual Chapter 11 Filings by District</w:t>
      </w:r>
    </w:p>
    <w:p w14:paraId="30360790" w14:textId="4B438539" w:rsidR="00F42C5C" w:rsidRDefault="00CF674F" w:rsidP="00256046">
      <w:pPr>
        <w:rPr>
          <w:rFonts w:ascii="Times New Roman" w:hAnsi="Times New Roman" w:cs="Times New Roman"/>
        </w:rPr>
      </w:pPr>
      <w:r>
        <w:rPr>
          <w:rFonts w:ascii="Times New Roman" w:hAnsi="Times New Roman" w:cs="Times New Roman"/>
        </w:rPr>
        <w:t>Table 58:</w:t>
      </w:r>
      <w:r w:rsidR="00B82B2A">
        <w:rPr>
          <w:rFonts w:ascii="Times New Roman" w:hAnsi="Times New Roman" w:cs="Times New Roman"/>
        </w:rPr>
        <w:t xml:space="preserve"> Individual Chapter 11 Filings by District</w:t>
      </w:r>
      <w:r w:rsidR="004E4ACE">
        <w:rPr>
          <w:rFonts w:ascii="Times New Roman" w:hAnsi="Times New Roman" w:cs="Times New Roman"/>
        </w:rPr>
        <w:tab/>
      </w:r>
      <w:r w:rsidR="004E4ACE">
        <w:rPr>
          <w:rFonts w:ascii="Times New Roman" w:hAnsi="Times New Roman" w:cs="Times New Roman"/>
        </w:rPr>
        <w:tab/>
      </w:r>
      <w:r w:rsidR="004E4ACE">
        <w:rPr>
          <w:rFonts w:ascii="Times New Roman" w:hAnsi="Times New Roman" w:cs="Times New Roman"/>
        </w:rPr>
        <w:tab/>
      </w:r>
      <w:r w:rsidR="004E4ACE">
        <w:rPr>
          <w:rFonts w:ascii="Times New Roman" w:hAnsi="Times New Roman" w:cs="Times New Roman"/>
        </w:rPr>
        <w:tab/>
      </w:r>
      <w:r w:rsidR="004E4ACE">
        <w:rPr>
          <w:rFonts w:ascii="Times New Roman" w:hAnsi="Times New Roman" w:cs="Times New Roman"/>
        </w:rPr>
        <w:tab/>
      </w:r>
    </w:p>
    <w:p w14:paraId="059F6B76" w14:textId="77777777" w:rsidR="00F42C5C" w:rsidRDefault="00F42C5C" w:rsidP="00256046">
      <w:pPr>
        <w:rPr>
          <w:rFonts w:ascii="Times New Roman" w:hAnsi="Times New Roman" w:cs="Times New Roman"/>
        </w:rPr>
      </w:pPr>
    </w:p>
    <w:p w14:paraId="69217B68" w14:textId="404264D8" w:rsidR="00F42C5C" w:rsidRDefault="00F42C5C" w:rsidP="00256046">
      <w:pPr>
        <w:rPr>
          <w:rFonts w:ascii="Times New Roman" w:hAnsi="Times New Roman" w:cs="Times New Roman"/>
          <w:b/>
        </w:rPr>
      </w:pPr>
      <w:r w:rsidRPr="00003007">
        <w:rPr>
          <w:rFonts w:ascii="Times New Roman" w:hAnsi="Times New Roman" w:cs="Times New Roman"/>
          <w:b/>
        </w:rPr>
        <w:t>Appendix B</w:t>
      </w:r>
      <w:r w:rsidR="009E554A" w:rsidRPr="00003007">
        <w:rPr>
          <w:rFonts w:ascii="Times New Roman" w:hAnsi="Times New Roman" w:cs="Times New Roman"/>
          <w:b/>
        </w:rPr>
        <w:t xml:space="preserve">: </w:t>
      </w:r>
      <w:r w:rsidR="00003007">
        <w:rPr>
          <w:rFonts w:ascii="Times New Roman" w:hAnsi="Times New Roman" w:cs="Times New Roman"/>
          <w:b/>
        </w:rPr>
        <w:t>Impact of APR on Chapter Choice</w:t>
      </w:r>
    </w:p>
    <w:p w14:paraId="0372C15E" w14:textId="35AE8E76" w:rsidR="00003007" w:rsidRDefault="00003007" w:rsidP="00003007">
      <w:pPr>
        <w:rPr>
          <w:rFonts w:ascii="Times New Roman" w:hAnsi="Times New Roman" w:cs="Times New Roman"/>
        </w:rPr>
      </w:pPr>
      <w:r>
        <w:rPr>
          <w:rFonts w:ascii="Times New Roman" w:hAnsi="Times New Roman" w:cs="Times New Roman"/>
        </w:rPr>
        <w:t>Table 5</w:t>
      </w:r>
      <w:r w:rsidR="0075317C">
        <w:rPr>
          <w:rFonts w:ascii="Times New Roman" w:hAnsi="Times New Roman" w:cs="Times New Roman"/>
        </w:rPr>
        <w:t>9</w:t>
      </w:r>
      <w:r>
        <w:rPr>
          <w:rFonts w:ascii="Times New Roman" w:hAnsi="Times New Roman" w:cs="Times New Roman"/>
        </w:rPr>
        <w:t>: Impact of APR on Chapter Choice</w:t>
      </w:r>
    </w:p>
    <w:p w14:paraId="4DAC71A2" w14:textId="52988D0F" w:rsidR="00CF674F" w:rsidRPr="00CF674F" w:rsidRDefault="00CF674F" w:rsidP="00003007">
      <w:pPr>
        <w:rPr>
          <w:rFonts w:ascii="Times New Roman" w:hAnsi="Times New Roman" w:cs="Times New Roman"/>
        </w:rPr>
      </w:pPr>
      <w:r w:rsidRPr="00CF674F">
        <w:rPr>
          <w:rFonts w:ascii="Times New Roman" w:hAnsi="Times New Roman" w:cs="Times New Roman"/>
        </w:rPr>
        <w:t xml:space="preserve">Table </w:t>
      </w:r>
      <w:r w:rsidR="0075317C">
        <w:rPr>
          <w:rFonts w:ascii="Times New Roman" w:hAnsi="Times New Roman" w:cs="Times New Roman"/>
        </w:rPr>
        <w:t>60</w:t>
      </w:r>
      <w:r w:rsidRPr="00CF674F">
        <w:rPr>
          <w:rFonts w:ascii="Times New Roman" w:hAnsi="Times New Roman" w:cs="Times New Roman"/>
        </w:rPr>
        <w:t>: Percentage of Non-Business Cases in Chapter 11</w:t>
      </w:r>
    </w:p>
    <w:p w14:paraId="31B4DB31" w14:textId="77777777" w:rsidR="00003007" w:rsidRDefault="00003007" w:rsidP="00256046">
      <w:pPr>
        <w:rPr>
          <w:rFonts w:ascii="Times New Roman" w:hAnsi="Times New Roman" w:cs="Times New Roman"/>
          <w:b/>
        </w:rPr>
      </w:pPr>
    </w:p>
    <w:p w14:paraId="0075BC8C" w14:textId="1A8FFE35" w:rsidR="00256046" w:rsidRDefault="00F42C5C" w:rsidP="00256046">
      <w:pPr>
        <w:rPr>
          <w:rFonts w:ascii="Times New Roman" w:hAnsi="Times New Roman" w:cs="Times New Roman"/>
          <w:b/>
        </w:rPr>
      </w:pPr>
      <w:r w:rsidRPr="00003007">
        <w:rPr>
          <w:rFonts w:ascii="Times New Roman" w:hAnsi="Times New Roman" w:cs="Times New Roman"/>
          <w:b/>
        </w:rPr>
        <w:t>Appendix C</w:t>
      </w:r>
      <w:r w:rsidR="009E554A" w:rsidRPr="00003007">
        <w:rPr>
          <w:rFonts w:ascii="Times New Roman" w:hAnsi="Times New Roman" w:cs="Times New Roman"/>
          <w:b/>
        </w:rPr>
        <w:t xml:space="preserve">: </w:t>
      </w:r>
      <w:r w:rsidRPr="00003007">
        <w:rPr>
          <w:rFonts w:ascii="Times New Roman" w:hAnsi="Times New Roman" w:cs="Times New Roman"/>
          <w:b/>
        </w:rPr>
        <w:t xml:space="preserve">Court Decisions Interpreting the </w:t>
      </w:r>
      <w:r w:rsidR="009E554A" w:rsidRPr="00003007">
        <w:rPr>
          <w:rFonts w:ascii="Times New Roman" w:hAnsi="Times New Roman" w:cs="Times New Roman"/>
          <w:b/>
        </w:rPr>
        <w:t>APR</w:t>
      </w:r>
      <w:r w:rsidR="00D9767A">
        <w:rPr>
          <w:rFonts w:ascii="Times New Roman" w:hAnsi="Times New Roman" w:cs="Times New Roman"/>
          <w:b/>
        </w:rPr>
        <w:t xml:space="preserve"> Exception</w:t>
      </w:r>
      <w:r w:rsidR="009E554A" w:rsidRPr="00003007">
        <w:rPr>
          <w:rFonts w:ascii="Times New Roman" w:hAnsi="Times New Roman" w:cs="Times New Roman"/>
          <w:b/>
        </w:rPr>
        <w:t xml:space="preserve"> </w:t>
      </w:r>
      <w:r w:rsidR="00D22A5D">
        <w:rPr>
          <w:rFonts w:ascii="Times New Roman" w:hAnsi="Times New Roman" w:cs="Times New Roman"/>
          <w:b/>
        </w:rPr>
        <w:br w:type="column"/>
      </w:r>
    </w:p>
    <w:p w14:paraId="191EB360" w14:textId="0C78C4E2" w:rsidR="001D6D31" w:rsidRPr="002D1241" w:rsidRDefault="002D1241" w:rsidP="00105C03">
      <w:pPr>
        <w:pStyle w:val="ListParagraph"/>
        <w:numPr>
          <w:ilvl w:val="0"/>
          <w:numId w:val="2"/>
        </w:numPr>
        <w:spacing w:line="480" w:lineRule="auto"/>
        <w:ind w:left="720"/>
        <w:rPr>
          <w:rFonts w:ascii="Times New Roman" w:hAnsi="Times New Roman" w:cs="Times New Roman"/>
          <w:b/>
        </w:rPr>
      </w:pPr>
      <w:r>
        <w:rPr>
          <w:rFonts w:ascii="Times New Roman" w:hAnsi="Times New Roman" w:cs="Times New Roman"/>
          <w:b/>
        </w:rPr>
        <w:t>Introduction</w:t>
      </w:r>
    </w:p>
    <w:p w14:paraId="2CD3F401" w14:textId="0CC63D00" w:rsidR="004C25D0" w:rsidRPr="00D8264A" w:rsidRDefault="004C25D0" w:rsidP="004C25D0">
      <w:pPr>
        <w:spacing w:line="480" w:lineRule="auto"/>
        <w:ind w:firstLine="720"/>
        <w:rPr>
          <w:rFonts w:ascii="Times New Roman" w:hAnsi="Times New Roman" w:cs="Times New Roman"/>
        </w:rPr>
      </w:pPr>
      <w:r w:rsidRPr="00947D4E">
        <w:rPr>
          <w:rFonts w:ascii="Times New Roman" w:hAnsi="Times New Roman" w:cs="Times New Roman"/>
        </w:rPr>
        <w:t>Prior empirical research has taught us a great deal about individuals</w:t>
      </w:r>
      <w:r w:rsidR="005908D2" w:rsidRPr="00947D4E">
        <w:rPr>
          <w:rStyle w:val="FootnoteReference"/>
          <w:rFonts w:ascii="Times New Roman" w:hAnsi="Times New Roman" w:cs="Times New Roman"/>
        </w:rPr>
        <w:footnoteReference w:id="1"/>
      </w:r>
      <w:r w:rsidRPr="00947D4E">
        <w:rPr>
          <w:rFonts w:ascii="Times New Roman" w:hAnsi="Times New Roman" w:cs="Times New Roman"/>
        </w:rPr>
        <w:t xml:space="preserve"> who file under </w:t>
      </w:r>
      <w:r w:rsidR="00AA091B" w:rsidRPr="00947D4E">
        <w:rPr>
          <w:rFonts w:ascii="Times New Roman" w:hAnsi="Times New Roman" w:cs="Times New Roman"/>
        </w:rPr>
        <w:t>c</w:t>
      </w:r>
      <w:r w:rsidRPr="00947D4E">
        <w:rPr>
          <w:rFonts w:ascii="Times New Roman" w:hAnsi="Times New Roman" w:cs="Times New Roman"/>
        </w:rPr>
        <w:t>hapters 7 and 13 of the Bankruptcy Code</w:t>
      </w:r>
      <w:bookmarkStart w:id="1" w:name="_Ref275782955"/>
      <w:r w:rsidRPr="00947D4E">
        <w:rPr>
          <w:rStyle w:val="FootnoteReference"/>
          <w:rFonts w:ascii="Times New Roman" w:hAnsi="Times New Roman" w:cs="Times New Roman"/>
        </w:rPr>
        <w:footnoteReference w:id="2"/>
      </w:r>
      <w:bookmarkEnd w:id="1"/>
      <w:r w:rsidRPr="00947D4E">
        <w:rPr>
          <w:rFonts w:ascii="Times New Roman" w:hAnsi="Times New Roman" w:cs="Times New Roman"/>
        </w:rPr>
        <w:t xml:space="preserve"> and corporations that file under </w:t>
      </w:r>
      <w:r w:rsidR="00AA091B" w:rsidRPr="00947D4E">
        <w:rPr>
          <w:rFonts w:ascii="Times New Roman" w:hAnsi="Times New Roman" w:cs="Times New Roman"/>
        </w:rPr>
        <w:t xml:space="preserve">chapter </w:t>
      </w:r>
      <w:r w:rsidRPr="00947D4E">
        <w:rPr>
          <w:rFonts w:ascii="Times New Roman" w:hAnsi="Times New Roman" w:cs="Times New Roman"/>
        </w:rPr>
        <w:t>11,</w:t>
      </w:r>
      <w:bookmarkStart w:id="2" w:name="_Ref276229185"/>
      <w:r w:rsidRPr="00947D4E">
        <w:rPr>
          <w:rStyle w:val="FootnoteReference"/>
          <w:rFonts w:ascii="Times New Roman" w:hAnsi="Times New Roman" w:cs="Times New Roman"/>
        </w:rPr>
        <w:footnoteReference w:id="3"/>
      </w:r>
      <w:bookmarkEnd w:id="2"/>
      <w:r w:rsidRPr="00947D4E">
        <w:rPr>
          <w:rFonts w:ascii="Times New Roman" w:hAnsi="Times New Roman" w:cs="Times New Roman"/>
        </w:rPr>
        <w:t xml:space="preserve"> but we know relatively little about individuals who file under </w:t>
      </w:r>
      <w:r w:rsidR="00AA091B" w:rsidRPr="00947D4E">
        <w:rPr>
          <w:rFonts w:ascii="Times New Roman" w:hAnsi="Times New Roman" w:cs="Times New Roman"/>
        </w:rPr>
        <w:t>c</w:t>
      </w:r>
      <w:r w:rsidRPr="00947D4E">
        <w:rPr>
          <w:rFonts w:ascii="Times New Roman" w:hAnsi="Times New Roman" w:cs="Times New Roman"/>
        </w:rPr>
        <w:t>hapter 11</w:t>
      </w:r>
      <w:r w:rsidR="00AA7D77" w:rsidRPr="00D8264A">
        <w:rPr>
          <w:rFonts w:ascii="Times New Roman" w:hAnsi="Times New Roman" w:cs="Times New Roman"/>
        </w:rPr>
        <w:t>.</w:t>
      </w:r>
      <w:bookmarkStart w:id="3" w:name="_Ref333734144"/>
      <w:r w:rsidRPr="00947D4E">
        <w:rPr>
          <w:rStyle w:val="FootnoteReference"/>
          <w:rFonts w:ascii="Times New Roman" w:hAnsi="Times New Roman" w:cs="Times New Roman"/>
        </w:rPr>
        <w:footnoteReference w:id="4"/>
      </w:r>
      <w:bookmarkEnd w:id="3"/>
      <w:r w:rsidR="00AA7D77" w:rsidRPr="00947D4E">
        <w:rPr>
          <w:rFonts w:ascii="Times New Roman" w:hAnsi="Times New Roman" w:cs="Times New Roman"/>
        </w:rPr>
        <w:t xml:space="preserve">  </w:t>
      </w:r>
      <w:r w:rsidRPr="00947D4E">
        <w:rPr>
          <w:rFonts w:ascii="Times New Roman" w:hAnsi="Times New Roman" w:cs="Times New Roman"/>
        </w:rPr>
        <w:t xml:space="preserve"> </w:t>
      </w:r>
      <w:r w:rsidR="001B2A79">
        <w:rPr>
          <w:rFonts w:ascii="Times New Roman" w:hAnsi="Times New Roman" w:cs="Times New Roman"/>
        </w:rPr>
        <w:t xml:space="preserve">Individuals file around </w:t>
      </w:r>
      <w:r w:rsidR="00DB15DD">
        <w:rPr>
          <w:rFonts w:ascii="Times New Roman" w:hAnsi="Times New Roman" w:cs="Times New Roman"/>
        </w:rPr>
        <w:t>30%</w:t>
      </w:r>
      <w:r w:rsidR="001B2A79">
        <w:rPr>
          <w:rFonts w:ascii="Times New Roman" w:hAnsi="Times New Roman" w:cs="Times New Roman"/>
        </w:rPr>
        <w:t xml:space="preserve"> of all chapter 11 filings,</w:t>
      </w:r>
      <w:r w:rsidR="001B2A79">
        <w:rPr>
          <w:rStyle w:val="FootnoteReference"/>
          <w:rFonts w:ascii="Times New Roman" w:hAnsi="Times New Roman" w:cs="Times New Roman"/>
        </w:rPr>
        <w:footnoteReference w:id="5"/>
      </w:r>
      <w:r w:rsidR="001B2A79">
        <w:rPr>
          <w:rFonts w:ascii="Times New Roman" w:hAnsi="Times New Roman" w:cs="Times New Roman"/>
        </w:rPr>
        <w:t xml:space="preserve"> and </w:t>
      </w:r>
      <w:r w:rsidR="005400D4">
        <w:rPr>
          <w:rFonts w:ascii="Times New Roman" w:hAnsi="Times New Roman" w:cs="Times New Roman"/>
        </w:rPr>
        <w:t xml:space="preserve">so </w:t>
      </w:r>
      <w:r w:rsidR="001B2A79">
        <w:rPr>
          <w:rFonts w:ascii="Times New Roman" w:hAnsi="Times New Roman" w:cs="Times New Roman"/>
        </w:rPr>
        <w:t xml:space="preserve">this study </w:t>
      </w:r>
      <w:r w:rsidR="005400D4">
        <w:rPr>
          <w:rFonts w:ascii="Times New Roman" w:hAnsi="Times New Roman" w:cs="Times New Roman"/>
        </w:rPr>
        <w:t xml:space="preserve">is designed </w:t>
      </w:r>
      <w:r w:rsidRPr="00947D4E">
        <w:rPr>
          <w:rFonts w:ascii="Times New Roman" w:hAnsi="Times New Roman" w:cs="Times New Roman"/>
        </w:rPr>
        <w:t>to fill th</w:t>
      </w:r>
      <w:r w:rsidR="00AA7D77" w:rsidRPr="00D8264A">
        <w:rPr>
          <w:rFonts w:ascii="Times New Roman" w:hAnsi="Times New Roman" w:cs="Times New Roman"/>
        </w:rPr>
        <w:t>is</w:t>
      </w:r>
      <w:r w:rsidRPr="00D8264A">
        <w:rPr>
          <w:rFonts w:ascii="Times New Roman" w:hAnsi="Times New Roman" w:cs="Times New Roman"/>
        </w:rPr>
        <w:t xml:space="preserve"> gap in our knowledge.</w:t>
      </w:r>
    </w:p>
    <w:p w14:paraId="03CA32EC" w14:textId="449419AB" w:rsidR="00316C1E" w:rsidRDefault="00316C1E" w:rsidP="00830EB2">
      <w:pPr>
        <w:spacing w:line="480" w:lineRule="auto"/>
        <w:ind w:firstLine="720"/>
        <w:rPr>
          <w:rFonts w:ascii="Times New Roman" w:hAnsi="Times New Roman" w:cs="Times New Roman"/>
        </w:rPr>
      </w:pPr>
      <w:r>
        <w:rPr>
          <w:rFonts w:ascii="Times New Roman" w:hAnsi="Times New Roman" w:cs="Times New Roman"/>
        </w:rPr>
        <w:t>T</w:t>
      </w:r>
      <w:r w:rsidRPr="00947D4E">
        <w:rPr>
          <w:rFonts w:ascii="Times New Roman" w:hAnsi="Times New Roman" w:cs="Times New Roman"/>
        </w:rPr>
        <w:t>he rules governing an individual c</w:t>
      </w:r>
      <w:r w:rsidRPr="00D8264A">
        <w:rPr>
          <w:rFonts w:ascii="Times New Roman" w:hAnsi="Times New Roman" w:cs="Times New Roman"/>
        </w:rPr>
        <w:t xml:space="preserve">hapter 11 case are a blend of those applicable to more standard consumer and business bankruptcy cases. </w:t>
      </w:r>
      <w:r>
        <w:rPr>
          <w:rFonts w:ascii="Times New Roman" w:hAnsi="Times New Roman" w:cs="Times New Roman"/>
        </w:rPr>
        <w:t>Individual chapter 11s look much like cases under chapter 13—the more common individual reorganization chapter—in several respects.  In particular, chapter 11, like chapter 13, insists that individuals comply with a projected disposable income test,</w:t>
      </w:r>
      <w:bookmarkStart w:id="4" w:name="_Ref333824844"/>
      <w:r>
        <w:rPr>
          <w:rStyle w:val="FootnoteReference"/>
          <w:rFonts w:ascii="Times New Roman" w:hAnsi="Times New Roman" w:cs="Times New Roman"/>
        </w:rPr>
        <w:footnoteReference w:id="6"/>
      </w:r>
      <w:bookmarkEnd w:id="4"/>
      <w:r>
        <w:rPr>
          <w:rFonts w:ascii="Times New Roman" w:hAnsi="Times New Roman" w:cs="Times New Roman"/>
        </w:rPr>
        <w:t xml:space="preserve"> and both chapters withhold a discharge until individuals complete their plan payments.</w:t>
      </w:r>
      <w:r w:rsidRPr="00947D4E">
        <w:rPr>
          <w:rStyle w:val="FootnoteReference"/>
          <w:rFonts w:ascii="Times New Roman" w:hAnsi="Times New Roman" w:cs="Times New Roman"/>
        </w:rPr>
        <w:footnoteReference w:id="7"/>
      </w:r>
      <w:r>
        <w:rPr>
          <w:rFonts w:ascii="Times New Roman" w:hAnsi="Times New Roman" w:cs="Times New Roman"/>
        </w:rPr>
        <w:t xml:space="preserve">  A corporation, by contrast, obtains a discharge upon confirmation of its chapter 11 plan.</w:t>
      </w:r>
      <w:r w:rsidRPr="00947D4E">
        <w:rPr>
          <w:rStyle w:val="FootnoteReference"/>
          <w:rFonts w:ascii="Times New Roman" w:hAnsi="Times New Roman" w:cs="Times New Roman"/>
        </w:rPr>
        <w:footnoteReference w:id="8"/>
      </w:r>
      <w:r>
        <w:rPr>
          <w:rFonts w:ascii="Times New Roman" w:hAnsi="Times New Roman" w:cs="Times New Roman"/>
        </w:rPr>
        <w:t xml:space="preserve">  In other respects, however, </w:t>
      </w:r>
      <w:r w:rsidR="00B87986">
        <w:rPr>
          <w:rFonts w:ascii="Times New Roman" w:hAnsi="Times New Roman" w:cs="Times New Roman"/>
        </w:rPr>
        <w:t>the application of chapter 11’s usual rules make</w:t>
      </w:r>
      <w:r w:rsidR="00B655C0">
        <w:rPr>
          <w:rFonts w:ascii="Times New Roman" w:hAnsi="Times New Roman" w:cs="Times New Roman"/>
        </w:rPr>
        <w:t>s</w:t>
      </w:r>
      <w:r w:rsidR="00B87986">
        <w:rPr>
          <w:rFonts w:ascii="Times New Roman" w:hAnsi="Times New Roman" w:cs="Times New Roman"/>
        </w:rPr>
        <w:t xml:space="preserve"> cases involving individual debtors quite unlike cases under chapter 13. </w:t>
      </w:r>
      <w:r>
        <w:rPr>
          <w:rFonts w:ascii="Times New Roman" w:hAnsi="Times New Roman" w:cs="Times New Roman"/>
        </w:rPr>
        <w:t xml:space="preserve">First, debtors in chapter 13 face </w:t>
      </w:r>
      <w:r w:rsidRPr="00947D4E">
        <w:rPr>
          <w:rFonts w:ascii="Times New Roman" w:hAnsi="Times New Roman" w:cs="Times New Roman"/>
        </w:rPr>
        <w:t xml:space="preserve">more rigid </w:t>
      </w:r>
      <w:r>
        <w:rPr>
          <w:rFonts w:ascii="Times New Roman" w:hAnsi="Times New Roman" w:cs="Times New Roman"/>
        </w:rPr>
        <w:t xml:space="preserve">requirements </w:t>
      </w:r>
      <w:r w:rsidRPr="00947D4E">
        <w:rPr>
          <w:rFonts w:ascii="Times New Roman" w:hAnsi="Times New Roman" w:cs="Times New Roman"/>
        </w:rPr>
        <w:t>(for example, the debtor must propose a plan within fourteen days of filing,</w:t>
      </w:r>
      <w:bookmarkStart w:id="5" w:name="_Ref333830419"/>
      <w:r>
        <w:rPr>
          <w:rStyle w:val="FootnoteReference"/>
          <w:rFonts w:ascii="Times New Roman" w:hAnsi="Times New Roman" w:cs="Times New Roman"/>
        </w:rPr>
        <w:footnoteReference w:id="9"/>
      </w:r>
      <w:bookmarkEnd w:id="5"/>
      <w:r w:rsidRPr="00947D4E">
        <w:rPr>
          <w:rFonts w:ascii="Times New Roman" w:hAnsi="Times New Roman" w:cs="Times New Roman"/>
        </w:rPr>
        <w:t xml:space="preserve"> and plan payments—which cannot extend past five years</w:t>
      </w:r>
      <w:r>
        <w:rPr>
          <w:rStyle w:val="FootnoteReference"/>
          <w:rFonts w:ascii="Times New Roman" w:hAnsi="Times New Roman" w:cs="Times New Roman"/>
        </w:rPr>
        <w:footnoteReference w:id="10"/>
      </w:r>
      <w:r w:rsidRPr="00947D4E">
        <w:rPr>
          <w:rFonts w:ascii="Times New Roman" w:hAnsi="Times New Roman" w:cs="Times New Roman"/>
        </w:rPr>
        <w:t>—must begin quickly)</w:t>
      </w:r>
      <w:bookmarkStart w:id="6" w:name="_Ref333830421"/>
      <w:r>
        <w:rPr>
          <w:rStyle w:val="FootnoteReference"/>
          <w:rFonts w:ascii="Times New Roman" w:hAnsi="Times New Roman" w:cs="Times New Roman"/>
        </w:rPr>
        <w:footnoteReference w:id="11"/>
      </w:r>
      <w:bookmarkEnd w:id="6"/>
      <w:r>
        <w:rPr>
          <w:rFonts w:ascii="Times New Roman" w:hAnsi="Times New Roman" w:cs="Times New Roman"/>
        </w:rPr>
        <w:t xml:space="preserve"> and</w:t>
      </w:r>
      <w:r w:rsidRPr="00947D4E">
        <w:rPr>
          <w:rFonts w:ascii="Times New Roman" w:hAnsi="Times New Roman" w:cs="Times New Roman"/>
        </w:rPr>
        <w:t xml:space="preserve"> active oversight by a bankruptcy trustee</w:t>
      </w:r>
      <w:r>
        <w:rPr>
          <w:rFonts w:ascii="Times New Roman" w:hAnsi="Times New Roman" w:cs="Times New Roman"/>
        </w:rPr>
        <w:t>.</w:t>
      </w:r>
      <w:r>
        <w:rPr>
          <w:rStyle w:val="FootnoteReference"/>
          <w:rFonts w:ascii="Times New Roman" w:hAnsi="Times New Roman" w:cs="Times New Roman"/>
        </w:rPr>
        <w:footnoteReference w:id="12"/>
      </w:r>
      <w:r w:rsidRPr="00947D4E">
        <w:rPr>
          <w:rFonts w:ascii="Times New Roman" w:hAnsi="Times New Roman" w:cs="Times New Roman"/>
        </w:rPr>
        <w:t xml:space="preserve"> </w:t>
      </w:r>
      <w:r>
        <w:rPr>
          <w:rFonts w:ascii="Times New Roman" w:hAnsi="Times New Roman" w:cs="Times New Roman"/>
        </w:rPr>
        <w:t>C</w:t>
      </w:r>
      <w:r w:rsidRPr="00947D4E">
        <w:rPr>
          <w:rFonts w:ascii="Times New Roman" w:hAnsi="Times New Roman" w:cs="Times New Roman"/>
        </w:rPr>
        <w:t>hapter 11</w:t>
      </w:r>
      <w:r>
        <w:rPr>
          <w:rFonts w:ascii="Times New Roman" w:hAnsi="Times New Roman" w:cs="Times New Roman"/>
        </w:rPr>
        <w:t xml:space="preserve"> </w:t>
      </w:r>
      <w:r w:rsidRPr="00947D4E">
        <w:rPr>
          <w:rFonts w:ascii="Times New Roman" w:hAnsi="Times New Roman" w:cs="Times New Roman"/>
        </w:rPr>
        <w:t>provides flexibility</w:t>
      </w:r>
      <w:r w:rsidR="00B655C0">
        <w:rPr>
          <w:rFonts w:ascii="Times New Roman" w:hAnsi="Times New Roman" w:cs="Times New Roman"/>
        </w:rPr>
        <w:t xml:space="preserve"> </w:t>
      </w:r>
      <w:r>
        <w:rPr>
          <w:rFonts w:ascii="Times New Roman" w:hAnsi="Times New Roman" w:cs="Times New Roman"/>
        </w:rPr>
        <w:t>rather than rigidity,</w:t>
      </w:r>
      <w:r w:rsidRPr="00947D4E">
        <w:rPr>
          <w:rFonts w:ascii="Times New Roman" w:hAnsi="Times New Roman" w:cs="Times New Roman"/>
        </w:rPr>
        <w:t xml:space="preserve"> </w:t>
      </w:r>
      <w:r>
        <w:rPr>
          <w:rFonts w:ascii="Times New Roman" w:hAnsi="Times New Roman" w:cs="Times New Roman"/>
        </w:rPr>
        <w:t xml:space="preserve">and </w:t>
      </w:r>
      <w:r w:rsidRPr="00947D4E">
        <w:rPr>
          <w:rFonts w:ascii="Times New Roman" w:hAnsi="Times New Roman" w:cs="Times New Roman"/>
        </w:rPr>
        <w:t>relies on the initiative of the debtor-in-possession and the participation of creditors</w:t>
      </w:r>
      <w:r>
        <w:rPr>
          <w:rFonts w:ascii="Times New Roman" w:hAnsi="Times New Roman" w:cs="Times New Roman"/>
        </w:rPr>
        <w:t xml:space="preserve">.  Second, the </w:t>
      </w:r>
      <w:r w:rsidRPr="00D8264A">
        <w:rPr>
          <w:rFonts w:ascii="Times New Roman" w:hAnsi="Times New Roman" w:cs="Times New Roman"/>
        </w:rPr>
        <w:t>absolute priority rule</w:t>
      </w:r>
      <w:r w:rsidR="00B655C0">
        <w:rPr>
          <w:rFonts w:ascii="Times New Roman" w:hAnsi="Times New Roman" w:cs="Times New Roman"/>
        </w:rPr>
        <w:t>, as</w:t>
      </w:r>
      <w:r>
        <w:rPr>
          <w:rFonts w:ascii="Times New Roman" w:hAnsi="Times New Roman" w:cs="Times New Roman"/>
        </w:rPr>
        <w:t xml:space="preserve"> </w:t>
      </w:r>
      <w:r w:rsidRPr="00D8264A">
        <w:rPr>
          <w:rFonts w:ascii="Times New Roman" w:hAnsi="Times New Roman" w:cs="Times New Roman"/>
        </w:rPr>
        <w:t xml:space="preserve">most courts </w:t>
      </w:r>
      <w:r>
        <w:rPr>
          <w:rFonts w:ascii="Times New Roman" w:hAnsi="Times New Roman" w:cs="Times New Roman"/>
        </w:rPr>
        <w:t>interpret it, applies equally to individual and corporate</w:t>
      </w:r>
      <w:r w:rsidRPr="00D8264A">
        <w:rPr>
          <w:rFonts w:ascii="Times New Roman" w:hAnsi="Times New Roman" w:cs="Times New Roman"/>
        </w:rPr>
        <w:t xml:space="preserve"> </w:t>
      </w:r>
      <w:r w:rsidRPr="00947D4E">
        <w:rPr>
          <w:rFonts w:ascii="Times New Roman" w:hAnsi="Times New Roman" w:cs="Times New Roman"/>
        </w:rPr>
        <w:t>chapter 11 debtor</w:t>
      </w:r>
      <w:r>
        <w:rPr>
          <w:rFonts w:ascii="Times New Roman" w:hAnsi="Times New Roman" w:cs="Times New Roman"/>
        </w:rPr>
        <w:t>s</w:t>
      </w:r>
      <w:r w:rsidRPr="00947D4E">
        <w:rPr>
          <w:rFonts w:ascii="Times New Roman" w:hAnsi="Times New Roman" w:cs="Times New Roman"/>
        </w:rPr>
        <w:t>.</w:t>
      </w:r>
      <w:bookmarkStart w:id="7" w:name="_Ref333824849"/>
      <w:r w:rsidRPr="00947D4E">
        <w:rPr>
          <w:rStyle w:val="FootnoteReference"/>
          <w:rFonts w:ascii="Times New Roman" w:hAnsi="Times New Roman" w:cs="Times New Roman"/>
        </w:rPr>
        <w:footnoteReference w:id="13"/>
      </w:r>
      <w:bookmarkEnd w:id="7"/>
      <w:r w:rsidRPr="00947D4E">
        <w:rPr>
          <w:rFonts w:ascii="Times New Roman" w:hAnsi="Times New Roman" w:cs="Times New Roman"/>
        </w:rPr>
        <w:t xml:space="preserve"> </w:t>
      </w:r>
      <w:r>
        <w:rPr>
          <w:rFonts w:ascii="Times New Roman" w:hAnsi="Times New Roman" w:cs="Times New Roman"/>
        </w:rPr>
        <w:t xml:space="preserve">Chapter 13, by contrast, has </w:t>
      </w:r>
      <w:r w:rsidRPr="00D8264A">
        <w:rPr>
          <w:rFonts w:ascii="Times New Roman" w:hAnsi="Times New Roman" w:cs="Times New Roman"/>
        </w:rPr>
        <w:t>no absolute priority rule</w:t>
      </w:r>
      <w:r>
        <w:rPr>
          <w:rFonts w:ascii="Times New Roman" w:hAnsi="Times New Roman" w:cs="Times New Roman"/>
        </w:rPr>
        <w:t>.</w:t>
      </w:r>
    </w:p>
    <w:p w14:paraId="00D33145" w14:textId="7DA14360" w:rsidR="00830EB2" w:rsidRPr="00947D4E" w:rsidRDefault="000E7E73" w:rsidP="00830EB2">
      <w:pPr>
        <w:spacing w:line="480" w:lineRule="auto"/>
        <w:ind w:firstLine="720"/>
        <w:rPr>
          <w:rFonts w:ascii="Times New Roman" w:hAnsi="Times New Roman" w:cs="Times New Roman"/>
        </w:rPr>
      </w:pPr>
      <w:r>
        <w:rPr>
          <w:rFonts w:ascii="Times New Roman" w:hAnsi="Times New Roman" w:cs="Times New Roman"/>
        </w:rPr>
        <w:t>Our empirical analysis of individuals in chapter 11 inform</w:t>
      </w:r>
      <w:r w:rsidR="002521D6">
        <w:rPr>
          <w:rFonts w:ascii="Times New Roman" w:hAnsi="Times New Roman" w:cs="Times New Roman"/>
        </w:rPr>
        <w:t>s</w:t>
      </w:r>
      <w:r>
        <w:rPr>
          <w:rFonts w:ascii="Times New Roman" w:hAnsi="Times New Roman" w:cs="Times New Roman"/>
        </w:rPr>
        <w:t xml:space="preserve"> the normative debate</w:t>
      </w:r>
      <w:r w:rsidR="00A6400E">
        <w:rPr>
          <w:rFonts w:ascii="Times New Roman" w:hAnsi="Times New Roman" w:cs="Times New Roman"/>
        </w:rPr>
        <w:t xml:space="preserve"> over the proper structure of bankruptcy law</w:t>
      </w:r>
      <w:r>
        <w:rPr>
          <w:rFonts w:ascii="Times New Roman" w:hAnsi="Times New Roman" w:cs="Times New Roman"/>
        </w:rPr>
        <w:t xml:space="preserve">. </w:t>
      </w:r>
      <w:r w:rsidR="00316C1E">
        <w:rPr>
          <w:rFonts w:ascii="Times New Roman" w:hAnsi="Times New Roman" w:cs="Times New Roman"/>
        </w:rPr>
        <w:t xml:space="preserve">One might </w:t>
      </w:r>
      <w:r w:rsidRPr="00D8264A">
        <w:rPr>
          <w:rFonts w:ascii="Times New Roman" w:hAnsi="Times New Roman" w:cs="Times New Roman"/>
        </w:rPr>
        <w:t xml:space="preserve">believe that chapter 13, </w:t>
      </w:r>
      <w:r w:rsidRPr="0030141A">
        <w:rPr>
          <w:rFonts w:ascii="Times New Roman" w:hAnsi="Times New Roman" w:cs="Times New Roman"/>
        </w:rPr>
        <w:t>or a version thereof</w:t>
      </w:r>
      <w:r w:rsidRPr="00947D4E">
        <w:rPr>
          <w:rFonts w:ascii="Times New Roman" w:hAnsi="Times New Roman" w:cs="Times New Roman"/>
        </w:rPr>
        <w:t xml:space="preserve">, may be more appropriate for nearly all </w:t>
      </w:r>
      <w:r>
        <w:rPr>
          <w:rFonts w:ascii="Times New Roman" w:hAnsi="Times New Roman" w:cs="Times New Roman"/>
        </w:rPr>
        <w:t>individuals</w:t>
      </w:r>
      <w:r w:rsidRPr="00947D4E">
        <w:rPr>
          <w:rFonts w:ascii="Times New Roman" w:hAnsi="Times New Roman" w:cs="Times New Roman"/>
        </w:rPr>
        <w:t xml:space="preserve"> who want to reorganize, </w:t>
      </w:r>
      <w:r w:rsidR="00316C1E">
        <w:rPr>
          <w:rFonts w:ascii="Times New Roman" w:hAnsi="Times New Roman" w:cs="Times New Roman"/>
        </w:rPr>
        <w:t xml:space="preserve">or that </w:t>
      </w:r>
      <w:r w:rsidR="001157AB">
        <w:rPr>
          <w:rFonts w:ascii="Times New Roman" w:hAnsi="Times New Roman" w:cs="Times New Roman"/>
        </w:rPr>
        <w:t xml:space="preserve">a separate fast-track adaptation of </w:t>
      </w:r>
      <w:r w:rsidR="00316C1E">
        <w:rPr>
          <w:rFonts w:ascii="Times New Roman" w:hAnsi="Times New Roman" w:cs="Times New Roman"/>
        </w:rPr>
        <w:t>chapter 11 is preferable.</w:t>
      </w:r>
      <w:r w:rsidRPr="00947D4E">
        <w:rPr>
          <w:rFonts w:ascii="Times New Roman" w:hAnsi="Times New Roman" w:cs="Times New Roman"/>
        </w:rPr>
        <w:t xml:space="preserve"> </w:t>
      </w:r>
      <w:r w:rsidR="00B87986">
        <w:rPr>
          <w:rFonts w:ascii="Times New Roman" w:hAnsi="Times New Roman" w:cs="Times New Roman"/>
        </w:rPr>
        <w:t>Under another view, a</w:t>
      </w:r>
      <w:r w:rsidR="00B655C0">
        <w:rPr>
          <w:rFonts w:ascii="Times New Roman" w:hAnsi="Times New Roman" w:cs="Times New Roman"/>
        </w:rPr>
        <w:t>n entirely</w:t>
      </w:r>
      <w:r w:rsidRPr="00947D4E">
        <w:rPr>
          <w:rFonts w:ascii="Times New Roman" w:hAnsi="Times New Roman" w:cs="Times New Roman"/>
        </w:rPr>
        <w:t xml:space="preserve"> different resolution mechanism</w:t>
      </w:r>
      <w:r w:rsidR="00B87986">
        <w:rPr>
          <w:rFonts w:ascii="Times New Roman" w:hAnsi="Times New Roman" w:cs="Times New Roman"/>
        </w:rPr>
        <w:t xml:space="preserve"> might be preferable</w:t>
      </w:r>
      <w:r w:rsidRPr="00947D4E">
        <w:rPr>
          <w:rFonts w:ascii="Times New Roman" w:hAnsi="Times New Roman" w:cs="Times New Roman"/>
        </w:rPr>
        <w:t>.</w:t>
      </w:r>
      <w:r w:rsidRPr="00947D4E">
        <w:rPr>
          <w:rStyle w:val="FootnoteReference"/>
          <w:rFonts w:ascii="Times New Roman" w:hAnsi="Times New Roman" w:cs="Times New Roman"/>
        </w:rPr>
        <w:footnoteReference w:id="14"/>
      </w:r>
      <w:r>
        <w:rPr>
          <w:rFonts w:ascii="Times New Roman" w:hAnsi="Times New Roman" w:cs="Times New Roman"/>
        </w:rPr>
        <w:t xml:space="preserve">  </w:t>
      </w:r>
      <w:r w:rsidR="002521D6">
        <w:rPr>
          <w:rFonts w:ascii="Times New Roman" w:hAnsi="Times New Roman" w:cs="Times New Roman"/>
        </w:rPr>
        <w:t>Regardless of the merits of the various arguments</w:t>
      </w:r>
      <w:r>
        <w:rPr>
          <w:rFonts w:ascii="Times New Roman" w:hAnsi="Times New Roman" w:cs="Times New Roman"/>
        </w:rPr>
        <w:t>, i</w:t>
      </w:r>
      <w:r w:rsidR="008C54B5">
        <w:rPr>
          <w:rFonts w:ascii="Times New Roman" w:hAnsi="Times New Roman" w:cs="Times New Roman"/>
        </w:rPr>
        <w:t>t makes little sense to apply very different rules i</w:t>
      </w:r>
      <w:r w:rsidR="00830EB2" w:rsidRPr="00947D4E">
        <w:rPr>
          <w:rFonts w:ascii="Times New Roman" w:hAnsi="Times New Roman" w:cs="Times New Roman"/>
        </w:rPr>
        <w:t>f individuals in chapter 11 have the same characteristics</w:t>
      </w:r>
      <w:r w:rsidR="001157AB">
        <w:rPr>
          <w:rFonts w:ascii="Times New Roman" w:hAnsi="Times New Roman" w:cs="Times New Roman"/>
        </w:rPr>
        <w:t>, but slightly larger debts,</w:t>
      </w:r>
      <w:r w:rsidR="00830EB2" w:rsidRPr="00947D4E">
        <w:rPr>
          <w:rFonts w:ascii="Times New Roman" w:hAnsi="Times New Roman" w:cs="Times New Roman"/>
        </w:rPr>
        <w:t xml:space="preserve"> as those in chapter 13</w:t>
      </w:r>
      <w:r w:rsidR="001157AB">
        <w:rPr>
          <w:rFonts w:ascii="Times New Roman" w:hAnsi="Times New Roman" w:cs="Times New Roman"/>
        </w:rPr>
        <w:t>.</w:t>
      </w:r>
      <w:r w:rsidR="00830EB2" w:rsidRPr="00947D4E">
        <w:rPr>
          <w:rFonts w:ascii="Times New Roman" w:hAnsi="Times New Roman" w:cs="Times New Roman"/>
        </w:rPr>
        <w:t xml:space="preserve"> </w:t>
      </w:r>
    </w:p>
    <w:p w14:paraId="4A77D0EE" w14:textId="59305B6A" w:rsidR="004C25D0" w:rsidRPr="00947D4E" w:rsidRDefault="000E7E73" w:rsidP="001F0716">
      <w:pPr>
        <w:spacing w:line="480" w:lineRule="auto"/>
        <w:ind w:firstLine="720"/>
        <w:rPr>
          <w:rFonts w:ascii="Times New Roman" w:hAnsi="Times New Roman" w:cs="Times New Roman"/>
        </w:rPr>
      </w:pPr>
      <w:r>
        <w:rPr>
          <w:rFonts w:ascii="Times New Roman" w:hAnsi="Times New Roman" w:cs="Times New Roman"/>
        </w:rPr>
        <w:t>In some ways</w:t>
      </w:r>
      <w:r w:rsidR="001157AB">
        <w:rPr>
          <w:rFonts w:ascii="Times New Roman" w:hAnsi="Times New Roman" w:cs="Times New Roman"/>
        </w:rPr>
        <w:t>,</w:t>
      </w:r>
      <w:r>
        <w:rPr>
          <w:rFonts w:ascii="Times New Roman" w:hAnsi="Times New Roman" w:cs="Times New Roman"/>
        </w:rPr>
        <w:t xml:space="preserve"> individuals in chapter 11 are very different from those in chapter 13.  </w:t>
      </w:r>
      <w:r w:rsidR="00A6400E">
        <w:rPr>
          <w:rFonts w:ascii="Times New Roman" w:hAnsi="Times New Roman" w:cs="Times New Roman"/>
        </w:rPr>
        <w:t>C</w:t>
      </w:r>
      <w:r>
        <w:rPr>
          <w:rFonts w:ascii="Times New Roman" w:hAnsi="Times New Roman" w:cs="Times New Roman"/>
        </w:rPr>
        <w:t xml:space="preserve">hapter 11 </w:t>
      </w:r>
      <w:r w:rsidR="00A6400E">
        <w:rPr>
          <w:rFonts w:ascii="Times New Roman" w:hAnsi="Times New Roman" w:cs="Times New Roman"/>
        </w:rPr>
        <w:t xml:space="preserve">debtors </w:t>
      </w:r>
      <w:r>
        <w:rPr>
          <w:rFonts w:ascii="Times New Roman" w:hAnsi="Times New Roman" w:cs="Times New Roman"/>
        </w:rPr>
        <w:t>are much more likely to operate a business</w:t>
      </w:r>
      <w:r w:rsidR="008C54B5">
        <w:rPr>
          <w:rFonts w:ascii="Times New Roman" w:hAnsi="Times New Roman" w:cs="Times New Roman"/>
        </w:rPr>
        <w:t>,</w:t>
      </w:r>
      <w:r w:rsidR="002521D6">
        <w:rPr>
          <w:rStyle w:val="FootnoteReference"/>
          <w:rFonts w:ascii="Times New Roman" w:hAnsi="Times New Roman" w:cs="Times New Roman"/>
        </w:rPr>
        <w:footnoteReference w:id="15"/>
      </w:r>
      <w:r w:rsidR="008C54B5">
        <w:rPr>
          <w:rFonts w:ascii="Times New Roman" w:hAnsi="Times New Roman" w:cs="Times New Roman"/>
        </w:rPr>
        <w:t xml:space="preserve"> and they have </w:t>
      </w:r>
      <w:r w:rsidR="008C54B5" w:rsidRPr="00D8264A">
        <w:rPr>
          <w:rFonts w:ascii="Times New Roman" w:hAnsi="Times New Roman" w:cs="Times New Roman"/>
        </w:rPr>
        <w:t>dramatically higher debt-to</w:t>
      </w:r>
      <w:r w:rsidR="008C54B5" w:rsidRPr="0030141A">
        <w:rPr>
          <w:rFonts w:ascii="Times New Roman" w:hAnsi="Times New Roman" w:cs="Times New Roman"/>
        </w:rPr>
        <w:t>-</w:t>
      </w:r>
      <w:r w:rsidR="008C54B5" w:rsidRPr="00947D4E">
        <w:rPr>
          <w:rFonts w:ascii="Times New Roman" w:hAnsi="Times New Roman" w:cs="Times New Roman"/>
        </w:rPr>
        <w:t>income ratios than other consumer debtors; in our sample</w:t>
      </w:r>
      <w:r w:rsidR="00B87986">
        <w:rPr>
          <w:rFonts w:ascii="Times New Roman" w:hAnsi="Times New Roman" w:cs="Times New Roman"/>
        </w:rPr>
        <w:t>,</w:t>
      </w:r>
      <w:r w:rsidR="008C54B5" w:rsidRPr="00947D4E">
        <w:rPr>
          <w:rFonts w:ascii="Times New Roman" w:hAnsi="Times New Roman" w:cs="Times New Roman"/>
        </w:rPr>
        <w:t xml:space="preserve"> the median ratio was 16 in 2010 and 8 in 2013.</w:t>
      </w:r>
      <w:r w:rsidR="008C54B5" w:rsidRPr="00947D4E">
        <w:rPr>
          <w:rStyle w:val="FootnoteReference"/>
          <w:rFonts w:ascii="Times New Roman" w:hAnsi="Times New Roman" w:cs="Times New Roman"/>
        </w:rPr>
        <w:footnoteReference w:id="16"/>
      </w:r>
      <w:r w:rsidR="008C54B5" w:rsidRPr="00947D4E">
        <w:rPr>
          <w:rFonts w:ascii="Times New Roman" w:hAnsi="Times New Roman" w:cs="Times New Roman"/>
        </w:rPr>
        <w:t xml:space="preserve"> As </w:t>
      </w:r>
      <w:r w:rsidR="007D2A0D">
        <w:rPr>
          <w:rFonts w:ascii="Times New Roman" w:hAnsi="Times New Roman" w:cs="Times New Roman"/>
        </w:rPr>
        <w:t>expected, chapter 11 debtors</w:t>
      </w:r>
      <w:r w:rsidR="008C54B5" w:rsidRPr="00D8264A">
        <w:rPr>
          <w:rFonts w:ascii="Times New Roman" w:hAnsi="Times New Roman" w:cs="Times New Roman"/>
        </w:rPr>
        <w:t xml:space="preserve"> </w:t>
      </w:r>
      <w:r w:rsidR="008C54B5" w:rsidRPr="00947D4E">
        <w:rPr>
          <w:rFonts w:ascii="Times New Roman" w:hAnsi="Times New Roman" w:cs="Times New Roman"/>
        </w:rPr>
        <w:t>have much higher household incomes than individuals in chapters 7 or 13, but their expenses also</w:t>
      </w:r>
      <w:r w:rsidR="008C54B5" w:rsidRPr="00D8264A">
        <w:rPr>
          <w:rFonts w:ascii="Times New Roman" w:hAnsi="Times New Roman" w:cs="Times New Roman"/>
        </w:rPr>
        <w:t xml:space="preserve"> are quite large.</w:t>
      </w:r>
      <w:r w:rsidR="008C54B5" w:rsidRPr="00947D4E">
        <w:rPr>
          <w:rStyle w:val="FootnoteReference"/>
          <w:rFonts w:ascii="Times New Roman" w:hAnsi="Times New Roman" w:cs="Times New Roman"/>
        </w:rPr>
        <w:footnoteReference w:id="17"/>
      </w:r>
      <w:r w:rsidR="008C54B5" w:rsidRPr="00947D4E">
        <w:rPr>
          <w:rFonts w:ascii="Times New Roman" w:hAnsi="Times New Roman" w:cs="Times New Roman"/>
        </w:rPr>
        <w:t xml:space="preserve"> Real estate debt plays a particu</w:t>
      </w:r>
      <w:r w:rsidR="008C54B5" w:rsidRPr="00D8264A">
        <w:rPr>
          <w:rFonts w:ascii="Times New Roman" w:hAnsi="Times New Roman" w:cs="Times New Roman"/>
        </w:rPr>
        <w:t xml:space="preserve">larly prominent role; unsurprisingly this is especially true of the filings made in </w:t>
      </w:r>
      <w:r w:rsidR="008C54B5" w:rsidRPr="00947D4E">
        <w:rPr>
          <w:rFonts w:ascii="Times New Roman" w:hAnsi="Times New Roman" w:cs="Times New Roman"/>
        </w:rPr>
        <w:t>2010.</w:t>
      </w:r>
      <w:r w:rsidR="008C54B5" w:rsidRPr="008C54B5">
        <w:rPr>
          <w:rFonts w:ascii="Times New Roman" w:hAnsi="Times New Roman" w:cs="Times New Roman"/>
        </w:rPr>
        <w:t xml:space="preserve"> </w:t>
      </w:r>
      <w:r w:rsidR="008C54B5" w:rsidRPr="00D8264A">
        <w:rPr>
          <w:rFonts w:ascii="Times New Roman" w:hAnsi="Times New Roman" w:cs="Times New Roman"/>
        </w:rPr>
        <w:t>The typical individual filing for relief under chapter 11 is male; women account for a much smaller proportion of chapter 11 than chapter 13 filings.</w:t>
      </w:r>
      <w:r w:rsidR="008C54B5" w:rsidRPr="00947D4E">
        <w:rPr>
          <w:rStyle w:val="FootnoteReference"/>
          <w:rFonts w:ascii="Times New Roman" w:hAnsi="Times New Roman" w:cs="Times New Roman"/>
        </w:rPr>
        <w:footnoteReference w:id="18"/>
      </w:r>
      <w:r w:rsidR="008C54B5" w:rsidRPr="00947D4E">
        <w:rPr>
          <w:rFonts w:ascii="Times New Roman" w:hAnsi="Times New Roman" w:cs="Times New Roman"/>
        </w:rPr>
        <w:t xml:space="preserve"> </w:t>
      </w:r>
      <w:r w:rsidR="008C54B5" w:rsidRPr="00D8264A">
        <w:rPr>
          <w:rFonts w:ascii="Times New Roman" w:hAnsi="Times New Roman" w:cs="Times New Roman"/>
        </w:rPr>
        <w:t xml:space="preserve"> </w:t>
      </w:r>
      <w:r w:rsidR="00C353A0" w:rsidRPr="00947D4E">
        <w:rPr>
          <w:rFonts w:ascii="Times New Roman" w:hAnsi="Times New Roman" w:cs="Times New Roman"/>
        </w:rPr>
        <w:t xml:space="preserve">Many individuals in chapter 11, like other bankrupt debtors, </w:t>
      </w:r>
      <w:r w:rsidR="009A2147" w:rsidRPr="00947D4E">
        <w:rPr>
          <w:rFonts w:ascii="Times New Roman" w:hAnsi="Times New Roman" w:cs="Times New Roman"/>
        </w:rPr>
        <w:t xml:space="preserve">are </w:t>
      </w:r>
      <w:r w:rsidR="00C353A0" w:rsidRPr="00947D4E">
        <w:rPr>
          <w:rFonts w:ascii="Times New Roman" w:hAnsi="Times New Roman" w:cs="Times New Roman"/>
        </w:rPr>
        <w:t>frequent users of the bankruptcy courts.</w:t>
      </w:r>
      <w:r w:rsidR="00C353A0" w:rsidRPr="00947D4E">
        <w:rPr>
          <w:rStyle w:val="FootnoteReference"/>
          <w:rFonts w:ascii="Times New Roman" w:hAnsi="Times New Roman" w:cs="Times New Roman"/>
        </w:rPr>
        <w:footnoteReference w:id="19"/>
      </w:r>
      <w:r w:rsidR="00C353A0" w:rsidRPr="00947D4E">
        <w:rPr>
          <w:rFonts w:ascii="Times New Roman" w:hAnsi="Times New Roman" w:cs="Times New Roman"/>
        </w:rPr>
        <w:t xml:space="preserve"> </w:t>
      </w:r>
    </w:p>
    <w:p w14:paraId="25EBC5DD" w14:textId="34E8D615" w:rsidR="00B47442" w:rsidRDefault="007D2A0D" w:rsidP="007C3C08">
      <w:pPr>
        <w:spacing w:line="480" w:lineRule="auto"/>
        <w:ind w:firstLine="720"/>
        <w:rPr>
          <w:rFonts w:ascii="Times New Roman" w:hAnsi="Times New Roman" w:cs="Times New Roman"/>
        </w:rPr>
      </w:pPr>
      <w:r>
        <w:rPr>
          <w:rFonts w:ascii="Times New Roman" w:hAnsi="Times New Roman" w:cs="Times New Roman"/>
        </w:rPr>
        <w:t>O</w:t>
      </w:r>
      <w:r w:rsidR="008C54B5">
        <w:rPr>
          <w:rFonts w:ascii="Times New Roman" w:hAnsi="Times New Roman" w:cs="Times New Roman"/>
        </w:rPr>
        <w:t>ne should not overstate the differences</w:t>
      </w:r>
      <w:r w:rsidR="00B655C0">
        <w:rPr>
          <w:rFonts w:ascii="Times New Roman" w:hAnsi="Times New Roman" w:cs="Times New Roman"/>
        </w:rPr>
        <w:t>,</w:t>
      </w:r>
      <w:r w:rsidR="008C54B5">
        <w:rPr>
          <w:rFonts w:ascii="Times New Roman" w:hAnsi="Times New Roman" w:cs="Times New Roman"/>
        </w:rPr>
        <w:t xml:space="preserve"> </w:t>
      </w:r>
      <w:r w:rsidR="001157AB">
        <w:rPr>
          <w:rFonts w:ascii="Times New Roman" w:hAnsi="Times New Roman" w:cs="Times New Roman"/>
        </w:rPr>
        <w:t xml:space="preserve">however, </w:t>
      </w:r>
      <w:r w:rsidR="008C54B5">
        <w:rPr>
          <w:rFonts w:ascii="Times New Roman" w:hAnsi="Times New Roman" w:cs="Times New Roman"/>
        </w:rPr>
        <w:t xml:space="preserve">as individual chapter 11 cases </w:t>
      </w:r>
      <w:r w:rsidR="001157AB">
        <w:rPr>
          <w:rFonts w:ascii="Times New Roman" w:hAnsi="Times New Roman" w:cs="Times New Roman"/>
        </w:rPr>
        <w:t xml:space="preserve">generally </w:t>
      </w:r>
      <w:r w:rsidR="008C54B5">
        <w:rPr>
          <w:rFonts w:ascii="Times New Roman" w:hAnsi="Times New Roman" w:cs="Times New Roman"/>
        </w:rPr>
        <w:t xml:space="preserve">are not that </w:t>
      </w:r>
      <w:r w:rsidR="00B47442" w:rsidRPr="00D8264A">
        <w:rPr>
          <w:rFonts w:ascii="Times New Roman" w:hAnsi="Times New Roman" w:cs="Times New Roman"/>
        </w:rPr>
        <w:t xml:space="preserve">complex. </w:t>
      </w:r>
      <w:r w:rsidR="00B47442" w:rsidRPr="00947D4E">
        <w:rPr>
          <w:rFonts w:ascii="Times New Roman" w:hAnsi="Times New Roman" w:cs="Times New Roman"/>
        </w:rPr>
        <w:t xml:space="preserve"> The vast majority </w:t>
      </w:r>
      <w:r w:rsidR="00B87986">
        <w:rPr>
          <w:rFonts w:ascii="Times New Roman" w:hAnsi="Times New Roman" w:cs="Times New Roman"/>
        </w:rPr>
        <w:t>of debtors have</w:t>
      </w:r>
      <w:r w:rsidR="003907C3" w:rsidRPr="00947D4E">
        <w:rPr>
          <w:rFonts w:ascii="Times New Roman" w:hAnsi="Times New Roman" w:cs="Times New Roman"/>
        </w:rPr>
        <w:t xml:space="preserve"> a</w:t>
      </w:r>
      <w:r w:rsidR="00B47442" w:rsidRPr="00947D4E">
        <w:rPr>
          <w:rFonts w:ascii="Times New Roman" w:hAnsi="Times New Roman" w:cs="Times New Roman"/>
        </w:rPr>
        <w:t xml:space="preserve"> small number of creditors</w:t>
      </w:r>
      <w:r w:rsidR="003907C3" w:rsidRPr="00947D4E">
        <w:rPr>
          <w:rFonts w:ascii="Times New Roman" w:hAnsi="Times New Roman" w:cs="Times New Roman"/>
        </w:rPr>
        <w:t>.</w:t>
      </w:r>
      <w:r w:rsidR="00B47442" w:rsidRPr="00947D4E">
        <w:rPr>
          <w:rStyle w:val="FootnoteReference"/>
          <w:rFonts w:ascii="Times New Roman" w:hAnsi="Times New Roman" w:cs="Times New Roman"/>
        </w:rPr>
        <w:footnoteReference w:id="20"/>
      </w:r>
      <w:r w:rsidR="00C353A0" w:rsidRPr="00947D4E">
        <w:rPr>
          <w:rFonts w:ascii="Times New Roman" w:hAnsi="Times New Roman" w:cs="Times New Roman"/>
        </w:rPr>
        <w:t xml:space="preserve"> H</w:t>
      </w:r>
      <w:r w:rsidR="00B47442" w:rsidRPr="00947D4E">
        <w:rPr>
          <w:rFonts w:ascii="Times New Roman" w:hAnsi="Times New Roman" w:cs="Times New Roman"/>
        </w:rPr>
        <w:t xml:space="preserve">alf have liabilities that fall below the </w:t>
      </w:r>
      <w:r w:rsidR="00B47442" w:rsidRPr="00D8264A">
        <w:rPr>
          <w:rFonts w:ascii="Times New Roman" w:hAnsi="Times New Roman" w:cs="Times New Roman"/>
        </w:rPr>
        <w:t>liability threshold for small business debtors</w:t>
      </w:r>
      <w:r w:rsidR="00D8264A">
        <w:rPr>
          <w:rFonts w:ascii="Times New Roman" w:hAnsi="Times New Roman" w:cs="Times New Roman"/>
        </w:rPr>
        <w:t>,</w:t>
      </w:r>
      <w:r w:rsidR="00B47442" w:rsidRPr="00D8264A">
        <w:rPr>
          <w:rFonts w:ascii="Times New Roman" w:hAnsi="Times New Roman" w:cs="Times New Roman"/>
        </w:rPr>
        <w:t xml:space="preserve"> and assets and liabilities that fall far below the $10 million cutoff that the American Bankruptcy Commission recently recommended for small and </w:t>
      </w:r>
      <w:r w:rsidR="00B47442" w:rsidRPr="00947D4E">
        <w:rPr>
          <w:rFonts w:ascii="Times New Roman" w:hAnsi="Times New Roman" w:cs="Times New Roman"/>
        </w:rPr>
        <w:t>medium sized enterprises.</w:t>
      </w:r>
      <w:bookmarkStart w:id="8" w:name="_Ref333750360"/>
      <w:r w:rsidR="00B47442" w:rsidRPr="00947D4E">
        <w:rPr>
          <w:rStyle w:val="FootnoteReference"/>
          <w:rFonts w:ascii="Times New Roman" w:hAnsi="Times New Roman" w:cs="Times New Roman"/>
        </w:rPr>
        <w:footnoteReference w:id="21"/>
      </w:r>
      <w:bookmarkEnd w:id="8"/>
      <w:r w:rsidR="00B47442" w:rsidRPr="00947D4E">
        <w:rPr>
          <w:rFonts w:ascii="Times New Roman" w:hAnsi="Times New Roman" w:cs="Times New Roman"/>
        </w:rPr>
        <w:t xml:space="preserve">  </w:t>
      </w:r>
      <w:r w:rsidR="003117E3" w:rsidRPr="00947D4E">
        <w:rPr>
          <w:rFonts w:ascii="Times New Roman" w:hAnsi="Times New Roman" w:cs="Times New Roman"/>
        </w:rPr>
        <w:t>Moreover, few individual</w:t>
      </w:r>
      <w:r w:rsidR="00C353A0" w:rsidRPr="00947D4E">
        <w:rPr>
          <w:rFonts w:ascii="Times New Roman" w:hAnsi="Times New Roman" w:cs="Times New Roman"/>
        </w:rPr>
        <w:t xml:space="preserve">s enter </w:t>
      </w:r>
      <w:r w:rsidR="00C353A0" w:rsidRPr="00D8264A">
        <w:rPr>
          <w:rFonts w:ascii="Times New Roman" w:hAnsi="Times New Roman" w:cs="Times New Roman"/>
        </w:rPr>
        <w:t>chapter 11 with affiliated debtors</w:t>
      </w:r>
      <w:r w:rsidR="00B87986">
        <w:rPr>
          <w:rFonts w:ascii="Times New Roman" w:hAnsi="Times New Roman" w:cs="Times New Roman"/>
        </w:rPr>
        <w:t>,</w:t>
      </w:r>
      <w:r w:rsidR="00C353A0" w:rsidRPr="00D8264A">
        <w:rPr>
          <w:rFonts w:ascii="Times New Roman" w:hAnsi="Times New Roman" w:cs="Times New Roman"/>
        </w:rPr>
        <w:t xml:space="preserve"> </w:t>
      </w:r>
      <w:r w:rsidR="003117E3" w:rsidRPr="00D8264A">
        <w:rPr>
          <w:rFonts w:ascii="Times New Roman" w:hAnsi="Times New Roman" w:cs="Times New Roman"/>
        </w:rPr>
        <w:t>and procedural consolidation is rare.</w:t>
      </w:r>
      <w:r w:rsidR="003117E3" w:rsidRPr="00947D4E">
        <w:rPr>
          <w:rStyle w:val="FootnoteReference"/>
          <w:rFonts w:ascii="Times New Roman" w:hAnsi="Times New Roman" w:cs="Times New Roman"/>
        </w:rPr>
        <w:footnoteReference w:id="22"/>
      </w:r>
    </w:p>
    <w:p w14:paraId="72C9F582" w14:textId="51D87591" w:rsidR="00E4219B" w:rsidRPr="00947D4E" w:rsidRDefault="008C54B5" w:rsidP="00F52F9E">
      <w:pPr>
        <w:spacing w:line="480" w:lineRule="auto"/>
        <w:ind w:firstLine="720"/>
        <w:rPr>
          <w:rFonts w:ascii="Times New Roman" w:hAnsi="Times New Roman" w:cs="Times New Roman"/>
        </w:rPr>
      </w:pPr>
      <w:r>
        <w:rPr>
          <w:rFonts w:ascii="Times New Roman" w:hAnsi="Times New Roman" w:cs="Times New Roman"/>
        </w:rPr>
        <w:t xml:space="preserve">One striking finding is that </w:t>
      </w:r>
      <w:r w:rsidRPr="00947D4E">
        <w:rPr>
          <w:rFonts w:ascii="Times New Roman" w:hAnsi="Times New Roman" w:cs="Times New Roman"/>
        </w:rPr>
        <w:t xml:space="preserve">a </w:t>
      </w:r>
      <w:r w:rsidR="00A6400E">
        <w:rPr>
          <w:rFonts w:ascii="Times New Roman" w:hAnsi="Times New Roman" w:cs="Times New Roman"/>
        </w:rPr>
        <w:t>large</w:t>
      </w:r>
      <w:r w:rsidRPr="00947D4E">
        <w:rPr>
          <w:rFonts w:ascii="Times New Roman" w:hAnsi="Times New Roman" w:cs="Times New Roman"/>
        </w:rPr>
        <w:t xml:space="preserve"> number of individual debtors chose to f</w:t>
      </w:r>
      <w:r w:rsidR="00A6400E">
        <w:rPr>
          <w:rFonts w:ascii="Times New Roman" w:hAnsi="Times New Roman" w:cs="Times New Roman"/>
        </w:rPr>
        <w:t>ile for relief under chapter 11</w:t>
      </w:r>
      <w:r w:rsidRPr="00947D4E">
        <w:rPr>
          <w:rFonts w:ascii="Times New Roman" w:hAnsi="Times New Roman" w:cs="Times New Roman"/>
        </w:rPr>
        <w:t xml:space="preserve"> even though they qualified for chapter 13</w:t>
      </w:r>
      <w:r w:rsidRPr="00947D4E">
        <w:rPr>
          <w:rStyle w:val="FootnoteReference"/>
          <w:rFonts w:ascii="Times New Roman" w:hAnsi="Times New Roman" w:cs="Times New Roman"/>
        </w:rPr>
        <w:footnoteReference w:id="23"/>
      </w:r>
      <w:r>
        <w:rPr>
          <w:rFonts w:ascii="Times New Roman" w:hAnsi="Times New Roman" w:cs="Times New Roman"/>
        </w:rPr>
        <w:t xml:space="preserve"> and even though a chapter 11 case costs substantially more. </w:t>
      </w:r>
      <w:r w:rsidRPr="00947D4E">
        <w:rPr>
          <w:rFonts w:ascii="Times New Roman" w:hAnsi="Times New Roman" w:cs="Times New Roman"/>
        </w:rPr>
        <w:t>The median amount that chapter 11 debtors paid to their attorneys at the outset of the case was at least $7,500</w:t>
      </w:r>
      <w:r w:rsidRPr="00947D4E">
        <w:rPr>
          <w:rStyle w:val="FootnoteReference"/>
          <w:rFonts w:ascii="Times New Roman" w:hAnsi="Times New Roman" w:cs="Times New Roman"/>
        </w:rPr>
        <w:footnoteReference w:id="24"/>
      </w:r>
      <w:r w:rsidRPr="00947D4E">
        <w:rPr>
          <w:rFonts w:ascii="Times New Roman" w:hAnsi="Times New Roman" w:cs="Times New Roman"/>
        </w:rPr>
        <w:t>—many times higher than the roughly $2,500 national average for total fees in chapter</w:t>
      </w:r>
      <w:r w:rsidR="00EF7364">
        <w:rPr>
          <w:rFonts w:ascii="Times New Roman" w:hAnsi="Times New Roman" w:cs="Times New Roman"/>
        </w:rPr>
        <w:t xml:space="preserve"> 13.</w:t>
      </w:r>
      <w:bookmarkStart w:id="9" w:name="_Ref333752685"/>
      <w:r w:rsidRPr="00947D4E">
        <w:rPr>
          <w:rStyle w:val="FootnoteReference"/>
          <w:rFonts w:ascii="Times New Roman" w:hAnsi="Times New Roman" w:cs="Times New Roman"/>
        </w:rPr>
        <w:footnoteReference w:id="25"/>
      </w:r>
      <w:bookmarkEnd w:id="9"/>
      <w:r w:rsidRPr="008C54B5">
        <w:rPr>
          <w:rFonts w:ascii="Times New Roman" w:hAnsi="Times New Roman" w:cs="Times New Roman"/>
        </w:rPr>
        <w:t xml:space="preserve"> </w:t>
      </w:r>
      <w:r w:rsidRPr="00947D4E">
        <w:rPr>
          <w:rFonts w:ascii="Times New Roman" w:hAnsi="Times New Roman" w:cs="Times New Roman"/>
        </w:rPr>
        <w:t xml:space="preserve">While we cannot determine the reason </w:t>
      </w:r>
      <w:r w:rsidR="00EF7364">
        <w:rPr>
          <w:rFonts w:ascii="Times New Roman" w:hAnsi="Times New Roman" w:cs="Times New Roman"/>
        </w:rPr>
        <w:t>why debtors eligible for chapter 13 might nonetheless choose chapter 11</w:t>
      </w:r>
      <w:r w:rsidRPr="00947D4E">
        <w:rPr>
          <w:rFonts w:ascii="Times New Roman" w:hAnsi="Times New Roman" w:cs="Times New Roman"/>
        </w:rPr>
        <w:t>,</w:t>
      </w:r>
      <w:r w:rsidRPr="00D8264A">
        <w:rPr>
          <w:rFonts w:ascii="Times New Roman" w:hAnsi="Times New Roman" w:cs="Times New Roman"/>
        </w:rPr>
        <w:t xml:space="preserve"> the greater relative flexibility of </w:t>
      </w:r>
      <w:r w:rsidR="00EF7364">
        <w:rPr>
          <w:rFonts w:ascii="Times New Roman" w:hAnsi="Times New Roman" w:cs="Times New Roman"/>
        </w:rPr>
        <w:t>the latter over the former</w:t>
      </w:r>
      <w:r w:rsidRPr="00D8264A">
        <w:rPr>
          <w:rFonts w:ascii="Times New Roman" w:hAnsi="Times New Roman" w:cs="Times New Roman"/>
        </w:rPr>
        <w:t xml:space="preserve"> may have played a role</w:t>
      </w:r>
      <w:r w:rsidRPr="0030141A">
        <w:rPr>
          <w:rFonts w:ascii="Times New Roman" w:hAnsi="Times New Roman" w:cs="Times New Roman"/>
        </w:rPr>
        <w:t>.</w:t>
      </w:r>
    </w:p>
    <w:p w14:paraId="4141879F" w14:textId="11E86431" w:rsidR="008C54B5" w:rsidRPr="00947D4E" w:rsidRDefault="008049C6" w:rsidP="008049C6">
      <w:pPr>
        <w:spacing w:line="480" w:lineRule="auto"/>
        <w:ind w:firstLine="720"/>
        <w:rPr>
          <w:rFonts w:ascii="Times New Roman" w:hAnsi="Times New Roman" w:cs="Times New Roman"/>
        </w:rPr>
      </w:pPr>
      <w:r>
        <w:rPr>
          <w:rFonts w:ascii="Times New Roman" w:hAnsi="Times New Roman" w:cs="Times New Roman"/>
        </w:rPr>
        <w:t>Much of the prior empirical literature asks whether bankruptcy’s reorganization chapters successfully serve the interests of debtors and creditors.</w:t>
      </w:r>
      <w:r w:rsidR="00EF7364">
        <w:rPr>
          <w:rFonts w:ascii="Times New Roman" w:hAnsi="Times New Roman" w:cs="Times New Roman"/>
        </w:rPr>
        <w:t xml:space="preserve"> </w:t>
      </w:r>
      <w:r w:rsidR="004C25D0" w:rsidRPr="00947D4E">
        <w:rPr>
          <w:rFonts w:ascii="Times New Roman" w:hAnsi="Times New Roman" w:cs="Times New Roman"/>
        </w:rPr>
        <w:t>The most common definition of success focuses on the goals of the debtor and asks whether individuals receive a discharge</w:t>
      </w:r>
      <w:r w:rsidR="00D8264A">
        <w:rPr>
          <w:rFonts w:ascii="Times New Roman" w:hAnsi="Times New Roman" w:cs="Times New Roman"/>
        </w:rPr>
        <w:t>.</w:t>
      </w:r>
      <w:r w:rsidR="004C25D0" w:rsidRPr="00947D4E">
        <w:rPr>
          <w:rStyle w:val="FootnoteReference"/>
          <w:rFonts w:ascii="Times New Roman" w:hAnsi="Times New Roman" w:cs="Times New Roman"/>
        </w:rPr>
        <w:footnoteReference w:id="26"/>
      </w:r>
      <w:r w:rsidR="004C25D0" w:rsidRPr="00947D4E">
        <w:rPr>
          <w:rFonts w:ascii="Times New Roman" w:hAnsi="Times New Roman" w:cs="Times New Roman"/>
        </w:rPr>
        <w:t xml:space="preserve"> </w:t>
      </w:r>
      <w:r w:rsidR="00B655C0">
        <w:rPr>
          <w:rFonts w:ascii="Times New Roman" w:hAnsi="Times New Roman" w:cs="Times New Roman"/>
        </w:rPr>
        <w:t>That</w:t>
      </w:r>
      <w:r w:rsidR="004C25D0" w:rsidRPr="00D8264A">
        <w:rPr>
          <w:rFonts w:ascii="Times New Roman" w:hAnsi="Times New Roman" w:cs="Times New Roman"/>
        </w:rPr>
        <w:t xml:space="preserve"> definition is </w:t>
      </w:r>
      <w:r w:rsidR="00995E76" w:rsidRPr="00D8264A">
        <w:rPr>
          <w:rFonts w:ascii="Times New Roman" w:hAnsi="Times New Roman" w:cs="Times New Roman"/>
        </w:rPr>
        <w:t xml:space="preserve">not </w:t>
      </w:r>
      <w:r w:rsidR="004C25D0" w:rsidRPr="00D8264A">
        <w:rPr>
          <w:rFonts w:ascii="Times New Roman" w:hAnsi="Times New Roman" w:cs="Times New Roman"/>
        </w:rPr>
        <w:t xml:space="preserve">appropriate for our undertaking </w:t>
      </w:r>
      <w:r w:rsidR="003B4F3F" w:rsidRPr="00D8264A">
        <w:rPr>
          <w:rFonts w:ascii="Times New Roman" w:hAnsi="Times New Roman" w:cs="Times New Roman"/>
        </w:rPr>
        <w:t xml:space="preserve">given that </w:t>
      </w:r>
      <w:r w:rsidR="00C42409" w:rsidRPr="0030141A">
        <w:rPr>
          <w:rFonts w:ascii="Times New Roman" w:hAnsi="Times New Roman" w:cs="Times New Roman"/>
        </w:rPr>
        <w:t>individuals</w:t>
      </w:r>
      <w:r w:rsidR="004C25D0" w:rsidRPr="0030141A">
        <w:rPr>
          <w:rFonts w:ascii="Times New Roman" w:hAnsi="Times New Roman" w:cs="Times New Roman"/>
        </w:rPr>
        <w:t>, unlike corporations, do not receive their discharge until their plan is completed,</w:t>
      </w:r>
      <w:r w:rsidR="004C25D0" w:rsidRPr="00947D4E">
        <w:rPr>
          <w:rStyle w:val="FootnoteReference"/>
          <w:rFonts w:ascii="Times New Roman" w:hAnsi="Times New Roman" w:cs="Times New Roman"/>
        </w:rPr>
        <w:footnoteReference w:id="27"/>
      </w:r>
      <w:r w:rsidR="004C25D0" w:rsidRPr="00947D4E">
        <w:rPr>
          <w:rFonts w:ascii="Times New Roman" w:hAnsi="Times New Roman" w:cs="Times New Roman"/>
        </w:rPr>
        <w:t xml:space="preserve"> and few </w:t>
      </w:r>
      <w:r w:rsidR="00C42409" w:rsidRPr="00947D4E">
        <w:rPr>
          <w:rFonts w:ascii="Times New Roman" w:hAnsi="Times New Roman" w:cs="Times New Roman"/>
        </w:rPr>
        <w:t xml:space="preserve">individual </w:t>
      </w:r>
      <w:r w:rsidR="004C25D0" w:rsidRPr="00947D4E">
        <w:rPr>
          <w:rFonts w:ascii="Times New Roman" w:hAnsi="Times New Roman" w:cs="Times New Roman"/>
        </w:rPr>
        <w:t xml:space="preserve">debtors will complete their plans </w:t>
      </w:r>
      <w:r w:rsidR="001F0716" w:rsidRPr="00D8264A">
        <w:rPr>
          <w:rFonts w:ascii="Times New Roman" w:hAnsi="Times New Roman" w:cs="Times New Roman"/>
        </w:rPr>
        <w:t xml:space="preserve">during </w:t>
      </w:r>
      <w:r w:rsidR="004C25D0" w:rsidRPr="00D8264A">
        <w:rPr>
          <w:rFonts w:ascii="Times New Roman" w:hAnsi="Times New Roman" w:cs="Times New Roman"/>
        </w:rPr>
        <w:t xml:space="preserve">the </w:t>
      </w:r>
      <w:r w:rsidR="00241D15" w:rsidRPr="00D8264A">
        <w:rPr>
          <w:rFonts w:ascii="Times New Roman" w:hAnsi="Times New Roman" w:cs="Times New Roman"/>
        </w:rPr>
        <w:t>three</w:t>
      </w:r>
      <w:r w:rsidR="00877A8F" w:rsidRPr="00D8264A">
        <w:rPr>
          <w:rFonts w:ascii="Times New Roman" w:hAnsi="Times New Roman" w:cs="Times New Roman"/>
        </w:rPr>
        <w:t>-</w:t>
      </w:r>
      <w:r w:rsidR="00241D15" w:rsidRPr="00D8264A">
        <w:rPr>
          <w:rFonts w:ascii="Times New Roman" w:hAnsi="Times New Roman" w:cs="Times New Roman"/>
        </w:rPr>
        <w:t>to</w:t>
      </w:r>
      <w:r w:rsidR="00877A8F" w:rsidRPr="00D8264A">
        <w:rPr>
          <w:rFonts w:ascii="Times New Roman" w:hAnsi="Times New Roman" w:cs="Times New Roman"/>
        </w:rPr>
        <w:t>-</w:t>
      </w:r>
      <w:r w:rsidR="00241D15" w:rsidRPr="0030141A">
        <w:rPr>
          <w:rFonts w:ascii="Times New Roman" w:hAnsi="Times New Roman" w:cs="Times New Roman"/>
        </w:rPr>
        <w:t>six</w:t>
      </w:r>
      <w:r w:rsidR="00877A8F" w:rsidRPr="0030141A">
        <w:rPr>
          <w:rFonts w:ascii="Times New Roman" w:hAnsi="Times New Roman" w:cs="Times New Roman"/>
        </w:rPr>
        <w:t>-</w:t>
      </w:r>
      <w:r w:rsidR="004C25D0" w:rsidRPr="0030141A">
        <w:rPr>
          <w:rFonts w:ascii="Times New Roman" w:hAnsi="Times New Roman" w:cs="Times New Roman"/>
        </w:rPr>
        <w:t>year window in which we observed the cases.</w:t>
      </w:r>
      <w:r w:rsidR="004C25D0" w:rsidRPr="00947D4E">
        <w:rPr>
          <w:rStyle w:val="FootnoteReference"/>
          <w:rFonts w:ascii="Times New Roman" w:hAnsi="Times New Roman" w:cs="Times New Roman"/>
        </w:rPr>
        <w:footnoteReference w:id="28"/>
      </w:r>
      <w:r w:rsidR="004C25D0" w:rsidRPr="00947D4E">
        <w:rPr>
          <w:rFonts w:ascii="Times New Roman" w:hAnsi="Times New Roman" w:cs="Times New Roman"/>
        </w:rPr>
        <w:t xml:space="preserve"> </w:t>
      </w:r>
      <w:r w:rsidR="00F67D2D" w:rsidRPr="00947D4E">
        <w:rPr>
          <w:rFonts w:ascii="Times New Roman" w:hAnsi="Times New Roman" w:cs="Times New Roman"/>
        </w:rPr>
        <w:t>Instead, we start</w:t>
      </w:r>
      <w:r w:rsidR="00B655C0">
        <w:rPr>
          <w:rFonts w:ascii="Times New Roman" w:hAnsi="Times New Roman" w:cs="Times New Roman"/>
        </w:rPr>
        <w:t>ed</w:t>
      </w:r>
      <w:r w:rsidR="00F67D2D" w:rsidRPr="00947D4E">
        <w:rPr>
          <w:rFonts w:ascii="Times New Roman" w:hAnsi="Times New Roman" w:cs="Times New Roman"/>
        </w:rPr>
        <w:t xml:space="preserve"> </w:t>
      </w:r>
      <w:r w:rsidR="00995E76" w:rsidRPr="00947D4E">
        <w:rPr>
          <w:rFonts w:ascii="Times New Roman" w:hAnsi="Times New Roman" w:cs="Times New Roman"/>
        </w:rPr>
        <w:t xml:space="preserve">the </w:t>
      </w:r>
      <w:r w:rsidR="00F67D2D" w:rsidRPr="00D8264A">
        <w:rPr>
          <w:rFonts w:ascii="Times New Roman" w:hAnsi="Times New Roman" w:cs="Times New Roman"/>
        </w:rPr>
        <w:t>analysis with</w:t>
      </w:r>
      <w:r w:rsidR="004C25D0" w:rsidRPr="00D8264A">
        <w:rPr>
          <w:rFonts w:ascii="Times New Roman" w:hAnsi="Times New Roman" w:cs="Times New Roman"/>
        </w:rPr>
        <w:t xml:space="preserve"> a broad definition of success</w:t>
      </w:r>
      <w:r w:rsidR="00F67D2D" w:rsidRPr="00D8264A">
        <w:rPr>
          <w:rFonts w:ascii="Times New Roman" w:hAnsi="Times New Roman" w:cs="Times New Roman"/>
        </w:rPr>
        <w:t xml:space="preserve"> </w:t>
      </w:r>
      <w:r w:rsidR="004C25D0" w:rsidRPr="0030141A">
        <w:rPr>
          <w:rFonts w:ascii="Times New Roman" w:hAnsi="Times New Roman" w:cs="Times New Roman"/>
        </w:rPr>
        <w:t>t</w:t>
      </w:r>
      <w:r w:rsidR="00F67D2D" w:rsidRPr="0030141A">
        <w:rPr>
          <w:rFonts w:ascii="Times New Roman" w:hAnsi="Times New Roman" w:cs="Times New Roman"/>
        </w:rPr>
        <w:t>hat</w:t>
      </w:r>
      <w:r w:rsidR="004C25D0" w:rsidRPr="0030141A">
        <w:rPr>
          <w:rFonts w:ascii="Times New Roman" w:hAnsi="Times New Roman" w:cs="Times New Roman"/>
        </w:rPr>
        <w:t xml:space="preserve"> include</w:t>
      </w:r>
      <w:r w:rsidR="00B655C0">
        <w:rPr>
          <w:rFonts w:ascii="Times New Roman" w:hAnsi="Times New Roman" w:cs="Times New Roman"/>
        </w:rPr>
        <w:t>d</w:t>
      </w:r>
      <w:r w:rsidR="004C25D0" w:rsidRPr="00947D4E">
        <w:rPr>
          <w:rFonts w:ascii="Times New Roman" w:hAnsi="Times New Roman" w:cs="Times New Roman"/>
        </w:rPr>
        <w:t xml:space="preserve"> any case in which the debtor receive</w:t>
      </w:r>
      <w:r w:rsidR="00B655C0">
        <w:rPr>
          <w:rFonts w:ascii="Times New Roman" w:hAnsi="Times New Roman" w:cs="Times New Roman"/>
        </w:rPr>
        <w:t xml:space="preserve">d </w:t>
      </w:r>
      <w:r w:rsidR="004C25D0" w:rsidRPr="00947D4E">
        <w:rPr>
          <w:rFonts w:ascii="Times New Roman" w:hAnsi="Times New Roman" w:cs="Times New Roman"/>
        </w:rPr>
        <w:t>a discharge or avoid</w:t>
      </w:r>
      <w:r w:rsidR="00B655C0">
        <w:rPr>
          <w:rFonts w:ascii="Times New Roman" w:hAnsi="Times New Roman" w:cs="Times New Roman"/>
        </w:rPr>
        <w:t>ed</w:t>
      </w:r>
      <w:r w:rsidR="004C25D0" w:rsidRPr="00947D4E">
        <w:rPr>
          <w:rFonts w:ascii="Times New Roman" w:hAnsi="Times New Roman" w:cs="Times New Roman"/>
        </w:rPr>
        <w:t xml:space="preserve"> conversion </w:t>
      </w:r>
      <w:r w:rsidR="001157AB">
        <w:rPr>
          <w:rFonts w:ascii="Times New Roman" w:hAnsi="Times New Roman" w:cs="Times New Roman"/>
        </w:rPr>
        <w:t>or</w:t>
      </w:r>
      <w:r w:rsidR="004C25D0" w:rsidRPr="00947D4E">
        <w:rPr>
          <w:rFonts w:ascii="Times New Roman" w:hAnsi="Times New Roman" w:cs="Times New Roman"/>
        </w:rPr>
        <w:t xml:space="preserve"> dismissal for four years. Based on this definition, we f</w:t>
      </w:r>
      <w:r w:rsidR="00B655C0">
        <w:rPr>
          <w:rFonts w:ascii="Times New Roman" w:hAnsi="Times New Roman" w:cs="Times New Roman"/>
        </w:rPr>
        <w:t>ound</w:t>
      </w:r>
      <w:r w:rsidR="004C25D0" w:rsidRPr="00947D4E">
        <w:rPr>
          <w:rFonts w:ascii="Times New Roman" w:hAnsi="Times New Roman" w:cs="Times New Roman"/>
        </w:rPr>
        <w:t xml:space="preserve"> a success rate of roughly one-third or about the same success rate found in the </w:t>
      </w:r>
      <w:r w:rsidR="00AA091B" w:rsidRPr="00947D4E">
        <w:rPr>
          <w:rFonts w:ascii="Times New Roman" w:hAnsi="Times New Roman" w:cs="Times New Roman"/>
        </w:rPr>
        <w:t>chapter</w:t>
      </w:r>
      <w:r w:rsidR="004C25D0" w:rsidRPr="00947D4E">
        <w:rPr>
          <w:rFonts w:ascii="Times New Roman" w:hAnsi="Times New Roman" w:cs="Times New Roman"/>
        </w:rPr>
        <w:t xml:space="preserve"> 13 literature.</w:t>
      </w:r>
      <w:bookmarkStart w:id="10" w:name="_Ref276305975"/>
      <w:r w:rsidR="004C25D0" w:rsidRPr="00947D4E">
        <w:rPr>
          <w:rStyle w:val="FootnoteReference"/>
          <w:rFonts w:ascii="Times New Roman" w:hAnsi="Times New Roman" w:cs="Times New Roman"/>
        </w:rPr>
        <w:footnoteReference w:id="29"/>
      </w:r>
      <w:bookmarkEnd w:id="10"/>
      <w:r w:rsidR="004C25D0" w:rsidRPr="00947D4E">
        <w:rPr>
          <w:rFonts w:ascii="Times New Roman" w:hAnsi="Times New Roman" w:cs="Times New Roman"/>
        </w:rPr>
        <w:t xml:space="preserve"> </w:t>
      </w:r>
      <w:r w:rsidR="000168FD">
        <w:rPr>
          <w:rFonts w:ascii="Times New Roman" w:hAnsi="Times New Roman" w:cs="Times New Roman"/>
        </w:rPr>
        <w:t xml:space="preserve"> </w:t>
      </w:r>
      <w:r w:rsidR="00633B28" w:rsidRPr="0030141A">
        <w:rPr>
          <w:rFonts w:ascii="Times New Roman" w:hAnsi="Times New Roman" w:cs="Times New Roman"/>
        </w:rPr>
        <w:t>If we define success more narrowly as plan confirmation,</w:t>
      </w:r>
      <w:r w:rsidR="00995E76" w:rsidRPr="0030141A">
        <w:rPr>
          <w:rFonts w:ascii="Times New Roman" w:hAnsi="Times New Roman" w:cs="Times New Roman"/>
        </w:rPr>
        <w:t xml:space="preserve"> however,</w:t>
      </w:r>
      <w:r w:rsidR="00633B28" w:rsidRPr="00947D4E">
        <w:rPr>
          <w:rFonts w:ascii="Times New Roman" w:hAnsi="Times New Roman" w:cs="Times New Roman"/>
        </w:rPr>
        <w:t xml:space="preserve"> individual debtors</w:t>
      </w:r>
      <w:r w:rsidR="00F67D2D" w:rsidRPr="00947D4E">
        <w:rPr>
          <w:rFonts w:ascii="Times New Roman" w:hAnsi="Times New Roman" w:cs="Times New Roman"/>
        </w:rPr>
        <w:t xml:space="preserve"> perform less well in chapter 11 than in chapter 13.  Approximately 39% of our debtors confirmed plans,</w:t>
      </w:r>
      <w:r w:rsidR="00F67D2D" w:rsidRPr="00947D4E">
        <w:rPr>
          <w:rStyle w:val="FootnoteReference"/>
          <w:rFonts w:ascii="Times New Roman" w:hAnsi="Times New Roman" w:cs="Times New Roman"/>
        </w:rPr>
        <w:footnoteReference w:id="30"/>
      </w:r>
      <w:r w:rsidR="00995E76" w:rsidRPr="00947D4E">
        <w:rPr>
          <w:rFonts w:ascii="Times New Roman" w:hAnsi="Times New Roman" w:cs="Times New Roman"/>
        </w:rPr>
        <w:t xml:space="preserve"> while</w:t>
      </w:r>
      <w:r w:rsidR="00F67D2D" w:rsidRPr="00947D4E">
        <w:rPr>
          <w:rFonts w:ascii="Times New Roman" w:hAnsi="Times New Roman" w:cs="Times New Roman"/>
        </w:rPr>
        <w:t xml:space="preserve"> recent national data puts chapter 13 confirmation rates at about 70%.</w:t>
      </w:r>
      <w:bookmarkStart w:id="11" w:name="_Ref333733382"/>
      <w:r w:rsidR="00F67D2D" w:rsidRPr="00947D4E">
        <w:rPr>
          <w:rStyle w:val="FootnoteReference"/>
          <w:rFonts w:ascii="Times New Roman" w:hAnsi="Times New Roman" w:cs="Times New Roman"/>
        </w:rPr>
        <w:footnoteReference w:id="31"/>
      </w:r>
      <w:bookmarkEnd w:id="11"/>
      <w:r w:rsidR="00F67D2D" w:rsidRPr="00947D4E">
        <w:rPr>
          <w:rFonts w:ascii="Times New Roman" w:hAnsi="Times New Roman" w:cs="Times New Roman"/>
        </w:rPr>
        <w:t xml:space="preserve"> </w:t>
      </w:r>
      <w:r w:rsidR="00633B28" w:rsidRPr="00947D4E">
        <w:rPr>
          <w:rFonts w:ascii="Times New Roman" w:hAnsi="Times New Roman" w:cs="Times New Roman"/>
        </w:rPr>
        <w:t xml:space="preserve">   </w:t>
      </w:r>
      <w:r>
        <w:rPr>
          <w:rFonts w:ascii="Times New Roman" w:hAnsi="Times New Roman" w:cs="Times New Roman"/>
        </w:rPr>
        <w:t xml:space="preserve">We </w:t>
      </w:r>
      <w:r w:rsidR="00B655C0">
        <w:rPr>
          <w:rFonts w:ascii="Times New Roman" w:hAnsi="Times New Roman" w:cs="Times New Roman"/>
        </w:rPr>
        <w:t xml:space="preserve">found </w:t>
      </w:r>
      <w:r>
        <w:rPr>
          <w:rFonts w:ascii="Times New Roman" w:hAnsi="Times New Roman" w:cs="Times New Roman"/>
        </w:rPr>
        <w:t xml:space="preserve">that </w:t>
      </w:r>
      <w:r w:rsidR="00A6400E">
        <w:rPr>
          <w:rFonts w:ascii="Times New Roman" w:hAnsi="Times New Roman" w:cs="Times New Roman"/>
        </w:rPr>
        <w:t xml:space="preserve">joint filing and ownership of </w:t>
      </w:r>
      <w:r w:rsidR="008C54B5" w:rsidRPr="00947D4E">
        <w:rPr>
          <w:rFonts w:ascii="Times New Roman" w:hAnsi="Times New Roman" w:cs="Times New Roman"/>
        </w:rPr>
        <w:t xml:space="preserve">significant real property </w:t>
      </w:r>
      <w:r w:rsidR="00A6400E">
        <w:rPr>
          <w:rFonts w:ascii="Times New Roman" w:hAnsi="Times New Roman" w:cs="Times New Roman"/>
        </w:rPr>
        <w:t xml:space="preserve">predict </w:t>
      </w:r>
      <w:r w:rsidR="008C54B5" w:rsidRPr="00947D4E">
        <w:rPr>
          <w:rFonts w:ascii="Times New Roman" w:hAnsi="Times New Roman" w:cs="Times New Roman"/>
        </w:rPr>
        <w:t>success</w:t>
      </w:r>
      <w:r w:rsidR="00A6400E">
        <w:rPr>
          <w:rFonts w:ascii="Times New Roman" w:hAnsi="Times New Roman" w:cs="Times New Roman"/>
        </w:rPr>
        <w:t xml:space="preserve"> and that </w:t>
      </w:r>
      <w:r w:rsidR="008C54B5" w:rsidRPr="00947D4E">
        <w:rPr>
          <w:rFonts w:ascii="Times New Roman" w:hAnsi="Times New Roman" w:cs="Times New Roman"/>
        </w:rPr>
        <w:t>no-asset cases, pro se cases, and cases handled by attorneys with little chapter 11 experience are more likely to fail.</w:t>
      </w:r>
      <w:r w:rsidR="00C46892">
        <w:rPr>
          <w:rStyle w:val="FootnoteReference"/>
          <w:rFonts w:ascii="Times New Roman" w:hAnsi="Times New Roman" w:cs="Times New Roman"/>
        </w:rPr>
        <w:footnoteReference w:id="32"/>
      </w:r>
      <w:r w:rsidR="008C54B5" w:rsidRPr="00947D4E">
        <w:rPr>
          <w:rFonts w:ascii="Times New Roman" w:hAnsi="Times New Roman" w:cs="Times New Roman"/>
        </w:rPr>
        <w:t xml:space="preserve"> We</w:t>
      </w:r>
      <w:r>
        <w:rPr>
          <w:rFonts w:ascii="Times New Roman" w:hAnsi="Times New Roman" w:cs="Times New Roman"/>
        </w:rPr>
        <w:t xml:space="preserve"> also found evidence suggest</w:t>
      </w:r>
      <w:r w:rsidR="00B655C0">
        <w:rPr>
          <w:rFonts w:ascii="Times New Roman" w:hAnsi="Times New Roman" w:cs="Times New Roman"/>
        </w:rPr>
        <w:t>ing</w:t>
      </w:r>
      <w:r>
        <w:rPr>
          <w:rFonts w:ascii="Times New Roman" w:hAnsi="Times New Roman" w:cs="Times New Roman"/>
        </w:rPr>
        <w:t xml:space="preserve"> that </w:t>
      </w:r>
      <w:r w:rsidR="008C54B5" w:rsidRPr="00947D4E">
        <w:rPr>
          <w:rFonts w:ascii="Times New Roman" w:hAnsi="Times New Roman" w:cs="Times New Roman"/>
        </w:rPr>
        <w:t>the absolute priority rule, which does not exist in chapter 13, affects success rates.  Chapter 11 cases filed in jurisdictions with debtor-friendly interpretations of the exception to the absolute priority rule were more likely to succeed than cases in jurisdictions with less debtor-friendly absolute priority rule decisions.</w:t>
      </w:r>
      <w:r w:rsidR="00C46892">
        <w:rPr>
          <w:rStyle w:val="FootnoteReference"/>
          <w:rFonts w:ascii="Times New Roman" w:hAnsi="Times New Roman" w:cs="Times New Roman"/>
        </w:rPr>
        <w:footnoteReference w:id="33"/>
      </w:r>
      <w:r w:rsidR="008C54B5" w:rsidRPr="00947D4E">
        <w:rPr>
          <w:rFonts w:ascii="Times New Roman" w:hAnsi="Times New Roman" w:cs="Times New Roman"/>
        </w:rPr>
        <w:t xml:space="preserve"> </w:t>
      </w:r>
    </w:p>
    <w:p w14:paraId="542C3E60" w14:textId="649834B9" w:rsidR="004C25D0" w:rsidRPr="00947D4E" w:rsidRDefault="00DA483C" w:rsidP="004C25D0">
      <w:pPr>
        <w:spacing w:line="480" w:lineRule="auto"/>
        <w:ind w:firstLine="720"/>
        <w:rPr>
          <w:rFonts w:ascii="Times New Roman" w:hAnsi="Times New Roman" w:cs="Times New Roman"/>
        </w:rPr>
      </w:pPr>
      <w:r>
        <w:rPr>
          <w:rFonts w:ascii="Times New Roman" w:hAnsi="Times New Roman" w:cs="Times New Roman"/>
        </w:rPr>
        <w:t xml:space="preserve">Using </w:t>
      </w:r>
      <w:r w:rsidR="004C25D0" w:rsidRPr="00D8264A">
        <w:rPr>
          <w:rFonts w:ascii="Times New Roman" w:hAnsi="Times New Roman" w:cs="Times New Roman"/>
        </w:rPr>
        <w:t xml:space="preserve">discharge or confirmation </w:t>
      </w:r>
      <w:r w:rsidR="00BA6DF9" w:rsidRPr="00D8264A">
        <w:rPr>
          <w:rFonts w:ascii="Times New Roman" w:hAnsi="Times New Roman" w:cs="Times New Roman"/>
        </w:rPr>
        <w:t>as measures of success</w:t>
      </w:r>
      <w:r w:rsidR="001157AB">
        <w:rPr>
          <w:rFonts w:ascii="Times New Roman" w:hAnsi="Times New Roman" w:cs="Times New Roman"/>
        </w:rPr>
        <w:t>, however,</w:t>
      </w:r>
      <w:r w:rsidR="00BA6DF9" w:rsidRPr="00D8264A">
        <w:rPr>
          <w:rFonts w:ascii="Times New Roman" w:hAnsi="Times New Roman" w:cs="Times New Roman"/>
        </w:rPr>
        <w:t xml:space="preserve"> fail</w:t>
      </w:r>
      <w:r w:rsidR="005B5C4F">
        <w:rPr>
          <w:rFonts w:ascii="Times New Roman" w:hAnsi="Times New Roman" w:cs="Times New Roman"/>
        </w:rPr>
        <w:t>s</w:t>
      </w:r>
      <w:r w:rsidR="00BA6DF9" w:rsidRPr="00D8264A">
        <w:rPr>
          <w:rFonts w:ascii="Times New Roman" w:hAnsi="Times New Roman" w:cs="Times New Roman"/>
        </w:rPr>
        <w:t xml:space="preserve"> to take account of system goals.  </w:t>
      </w:r>
      <w:r w:rsidR="00BA6DF9" w:rsidRPr="00947D4E">
        <w:rPr>
          <w:rFonts w:ascii="Times New Roman" w:hAnsi="Times New Roman" w:cs="Times New Roman"/>
        </w:rPr>
        <w:t>M</w:t>
      </w:r>
      <w:r w:rsidR="004C25D0" w:rsidRPr="00947D4E">
        <w:rPr>
          <w:rFonts w:ascii="Times New Roman" w:hAnsi="Times New Roman" w:cs="Times New Roman"/>
        </w:rPr>
        <w:t xml:space="preserve">any debtors do not belong in a reorganization chapter; </w:t>
      </w:r>
      <w:r w:rsidR="00BA6DF9" w:rsidRPr="00947D4E">
        <w:rPr>
          <w:rFonts w:ascii="Times New Roman" w:hAnsi="Times New Roman" w:cs="Times New Roman"/>
        </w:rPr>
        <w:t xml:space="preserve">in </w:t>
      </w:r>
      <w:r w:rsidR="004C25D0" w:rsidRPr="00947D4E">
        <w:rPr>
          <w:rFonts w:ascii="Times New Roman" w:hAnsi="Times New Roman" w:cs="Times New Roman"/>
        </w:rPr>
        <w:t>an efficient system</w:t>
      </w:r>
      <w:r w:rsidR="00BA6DF9" w:rsidRPr="00947D4E">
        <w:rPr>
          <w:rFonts w:ascii="Times New Roman" w:hAnsi="Times New Roman" w:cs="Times New Roman"/>
        </w:rPr>
        <w:t>, bankruptcy courts</w:t>
      </w:r>
      <w:r w:rsidR="004C25D0" w:rsidRPr="00947D4E">
        <w:rPr>
          <w:rFonts w:ascii="Times New Roman" w:hAnsi="Times New Roman" w:cs="Times New Roman"/>
        </w:rPr>
        <w:t xml:space="preserve"> </w:t>
      </w:r>
      <w:r w:rsidR="00BA6DF9" w:rsidRPr="00947D4E">
        <w:rPr>
          <w:rFonts w:ascii="Times New Roman" w:hAnsi="Times New Roman" w:cs="Times New Roman"/>
        </w:rPr>
        <w:t>sh</w:t>
      </w:r>
      <w:r w:rsidR="004C25D0" w:rsidRPr="00947D4E">
        <w:rPr>
          <w:rFonts w:ascii="Times New Roman" w:hAnsi="Times New Roman" w:cs="Times New Roman"/>
        </w:rPr>
        <w:t>ould quickly dismiss or convert the</w:t>
      </w:r>
      <w:r w:rsidR="00BA6DF9" w:rsidRPr="00947D4E">
        <w:rPr>
          <w:rFonts w:ascii="Times New Roman" w:hAnsi="Times New Roman" w:cs="Times New Roman"/>
        </w:rPr>
        <w:t>se cases.</w:t>
      </w:r>
      <w:r w:rsidR="004C25D0" w:rsidRPr="00947D4E">
        <w:rPr>
          <w:rStyle w:val="FootnoteReference"/>
          <w:rFonts w:ascii="Times New Roman" w:hAnsi="Times New Roman" w:cs="Times New Roman"/>
        </w:rPr>
        <w:footnoteReference w:id="34"/>
      </w:r>
      <w:r w:rsidR="004C25D0" w:rsidRPr="00947D4E">
        <w:rPr>
          <w:rFonts w:ascii="Times New Roman" w:hAnsi="Times New Roman" w:cs="Times New Roman"/>
        </w:rPr>
        <w:t xml:space="preserve"> If we </w:t>
      </w:r>
      <w:r w:rsidR="00BA6DF9" w:rsidRPr="00947D4E">
        <w:rPr>
          <w:rFonts w:ascii="Times New Roman" w:hAnsi="Times New Roman" w:cs="Times New Roman"/>
        </w:rPr>
        <w:t xml:space="preserve">measure success, as scholars have done in </w:t>
      </w:r>
      <w:r w:rsidR="004C25D0" w:rsidRPr="00D8264A">
        <w:rPr>
          <w:rFonts w:ascii="Times New Roman" w:hAnsi="Times New Roman" w:cs="Times New Roman"/>
        </w:rPr>
        <w:t>prior studies</w:t>
      </w:r>
      <w:r w:rsidR="00BA6DF9" w:rsidRPr="00D8264A">
        <w:rPr>
          <w:rFonts w:ascii="Times New Roman" w:hAnsi="Times New Roman" w:cs="Times New Roman"/>
        </w:rPr>
        <w:t>,</w:t>
      </w:r>
      <w:r w:rsidR="004C25D0" w:rsidRPr="00D8264A">
        <w:rPr>
          <w:rFonts w:ascii="Times New Roman" w:hAnsi="Times New Roman" w:cs="Times New Roman"/>
        </w:rPr>
        <w:t xml:space="preserve"> by </w:t>
      </w:r>
      <w:r w:rsidR="004C25D0" w:rsidRPr="0030141A">
        <w:rPr>
          <w:rFonts w:ascii="Times New Roman" w:hAnsi="Times New Roman" w:cs="Times New Roman"/>
        </w:rPr>
        <w:t xml:space="preserve">how long it takes bankruptcy courts to dispose of the “failed” </w:t>
      </w:r>
      <w:r w:rsidR="004C25D0" w:rsidRPr="00947D4E">
        <w:rPr>
          <w:rFonts w:ascii="Times New Roman" w:hAnsi="Times New Roman" w:cs="Times New Roman"/>
        </w:rPr>
        <w:t>reorganizations,</w:t>
      </w:r>
      <w:r w:rsidR="004C25D0" w:rsidRPr="00947D4E">
        <w:rPr>
          <w:rStyle w:val="FootnoteReference"/>
          <w:rFonts w:ascii="Times New Roman" w:hAnsi="Times New Roman" w:cs="Times New Roman"/>
        </w:rPr>
        <w:footnoteReference w:id="35"/>
      </w:r>
      <w:r w:rsidR="004C25D0" w:rsidRPr="00947D4E">
        <w:rPr>
          <w:rFonts w:ascii="Times New Roman" w:hAnsi="Times New Roman" w:cs="Times New Roman"/>
        </w:rPr>
        <w:t xml:space="preserve"> the</w:t>
      </w:r>
      <w:r w:rsidR="00BA6DF9" w:rsidRPr="00947D4E">
        <w:rPr>
          <w:rFonts w:ascii="Times New Roman" w:hAnsi="Times New Roman" w:cs="Times New Roman"/>
        </w:rPr>
        <w:t>n</w:t>
      </w:r>
      <w:r w:rsidR="004C25D0" w:rsidRPr="00947D4E">
        <w:rPr>
          <w:rFonts w:ascii="Times New Roman" w:hAnsi="Times New Roman" w:cs="Times New Roman"/>
        </w:rPr>
        <w:t xml:space="preserve"> individual </w:t>
      </w:r>
      <w:r w:rsidR="00AA091B" w:rsidRPr="00D8264A">
        <w:rPr>
          <w:rFonts w:ascii="Times New Roman" w:hAnsi="Times New Roman" w:cs="Times New Roman"/>
        </w:rPr>
        <w:t>chapter</w:t>
      </w:r>
      <w:r w:rsidR="004C25D0" w:rsidRPr="00D8264A">
        <w:rPr>
          <w:rFonts w:ascii="Times New Roman" w:hAnsi="Times New Roman" w:cs="Times New Roman"/>
        </w:rPr>
        <w:t xml:space="preserve"> 11</w:t>
      </w:r>
      <w:r w:rsidR="002416AA" w:rsidRPr="00D8264A">
        <w:rPr>
          <w:rFonts w:ascii="Times New Roman" w:hAnsi="Times New Roman" w:cs="Times New Roman"/>
        </w:rPr>
        <w:t xml:space="preserve"> cases fare </w:t>
      </w:r>
      <w:r w:rsidR="00DF7E24" w:rsidRPr="00D8264A">
        <w:rPr>
          <w:rFonts w:ascii="Times New Roman" w:hAnsi="Times New Roman" w:cs="Times New Roman"/>
        </w:rPr>
        <w:t>worse</w:t>
      </w:r>
      <w:r w:rsidR="002F573D" w:rsidRPr="00D8264A">
        <w:rPr>
          <w:rFonts w:ascii="Times New Roman" w:hAnsi="Times New Roman" w:cs="Times New Roman"/>
        </w:rPr>
        <w:t xml:space="preserve"> than chapter 13</w:t>
      </w:r>
      <w:r w:rsidR="001F0716" w:rsidRPr="00D8264A">
        <w:rPr>
          <w:rFonts w:ascii="Times New Roman" w:hAnsi="Times New Roman" w:cs="Times New Roman"/>
        </w:rPr>
        <w:t xml:space="preserve"> case</w:t>
      </w:r>
      <w:r w:rsidR="002F573D" w:rsidRPr="0030141A">
        <w:rPr>
          <w:rFonts w:ascii="Times New Roman" w:hAnsi="Times New Roman" w:cs="Times New Roman"/>
        </w:rPr>
        <w:t>s</w:t>
      </w:r>
      <w:r w:rsidR="00DF7E24" w:rsidRPr="0030141A">
        <w:rPr>
          <w:rFonts w:ascii="Times New Roman" w:hAnsi="Times New Roman" w:cs="Times New Roman"/>
        </w:rPr>
        <w:t xml:space="preserve">. More specifically, we </w:t>
      </w:r>
      <w:r w:rsidR="00B655C0">
        <w:rPr>
          <w:rFonts w:ascii="Times New Roman" w:hAnsi="Times New Roman" w:cs="Times New Roman"/>
        </w:rPr>
        <w:t xml:space="preserve">found </w:t>
      </w:r>
      <w:r w:rsidR="004C25D0" w:rsidRPr="0030141A">
        <w:rPr>
          <w:rFonts w:ascii="Times New Roman" w:hAnsi="Times New Roman" w:cs="Times New Roman"/>
        </w:rPr>
        <w:t xml:space="preserve">that </w:t>
      </w:r>
      <w:r w:rsidR="002F573D" w:rsidRPr="0030141A">
        <w:rPr>
          <w:rFonts w:ascii="Times New Roman" w:hAnsi="Times New Roman" w:cs="Times New Roman"/>
        </w:rPr>
        <w:t xml:space="preserve">courts </w:t>
      </w:r>
      <w:r w:rsidR="00C42409" w:rsidRPr="00947D4E">
        <w:rPr>
          <w:rFonts w:ascii="Times New Roman" w:hAnsi="Times New Roman" w:cs="Times New Roman"/>
        </w:rPr>
        <w:t xml:space="preserve">take </w:t>
      </w:r>
      <w:r w:rsidR="001539AF" w:rsidRPr="00947D4E">
        <w:rPr>
          <w:rFonts w:ascii="Times New Roman" w:hAnsi="Times New Roman" w:cs="Times New Roman"/>
        </w:rPr>
        <w:t>longer to dis</w:t>
      </w:r>
      <w:r w:rsidR="00336C1E" w:rsidRPr="00947D4E">
        <w:rPr>
          <w:rFonts w:ascii="Times New Roman" w:hAnsi="Times New Roman" w:cs="Times New Roman"/>
        </w:rPr>
        <w:t xml:space="preserve">pose of </w:t>
      </w:r>
      <w:r w:rsidR="001539AF" w:rsidRPr="00947D4E">
        <w:rPr>
          <w:rFonts w:ascii="Times New Roman" w:hAnsi="Times New Roman" w:cs="Times New Roman"/>
        </w:rPr>
        <w:t xml:space="preserve">the “obvious” individual </w:t>
      </w:r>
      <w:r w:rsidR="00AA091B" w:rsidRPr="00947D4E">
        <w:rPr>
          <w:rFonts w:ascii="Times New Roman" w:hAnsi="Times New Roman" w:cs="Times New Roman"/>
        </w:rPr>
        <w:t>chapter</w:t>
      </w:r>
      <w:r w:rsidR="001539AF" w:rsidRPr="00947D4E">
        <w:rPr>
          <w:rFonts w:ascii="Times New Roman" w:hAnsi="Times New Roman" w:cs="Times New Roman"/>
        </w:rPr>
        <w:t xml:space="preserve"> 11 failures </w:t>
      </w:r>
      <w:r w:rsidR="00336C1E" w:rsidRPr="00947D4E">
        <w:rPr>
          <w:rFonts w:ascii="Times New Roman" w:hAnsi="Times New Roman" w:cs="Times New Roman"/>
        </w:rPr>
        <w:t>compared with the obvious chapter 13 failures.</w:t>
      </w:r>
      <w:r w:rsidR="00752FA6" w:rsidRPr="00947D4E">
        <w:rPr>
          <w:rStyle w:val="FootnoteReference"/>
          <w:rFonts w:ascii="Times New Roman" w:hAnsi="Times New Roman" w:cs="Times New Roman"/>
        </w:rPr>
        <w:footnoteReference w:id="36"/>
      </w:r>
      <w:r w:rsidR="004C25D0" w:rsidRPr="00947D4E">
        <w:rPr>
          <w:rFonts w:ascii="Times New Roman" w:hAnsi="Times New Roman" w:cs="Times New Roman"/>
        </w:rPr>
        <w:t xml:space="preserve"> </w:t>
      </w:r>
    </w:p>
    <w:p w14:paraId="72D73772" w14:textId="5C7A662C" w:rsidR="0014021C" w:rsidRPr="00947D4E" w:rsidRDefault="0014021C" w:rsidP="00256046">
      <w:pPr>
        <w:spacing w:line="480" w:lineRule="auto"/>
        <w:ind w:firstLine="720"/>
        <w:rPr>
          <w:rFonts w:ascii="Times New Roman" w:hAnsi="Times New Roman" w:cs="Times New Roman"/>
        </w:rPr>
      </w:pPr>
      <w:r w:rsidRPr="00947D4E">
        <w:rPr>
          <w:rFonts w:ascii="Times New Roman" w:hAnsi="Times New Roman" w:cs="Times New Roman"/>
        </w:rPr>
        <w:t xml:space="preserve">Our </w:t>
      </w:r>
      <w:r w:rsidRPr="00D8264A">
        <w:rPr>
          <w:rFonts w:ascii="Times New Roman" w:hAnsi="Times New Roman" w:cs="Times New Roman"/>
        </w:rPr>
        <w:t xml:space="preserve">findings provide answers to many </w:t>
      </w:r>
      <w:r w:rsidRPr="0030141A">
        <w:rPr>
          <w:rFonts w:ascii="Times New Roman" w:hAnsi="Times New Roman" w:cs="Times New Roman"/>
        </w:rPr>
        <w:t>questions about the characteristics and performance of individuals in chapter 11.  Like any good empirical study,</w:t>
      </w:r>
      <w:r w:rsidR="001F0716" w:rsidRPr="00947D4E">
        <w:rPr>
          <w:rFonts w:ascii="Times New Roman" w:hAnsi="Times New Roman" w:cs="Times New Roman"/>
        </w:rPr>
        <w:t xml:space="preserve"> however, </w:t>
      </w:r>
      <w:r w:rsidRPr="00947D4E">
        <w:rPr>
          <w:rFonts w:ascii="Times New Roman" w:hAnsi="Times New Roman" w:cs="Times New Roman"/>
        </w:rPr>
        <w:t xml:space="preserve">questions </w:t>
      </w:r>
      <w:r w:rsidR="001F0716" w:rsidRPr="00947D4E">
        <w:rPr>
          <w:rFonts w:ascii="Times New Roman" w:hAnsi="Times New Roman" w:cs="Times New Roman"/>
        </w:rPr>
        <w:t xml:space="preserve">for further study </w:t>
      </w:r>
      <w:r w:rsidRPr="00947D4E">
        <w:rPr>
          <w:rFonts w:ascii="Times New Roman" w:hAnsi="Times New Roman" w:cs="Times New Roman"/>
        </w:rPr>
        <w:t xml:space="preserve">remain.  Nonetheless, </w:t>
      </w:r>
      <w:r w:rsidR="001F0716" w:rsidRPr="00947D4E">
        <w:rPr>
          <w:rFonts w:ascii="Times New Roman" w:hAnsi="Times New Roman" w:cs="Times New Roman"/>
        </w:rPr>
        <w:t>our</w:t>
      </w:r>
      <w:r w:rsidRPr="00947D4E">
        <w:rPr>
          <w:rFonts w:ascii="Times New Roman" w:hAnsi="Times New Roman" w:cs="Times New Roman"/>
        </w:rPr>
        <w:t xml:space="preserve"> findings lay the groundwork for exploring changes to chapter 11 or 13 that may increase the odds of individual success in bankruptcy.  </w:t>
      </w:r>
    </w:p>
    <w:p w14:paraId="4C00D7F6" w14:textId="523181BF" w:rsidR="007F4730" w:rsidRPr="00947D4E" w:rsidRDefault="002D1241" w:rsidP="00256046">
      <w:pPr>
        <w:spacing w:line="480" w:lineRule="auto"/>
        <w:ind w:firstLine="720"/>
        <w:rPr>
          <w:rFonts w:ascii="Times New Roman" w:hAnsi="Times New Roman" w:cs="Times New Roman"/>
        </w:rPr>
      </w:pPr>
      <w:r w:rsidRPr="00947D4E">
        <w:rPr>
          <w:rFonts w:ascii="Times New Roman" w:hAnsi="Times New Roman" w:cs="Times New Roman"/>
        </w:rPr>
        <w:t xml:space="preserve">We </w:t>
      </w:r>
      <w:r w:rsidR="002416AA" w:rsidRPr="00947D4E">
        <w:rPr>
          <w:rFonts w:ascii="Times New Roman" w:hAnsi="Times New Roman" w:cs="Times New Roman"/>
        </w:rPr>
        <w:t xml:space="preserve">begin </w:t>
      </w:r>
      <w:r w:rsidRPr="00947D4E">
        <w:rPr>
          <w:rFonts w:ascii="Times New Roman" w:hAnsi="Times New Roman" w:cs="Times New Roman"/>
        </w:rPr>
        <w:t xml:space="preserve">our analysis in </w:t>
      </w:r>
      <w:r w:rsidR="00537498" w:rsidRPr="00947D4E">
        <w:rPr>
          <w:rFonts w:ascii="Times New Roman" w:hAnsi="Times New Roman" w:cs="Times New Roman"/>
        </w:rPr>
        <w:t xml:space="preserve">Section II </w:t>
      </w:r>
      <w:r w:rsidRPr="00947D4E">
        <w:rPr>
          <w:rFonts w:ascii="Times New Roman" w:hAnsi="Times New Roman" w:cs="Times New Roman"/>
        </w:rPr>
        <w:t>with</w:t>
      </w:r>
      <w:r w:rsidR="00537498" w:rsidRPr="00947D4E">
        <w:rPr>
          <w:rFonts w:ascii="Times New Roman" w:hAnsi="Times New Roman" w:cs="Times New Roman"/>
        </w:rPr>
        <w:t xml:space="preserve"> data </w:t>
      </w:r>
      <w:r w:rsidR="002416AA" w:rsidRPr="00947D4E">
        <w:rPr>
          <w:rFonts w:ascii="Times New Roman" w:hAnsi="Times New Roman" w:cs="Times New Roman"/>
        </w:rPr>
        <w:t xml:space="preserve">derived </w:t>
      </w:r>
      <w:r w:rsidRPr="00947D4E">
        <w:rPr>
          <w:rFonts w:ascii="Times New Roman" w:hAnsi="Times New Roman" w:cs="Times New Roman"/>
        </w:rPr>
        <w:t xml:space="preserve">from </w:t>
      </w:r>
      <w:r w:rsidR="00537498" w:rsidRPr="00947D4E">
        <w:rPr>
          <w:rFonts w:ascii="Times New Roman" w:hAnsi="Times New Roman" w:cs="Times New Roman"/>
        </w:rPr>
        <w:t xml:space="preserve">PACER case reports (“PACER data”) for all bankruptcy cases filed in 2010 </w:t>
      </w:r>
      <w:r w:rsidR="001157AB">
        <w:rPr>
          <w:rFonts w:ascii="Times New Roman" w:hAnsi="Times New Roman" w:cs="Times New Roman"/>
        </w:rPr>
        <w:t>and</w:t>
      </w:r>
      <w:r w:rsidR="00537498" w:rsidRPr="00947D4E">
        <w:rPr>
          <w:rFonts w:ascii="Times New Roman" w:hAnsi="Times New Roman" w:cs="Times New Roman"/>
        </w:rPr>
        <w:t xml:space="preserve"> 2013. </w:t>
      </w:r>
      <w:r w:rsidR="0018467E" w:rsidRPr="00947D4E">
        <w:rPr>
          <w:rFonts w:ascii="Times New Roman" w:hAnsi="Times New Roman" w:cs="Times New Roman"/>
        </w:rPr>
        <w:t>The PACER data provide</w:t>
      </w:r>
      <w:r w:rsidR="001157AB">
        <w:rPr>
          <w:rFonts w:ascii="Times New Roman" w:hAnsi="Times New Roman" w:cs="Times New Roman"/>
        </w:rPr>
        <w:t>s</w:t>
      </w:r>
      <w:r w:rsidR="0018467E" w:rsidRPr="00947D4E">
        <w:rPr>
          <w:rFonts w:ascii="Times New Roman" w:hAnsi="Times New Roman" w:cs="Times New Roman"/>
        </w:rPr>
        <w:t xml:space="preserve"> information about </w:t>
      </w:r>
      <w:r w:rsidR="0014021C" w:rsidRPr="00947D4E">
        <w:rPr>
          <w:rFonts w:ascii="Times New Roman" w:hAnsi="Times New Roman" w:cs="Times New Roman"/>
        </w:rPr>
        <w:t xml:space="preserve">debtor and system characteristics, such as </w:t>
      </w:r>
      <w:r w:rsidR="0018467E" w:rsidRPr="00947D4E">
        <w:rPr>
          <w:rFonts w:ascii="Times New Roman" w:hAnsi="Times New Roman" w:cs="Times New Roman"/>
        </w:rPr>
        <w:t xml:space="preserve">debtor type, the rate of conversions between </w:t>
      </w:r>
      <w:r w:rsidR="0014021C" w:rsidRPr="00947D4E">
        <w:rPr>
          <w:rFonts w:ascii="Times New Roman" w:hAnsi="Times New Roman" w:cs="Times New Roman"/>
        </w:rPr>
        <w:t xml:space="preserve">bankruptcy </w:t>
      </w:r>
      <w:r w:rsidR="0018467E" w:rsidRPr="00947D4E">
        <w:rPr>
          <w:rFonts w:ascii="Times New Roman" w:hAnsi="Times New Roman" w:cs="Times New Roman"/>
        </w:rPr>
        <w:t xml:space="preserve">chapters, </w:t>
      </w:r>
      <w:r w:rsidR="0014021C" w:rsidRPr="00947D4E">
        <w:rPr>
          <w:rFonts w:ascii="Times New Roman" w:hAnsi="Times New Roman" w:cs="Times New Roman"/>
        </w:rPr>
        <w:t xml:space="preserve">and </w:t>
      </w:r>
      <w:r w:rsidR="0018467E" w:rsidRPr="00947D4E">
        <w:rPr>
          <w:rFonts w:ascii="Times New Roman" w:hAnsi="Times New Roman" w:cs="Times New Roman"/>
        </w:rPr>
        <w:t xml:space="preserve">the availability of assets for distribution to general unsecured creditors.  </w:t>
      </w:r>
      <w:r w:rsidR="001157AB">
        <w:rPr>
          <w:rFonts w:ascii="Times New Roman" w:hAnsi="Times New Roman" w:cs="Times New Roman"/>
        </w:rPr>
        <w:t xml:space="preserve">We also provide data about </w:t>
      </w:r>
      <w:r w:rsidR="0018467E" w:rsidRPr="00947D4E">
        <w:rPr>
          <w:rFonts w:ascii="Times New Roman" w:hAnsi="Times New Roman" w:cs="Times New Roman"/>
        </w:rPr>
        <w:t xml:space="preserve">the experience level of attorneys representing individual chapter 11 debtors and </w:t>
      </w:r>
      <w:r w:rsidR="00B655C0">
        <w:rPr>
          <w:rFonts w:ascii="Times New Roman" w:hAnsi="Times New Roman" w:cs="Times New Roman"/>
        </w:rPr>
        <w:t>f</w:t>
      </w:r>
      <w:r w:rsidR="001157AB">
        <w:rPr>
          <w:rFonts w:ascii="Times New Roman" w:hAnsi="Times New Roman" w:cs="Times New Roman"/>
        </w:rPr>
        <w:t>ind</w:t>
      </w:r>
      <w:r w:rsidR="00B655C0">
        <w:rPr>
          <w:rFonts w:ascii="Times New Roman" w:hAnsi="Times New Roman" w:cs="Times New Roman"/>
        </w:rPr>
        <w:t xml:space="preserve"> </w:t>
      </w:r>
      <w:r w:rsidR="0018467E" w:rsidRPr="00947D4E">
        <w:rPr>
          <w:rFonts w:ascii="Times New Roman" w:hAnsi="Times New Roman" w:cs="Times New Roman"/>
        </w:rPr>
        <w:t xml:space="preserve">that few attorneys specialize in individual chapter 11 cases. We wrap up Section II with an examination of involuntary filings and conclude that involuntary individual chapter 11 cases are </w:t>
      </w:r>
      <w:r w:rsidR="0014021C" w:rsidRPr="00947D4E">
        <w:rPr>
          <w:rFonts w:ascii="Times New Roman" w:hAnsi="Times New Roman" w:cs="Times New Roman"/>
        </w:rPr>
        <w:t>exceedingly rare</w:t>
      </w:r>
      <w:r w:rsidR="0018467E" w:rsidRPr="00947D4E">
        <w:rPr>
          <w:rFonts w:ascii="Times New Roman" w:hAnsi="Times New Roman" w:cs="Times New Roman"/>
        </w:rPr>
        <w:t xml:space="preserve">. </w:t>
      </w:r>
    </w:p>
    <w:p w14:paraId="7E87F639" w14:textId="54DA7590" w:rsidR="0018467E" w:rsidRPr="00947D4E" w:rsidRDefault="0018467E" w:rsidP="00256046">
      <w:pPr>
        <w:spacing w:line="480" w:lineRule="auto"/>
        <w:ind w:firstLine="720"/>
        <w:rPr>
          <w:rFonts w:ascii="Times New Roman" w:hAnsi="Times New Roman" w:cs="Times New Roman"/>
        </w:rPr>
      </w:pPr>
      <w:r w:rsidRPr="00947D4E">
        <w:rPr>
          <w:rFonts w:ascii="Times New Roman" w:hAnsi="Times New Roman" w:cs="Times New Roman"/>
        </w:rPr>
        <w:t xml:space="preserve">Section III examines and analyzes the results of </w:t>
      </w:r>
      <w:r w:rsidR="007F4730" w:rsidRPr="00947D4E">
        <w:rPr>
          <w:rFonts w:ascii="Times New Roman" w:hAnsi="Times New Roman" w:cs="Times New Roman"/>
        </w:rPr>
        <w:t xml:space="preserve">our coding of </w:t>
      </w:r>
      <w:r w:rsidR="008F2CB9">
        <w:rPr>
          <w:rFonts w:ascii="Times New Roman" w:hAnsi="Times New Roman" w:cs="Times New Roman"/>
        </w:rPr>
        <w:t xml:space="preserve">a random sample of </w:t>
      </w:r>
      <w:r w:rsidR="007F4730" w:rsidRPr="00947D4E">
        <w:rPr>
          <w:rFonts w:ascii="Times New Roman" w:hAnsi="Times New Roman" w:cs="Times New Roman"/>
        </w:rPr>
        <w:t>the larger PACE</w:t>
      </w:r>
      <w:r w:rsidR="00044F7C" w:rsidRPr="00947D4E">
        <w:rPr>
          <w:rFonts w:ascii="Times New Roman" w:hAnsi="Times New Roman" w:cs="Times New Roman"/>
        </w:rPr>
        <w:t>R case sample (“random sample data”)</w:t>
      </w:r>
      <w:r w:rsidR="007F4730" w:rsidRPr="00947D4E">
        <w:rPr>
          <w:rFonts w:ascii="Times New Roman" w:hAnsi="Times New Roman" w:cs="Times New Roman"/>
        </w:rPr>
        <w:t xml:space="preserve">.    </w:t>
      </w:r>
      <w:r w:rsidR="008F2CB9">
        <w:rPr>
          <w:rFonts w:ascii="Times New Roman" w:hAnsi="Times New Roman" w:cs="Times New Roman"/>
        </w:rPr>
        <w:t>T</w:t>
      </w:r>
      <w:r w:rsidR="0014021C" w:rsidRPr="00947D4E">
        <w:rPr>
          <w:rFonts w:ascii="Times New Roman" w:hAnsi="Times New Roman" w:cs="Times New Roman"/>
        </w:rPr>
        <w:t xml:space="preserve">hese hand-coded cases provide much richer, more detailed data about the individuals who file for relief under chapter 11, including information about business operations, </w:t>
      </w:r>
      <w:r w:rsidRPr="00947D4E">
        <w:rPr>
          <w:rFonts w:ascii="Times New Roman" w:hAnsi="Times New Roman" w:cs="Times New Roman"/>
        </w:rPr>
        <w:t>prior and subsequent bankruptcy filings</w:t>
      </w:r>
      <w:r w:rsidR="0014021C" w:rsidRPr="00947D4E">
        <w:rPr>
          <w:rFonts w:ascii="Times New Roman" w:hAnsi="Times New Roman" w:cs="Times New Roman"/>
        </w:rPr>
        <w:t xml:space="preserve">, </w:t>
      </w:r>
      <w:r w:rsidRPr="00947D4E">
        <w:rPr>
          <w:rFonts w:ascii="Times New Roman" w:hAnsi="Times New Roman" w:cs="Times New Roman"/>
        </w:rPr>
        <w:t xml:space="preserve">income, expenses, assets and liabilities. </w:t>
      </w:r>
    </w:p>
    <w:p w14:paraId="5684F0D7" w14:textId="768B5873" w:rsidR="00DF63D3" w:rsidRPr="00947D4E" w:rsidRDefault="00DF63D3" w:rsidP="00256046">
      <w:pPr>
        <w:spacing w:line="480" w:lineRule="auto"/>
        <w:ind w:firstLine="720"/>
        <w:rPr>
          <w:rFonts w:ascii="Times New Roman" w:hAnsi="Times New Roman" w:cs="Times New Roman"/>
        </w:rPr>
      </w:pPr>
      <w:r w:rsidRPr="00947D4E">
        <w:rPr>
          <w:rFonts w:ascii="Times New Roman" w:hAnsi="Times New Roman" w:cs="Times New Roman"/>
        </w:rPr>
        <w:t>In</w:t>
      </w:r>
      <w:r w:rsidR="001F0716" w:rsidRPr="00947D4E">
        <w:rPr>
          <w:rFonts w:ascii="Times New Roman" w:hAnsi="Times New Roman" w:cs="Times New Roman"/>
        </w:rPr>
        <w:t xml:space="preserve"> </w:t>
      </w:r>
      <w:r w:rsidR="0018467E" w:rsidRPr="00947D4E">
        <w:rPr>
          <w:rFonts w:ascii="Times New Roman" w:hAnsi="Times New Roman" w:cs="Times New Roman"/>
        </w:rPr>
        <w:t>Section IV</w:t>
      </w:r>
      <w:r w:rsidR="00044F7C" w:rsidRPr="00947D4E">
        <w:rPr>
          <w:rFonts w:ascii="Times New Roman" w:hAnsi="Times New Roman" w:cs="Times New Roman"/>
        </w:rPr>
        <w:t>, we</w:t>
      </w:r>
      <w:r w:rsidRPr="00947D4E">
        <w:rPr>
          <w:rFonts w:ascii="Times New Roman" w:hAnsi="Times New Roman" w:cs="Times New Roman"/>
        </w:rPr>
        <w:t xml:space="preserve"> </w:t>
      </w:r>
      <w:r w:rsidR="0014021C" w:rsidRPr="00947D4E">
        <w:rPr>
          <w:rFonts w:ascii="Times New Roman" w:hAnsi="Times New Roman" w:cs="Times New Roman"/>
        </w:rPr>
        <w:t>address</w:t>
      </w:r>
      <w:r w:rsidR="0018467E" w:rsidRPr="00947D4E">
        <w:rPr>
          <w:rFonts w:ascii="Times New Roman" w:hAnsi="Times New Roman" w:cs="Times New Roman"/>
        </w:rPr>
        <w:t xml:space="preserve"> the central question of success, and whether chapter 11 </w:t>
      </w:r>
      <w:r w:rsidR="007F4730" w:rsidRPr="00947D4E">
        <w:rPr>
          <w:rFonts w:ascii="Times New Roman" w:hAnsi="Times New Roman" w:cs="Times New Roman"/>
        </w:rPr>
        <w:t>serves</w:t>
      </w:r>
      <w:r w:rsidR="0018467E" w:rsidRPr="00947D4E">
        <w:rPr>
          <w:rFonts w:ascii="Times New Roman" w:hAnsi="Times New Roman" w:cs="Times New Roman"/>
        </w:rPr>
        <w:t xml:space="preserve"> the needs of </w:t>
      </w:r>
      <w:r w:rsidR="008A1CF7">
        <w:rPr>
          <w:rFonts w:ascii="Times New Roman" w:hAnsi="Times New Roman" w:cs="Times New Roman"/>
        </w:rPr>
        <w:t xml:space="preserve">individual </w:t>
      </w:r>
      <w:r w:rsidR="0018467E" w:rsidRPr="00947D4E">
        <w:rPr>
          <w:rFonts w:ascii="Times New Roman" w:hAnsi="Times New Roman" w:cs="Times New Roman"/>
        </w:rPr>
        <w:t>debtors.</w:t>
      </w:r>
      <w:r w:rsidRPr="00947D4E">
        <w:rPr>
          <w:rFonts w:ascii="Times New Roman" w:hAnsi="Times New Roman" w:cs="Times New Roman"/>
        </w:rPr>
        <w:t xml:space="preserve">  </w:t>
      </w:r>
      <w:r w:rsidR="00824BA0" w:rsidRPr="00947D4E">
        <w:rPr>
          <w:rFonts w:ascii="Times New Roman" w:hAnsi="Times New Roman" w:cs="Times New Roman"/>
        </w:rPr>
        <w:t xml:space="preserve">We use regression analysis to determine which </w:t>
      </w:r>
      <w:r w:rsidR="001F0716" w:rsidRPr="00947D4E">
        <w:rPr>
          <w:rFonts w:ascii="Times New Roman" w:hAnsi="Times New Roman" w:cs="Times New Roman"/>
        </w:rPr>
        <w:t xml:space="preserve">case characteristics </w:t>
      </w:r>
      <w:r w:rsidR="00824BA0" w:rsidRPr="00947D4E">
        <w:rPr>
          <w:rFonts w:ascii="Times New Roman" w:hAnsi="Times New Roman" w:cs="Times New Roman"/>
        </w:rPr>
        <w:t xml:space="preserve">predict success, and also discuss the impact of the absolute priority rule on debtor success.  </w:t>
      </w:r>
      <w:r w:rsidRPr="00947D4E">
        <w:rPr>
          <w:rFonts w:ascii="Times New Roman" w:hAnsi="Times New Roman" w:cs="Times New Roman"/>
        </w:rPr>
        <w:t>The analysis moves through v</w:t>
      </w:r>
      <w:r w:rsidR="004516BE">
        <w:rPr>
          <w:rFonts w:ascii="Times New Roman" w:hAnsi="Times New Roman" w:cs="Times New Roman"/>
        </w:rPr>
        <w:t>arious definitions of success—</w:t>
      </w:r>
      <w:r w:rsidRPr="00947D4E">
        <w:rPr>
          <w:rFonts w:ascii="Times New Roman" w:hAnsi="Times New Roman" w:cs="Times New Roman"/>
        </w:rPr>
        <w:t xml:space="preserve">from a debtor-centric definition focused on survival and discharge to a system-wide definition focused on </w:t>
      </w:r>
      <w:r w:rsidR="00044F7C" w:rsidRPr="00947D4E">
        <w:rPr>
          <w:rFonts w:ascii="Times New Roman" w:hAnsi="Times New Roman" w:cs="Times New Roman"/>
        </w:rPr>
        <w:t xml:space="preserve">the </w:t>
      </w:r>
      <w:r w:rsidRPr="00947D4E">
        <w:rPr>
          <w:rFonts w:ascii="Times New Roman" w:hAnsi="Times New Roman" w:cs="Times New Roman"/>
        </w:rPr>
        <w:t xml:space="preserve">expeditious handling of chapter 11 cases.  </w:t>
      </w:r>
    </w:p>
    <w:p w14:paraId="4123AD30" w14:textId="11D64650" w:rsidR="001333D2" w:rsidRPr="00947D4E" w:rsidRDefault="00335C21" w:rsidP="008A1CF7">
      <w:pPr>
        <w:spacing w:line="480" w:lineRule="auto"/>
        <w:ind w:firstLine="720"/>
        <w:rPr>
          <w:rFonts w:ascii="Times New Roman" w:hAnsi="Times New Roman" w:cs="Times New Roman"/>
        </w:rPr>
      </w:pPr>
      <w:r>
        <w:t>Finally, in Section V, we provide a summary of the study’s key findings. We conclude that the normative case for an individual reorganization chapter, separate from chapter 13, remains unclear.</w:t>
      </w:r>
      <w:r w:rsidR="00DF63D3" w:rsidRPr="00947D4E">
        <w:rPr>
          <w:rFonts w:ascii="Times New Roman" w:hAnsi="Times New Roman" w:cs="Times New Roman"/>
        </w:rPr>
        <w:t xml:space="preserve"> </w:t>
      </w:r>
    </w:p>
    <w:p w14:paraId="6E6659EC" w14:textId="6E66D19A" w:rsidR="000301B6" w:rsidRPr="00537498" w:rsidRDefault="000301B6" w:rsidP="00046716">
      <w:pPr>
        <w:pStyle w:val="BodyText"/>
        <w:spacing w:after="0" w:line="480" w:lineRule="auto"/>
        <w:ind w:firstLine="0"/>
        <w:rPr>
          <w:b/>
        </w:rPr>
      </w:pPr>
      <w:r w:rsidRPr="00537498">
        <w:rPr>
          <w:b/>
        </w:rPr>
        <w:t>II.</w:t>
      </w:r>
      <w:r w:rsidRPr="00537498">
        <w:rPr>
          <w:b/>
        </w:rPr>
        <w:tab/>
        <w:t xml:space="preserve">PACER </w:t>
      </w:r>
      <w:r w:rsidR="00473146" w:rsidRPr="00537498">
        <w:rPr>
          <w:b/>
        </w:rPr>
        <w:t xml:space="preserve">Case </w:t>
      </w:r>
      <w:r w:rsidRPr="00537498">
        <w:rPr>
          <w:b/>
        </w:rPr>
        <w:t>Report Data</w:t>
      </w:r>
    </w:p>
    <w:p w14:paraId="288D3195" w14:textId="5F0C1888" w:rsidR="008356DB" w:rsidRPr="00537498" w:rsidRDefault="00EF4C79" w:rsidP="007C3C08">
      <w:pPr>
        <w:spacing w:line="480" w:lineRule="auto"/>
        <w:ind w:firstLine="720"/>
        <w:rPr>
          <w:rFonts w:ascii="Times New Roman" w:hAnsi="Times New Roman" w:cs="Times New Roman"/>
        </w:rPr>
      </w:pPr>
      <w:r>
        <w:rPr>
          <w:rFonts w:ascii="Times New Roman" w:hAnsi="Times New Roman" w:cs="Times New Roman"/>
        </w:rPr>
        <w:t>We bega</w:t>
      </w:r>
      <w:r w:rsidR="008356DB" w:rsidRPr="00537498">
        <w:rPr>
          <w:rFonts w:ascii="Times New Roman" w:hAnsi="Times New Roman" w:cs="Times New Roman"/>
        </w:rPr>
        <w:t xml:space="preserve">n our empirical analysis with </w:t>
      </w:r>
      <w:r w:rsidR="003914E2" w:rsidRPr="006D3D0A">
        <w:rPr>
          <w:rFonts w:ascii="Times New Roman" w:hAnsi="Times New Roman" w:cs="Times New Roman"/>
        </w:rPr>
        <w:t xml:space="preserve">data derived from PACER case reports (“PACER data”) for all bankruptcy cases filed in 2010 </w:t>
      </w:r>
      <w:r w:rsidR="009A13DA">
        <w:rPr>
          <w:rFonts w:ascii="Times New Roman" w:hAnsi="Times New Roman" w:cs="Times New Roman"/>
        </w:rPr>
        <w:t>and</w:t>
      </w:r>
      <w:r w:rsidR="003914E2" w:rsidRPr="006D3D0A">
        <w:rPr>
          <w:rFonts w:ascii="Times New Roman" w:hAnsi="Times New Roman" w:cs="Times New Roman"/>
        </w:rPr>
        <w:t xml:space="preserve"> 2013.</w:t>
      </w:r>
      <w:r w:rsidR="008356DB" w:rsidRPr="00537498">
        <w:rPr>
          <w:rStyle w:val="FootnoteReference"/>
          <w:rFonts w:ascii="Times New Roman" w:hAnsi="Times New Roman" w:cs="Times New Roman"/>
        </w:rPr>
        <w:footnoteReference w:id="37"/>
      </w:r>
      <w:r w:rsidR="008356DB" w:rsidRPr="00537498">
        <w:rPr>
          <w:rFonts w:ascii="Times New Roman" w:hAnsi="Times New Roman" w:cs="Times New Roman"/>
        </w:rPr>
        <w:t xml:space="preserve"> We collected PACER case reports for all bankruptcy cases filed in 78 of the 94 judicial districts in the United States.</w:t>
      </w:r>
      <w:r w:rsidR="008356DB" w:rsidRPr="00537498">
        <w:rPr>
          <w:rStyle w:val="FootnoteReference"/>
          <w:rFonts w:ascii="Times New Roman" w:hAnsi="Times New Roman" w:cs="Times New Roman"/>
        </w:rPr>
        <w:footnoteReference w:id="38"/>
      </w:r>
      <w:r w:rsidR="008356DB" w:rsidRPr="00537498">
        <w:rPr>
          <w:rFonts w:ascii="Times New Roman" w:hAnsi="Times New Roman" w:cs="Times New Roman"/>
        </w:rPr>
        <w:t xml:space="preserve"> According to the Administrative Office of the U.S. Courts</w:t>
      </w:r>
      <w:r w:rsidR="00083B34">
        <w:rPr>
          <w:rFonts w:ascii="Times New Roman" w:hAnsi="Times New Roman" w:cs="Times New Roman"/>
        </w:rPr>
        <w:t xml:space="preserve"> (the “AO”)</w:t>
      </w:r>
      <w:r w:rsidR="008356DB" w:rsidRPr="00537498">
        <w:rPr>
          <w:rFonts w:ascii="Times New Roman" w:hAnsi="Times New Roman" w:cs="Times New Roman"/>
        </w:rPr>
        <w:t xml:space="preserve">, these jurisdictions accounted for </w:t>
      </w:r>
      <w:r w:rsidR="006A294E">
        <w:rPr>
          <w:rFonts w:ascii="Times New Roman" w:hAnsi="Times New Roman" w:cs="Times New Roman"/>
        </w:rPr>
        <w:t>91%</w:t>
      </w:r>
      <w:r w:rsidR="008356DB" w:rsidRPr="00537498">
        <w:rPr>
          <w:rFonts w:ascii="Times New Roman" w:hAnsi="Times New Roman" w:cs="Times New Roman"/>
        </w:rPr>
        <w:t xml:space="preserve"> of all United States bankruptcy filings</w:t>
      </w:r>
      <w:r w:rsidR="006A294E">
        <w:rPr>
          <w:rFonts w:ascii="Times New Roman" w:hAnsi="Times New Roman" w:cs="Times New Roman"/>
        </w:rPr>
        <w:t xml:space="preserve">, </w:t>
      </w:r>
      <w:r w:rsidR="008356DB" w:rsidRPr="00537498">
        <w:rPr>
          <w:rFonts w:ascii="Times New Roman" w:hAnsi="Times New Roman" w:cs="Times New Roman"/>
        </w:rPr>
        <w:t xml:space="preserve">and </w:t>
      </w:r>
      <w:r w:rsidR="006A294E">
        <w:rPr>
          <w:rFonts w:ascii="Times New Roman" w:hAnsi="Times New Roman" w:cs="Times New Roman"/>
        </w:rPr>
        <w:t xml:space="preserve">approximately 93% of </w:t>
      </w:r>
      <w:r w:rsidR="008356DB" w:rsidRPr="00537498">
        <w:rPr>
          <w:rFonts w:ascii="Times New Roman" w:hAnsi="Times New Roman" w:cs="Times New Roman"/>
        </w:rPr>
        <w:t xml:space="preserve">all </w:t>
      </w:r>
      <w:r w:rsidR="00AA091B">
        <w:rPr>
          <w:rFonts w:ascii="Times New Roman" w:hAnsi="Times New Roman" w:cs="Times New Roman"/>
        </w:rPr>
        <w:t>chapter</w:t>
      </w:r>
      <w:r w:rsidR="008356DB" w:rsidRPr="00537498">
        <w:rPr>
          <w:rFonts w:ascii="Times New Roman" w:hAnsi="Times New Roman" w:cs="Times New Roman"/>
        </w:rPr>
        <w:t xml:space="preserve"> 11 filings in the United States in 2010</w:t>
      </w:r>
      <w:r w:rsidR="006A294E">
        <w:rPr>
          <w:rFonts w:ascii="Times New Roman" w:hAnsi="Times New Roman" w:cs="Times New Roman"/>
        </w:rPr>
        <w:t xml:space="preserve"> and 2013</w:t>
      </w:r>
      <w:r w:rsidR="008356DB" w:rsidRPr="00537498">
        <w:rPr>
          <w:rFonts w:ascii="Times New Roman" w:hAnsi="Times New Roman" w:cs="Times New Roman"/>
        </w:rPr>
        <w:t>.</w:t>
      </w:r>
      <w:r w:rsidR="008356DB" w:rsidRPr="00537498">
        <w:rPr>
          <w:rStyle w:val="FootnoteReference"/>
          <w:rFonts w:ascii="Times New Roman" w:hAnsi="Times New Roman" w:cs="Times New Roman"/>
        </w:rPr>
        <w:footnoteReference w:id="39"/>
      </w:r>
      <w:r w:rsidR="008356DB" w:rsidRPr="00537498">
        <w:rPr>
          <w:rFonts w:ascii="Times New Roman" w:hAnsi="Times New Roman" w:cs="Times New Roman"/>
        </w:rPr>
        <w:t xml:space="preserve"> We are confident that our failure to obtain waivers from the remaining jurisdictions did not materially affect our results.</w:t>
      </w:r>
      <w:r w:rsidR="0098250F" w:rsidRPr="0098250F">
        <w:rPr>
          <w:rStyle w:val="FootnoteReference"/>
          <w:rFonts w:ascii="Times New Roman" w:hAnsi="Times New Roman" w:cs="Times New Roman"/>
        </w:rPr>
        <w:footnoteReference w:id="40"/>
      </w:r>
    </w:p>
    <w:p w14:paraId="598C2527" w14:textId="77777777" w:rsidR="003914E2" w:rsidRDefault="008356DB" w:rsidP="00CF2E15">
      <w:pPr>
        <w:spacing w:line="480" w:lineRule="auto"/>
        <w:ind w:firstLine="720"/>
        <w:rPr>
          <w:rFonts w:ascii="Times New Roman" w:hAnsi="Times New Roman" w:cs="Times New Roman"/>
        </w:rPr>
      </w:pPr>
      <w:r w:rsidRPr="00537498">
        <w:rPr>
          <w:rFonts w:ascii="Times New Roman" w:hAnsi="Times New Roman" w:cs="Times New Roman"/>
        </w:rPr>
        <w:t xml:space="preserve">Deciding on the period to study involved a difficult trade-off. We wanted to choose a set of cases filed sufficiently long ago that the debtors had time to receive plan approval and then make payments for a number of years. Unlike </w:t>
      </w:r>
      <w:r w:rsidR="00AA091B">
        <w:rPr>
          <w:rFonts w:ascii="Times New Roman" w:hAnsi="Times New Roman" w:cs="Times New Roman"/>
        </w:rPr>
        <w:t>chapter</w:t>
      </w:r>
      <w:r w:rsidRPr="00537498">
        <w:rPr>
          <w:rFonts w:ascii="Times New Roman" w:hAnsi="Times New Roman" w:cs="Times New Roman"/>
        </w:rPr>
        <w:t xml:space="preserve"> 13 plans,</w:t>
      </w:r>
      <w:r w:rsidRPr="00537498">
        <w:rPr>
          <w:rStyle w:val="FootnoteReference"/>
          <w:rFonts w:ascii="Times New Roman" w:hAnsi="Times New Roman" w:cs="Times New Roman"/>
        </w:rPr>
        <w:footnoteReference w:id="41"/>
      </w:r>
      <w:r w:rsidRPr="00537498">
        <w:rPr>
          <w:rFonts w:ascii="Times New Roman" w:hAnsi="Times New Roman" w:cs="Times New Roman"/>
        </w:rPr>
        <w:t xml:space="preserve"> however, </w:t>
      </w:r>
      <w:r w:rsidR="00AA091B">
        <w:rPr>
          <w:rFonts w:ascii="Times New Roman" w:hAnsi="Times New Roman" w:cs="Times New Roman"/>
        </w:rPr>
        <w:t>chapter</w:t>
      </w:r>
      <w:r w:rsidRPr="00537498">
        <w:rPr>
          <w:rFonts w:ascii="Times New Roman" w:hAnsi="Times New Roman" w:cs="Times New Roman"/>
        </w:rPr>
        <w:t xml:space="preserve"> 11 plans can, and do, extend well beyond five years.</w:t>
      </w:r>
      <w:r w:rsidR="00FD1BFB">
        <w:rPr>
          <w:rStyle w:val="FootnoteReference"/>
          <w:rFonts w:ascii="Times New Roman" w:hAnsi="Times New Roman" w:cs="Times New Roman"/>
        </w:rPr>
        <w:footnoteReference w:id="42"/>
      </w:r>
      <w:r w:rsidRPr="00537498">
        <w:rPr>
          <w:rFonts w:ascii="Times New Roman" w:hAnsi="Times New Roman" w:cs="Times New Roman"/>
        </w:rPr>
        <w:t xml:space="preserve"> Thus, we expected that few of our debtors would have completed a plan of reorganization unless we examined cases filed far in the past. If we drew a sample of cases filed too long ago, on the other hand, our results would be skewed by the financial crisis and possibly even by </w:t>
      </w:r>
      <w:r w:rsidR="00AD623D">
        <w:rPr>
          <w:rFonts w:ascii="Times New Roman" w:hAnsi="Times New Roman" w:cs="Times New Roman"/>
        </w:rPr>
        <w:t>the amendments to the Bankruptcy Code enacted in 2005</w:t>
      </w:r>
      <w:r w:rsidRPr="00537498">
        <w:rPr>
          <w:rFonts w:ascii="Times New Roman" w:hAnsi="Times New Roman" w:cs="Times New Roman"/>
        </w:rPr>
        <w:t>.</w:t>
      </w:r>
      <w:r w:rsidR="00AD623D">
        <w:rPr>
          <w:rStyle w:val="FootnoteReference"/>
          <w:rFonts w:ascii="Times New Roman" w:hAnsi="Times New Roman" w:cs="Times New Roman"/>
        </w:rPr>
        <w:footnoteReference w:id="43"/>
      </w:r>
      <w:r w:rsidRPr="00537498">
        <w:rPr>
          <w:rFonts w:ascii="Times New Roman" w:hAnsi="Times New Roman" w:cs="Times New Roman"/>
        </w:rPr>
        <w:t xml:space="preserve"> </w:t>
      </w:r>
    </w:p>
    <w:p w14:paraId="15BFC059" w14:textId="707A3570" w:rsidR="008356DB" w:rsidRPr="00537498" w:rsidRDefault="008356DB" w:rsidP="00CF2E15">
      <w:pPr>
        <w:spacing w:line="480" w:lineRule="auto"/>
        <w:ind w:firstLine="720"/>
        <w:rPr>
          <w:rFonts w:ascii="Times New Roman" w:hAnsi="Times New Roman" w:cs="Times New Roman"/>
        </w:rPr>
      </w:pPr>
      <w:r w:rsidRPr="00537498">
        <w:rPr>
          <w:rFonts w:ascii="Times New Roman" w:hAnsi="Times New Roman" w:cs="Times New Roman"/>
        </w:rPr>
        <w:t xml:space="preserve">We settled on 2010 and 2013. The financial crisis and the real estate collapse played a significant role in individual </w:t>
      </w:r>
      <w:r w:rsidR="00AA091B">
        <w:rPr>
          <w:rFonts w:ascii="Times New Roman" w:hAnsi="Times New Roman" w:cs="Times New Roman"/>
        </w:rPr>
        <w:t>chapter</w:t>
      </w:r>
      <w:r w:rsidRPr="00537498">
        <w:rPr>
          <w:rFonts w:ascii="Times New Roman" w:hAnsi="Times New Roman" w:cs="Times New Roman"/>
        </w:rPr>
        <w:t xml:space="preserve"> 11</w:t>
      </w:r>
      <w:r w:rsidR="002B1DBA">
        <w:rPr>
          <w:rFonts w:ascii="Times New Roman" w:hAnsi="Times New Roman" w:cs="Times New Roman"/>
        </w:rPr>
        <w:t xml:space="preserve"> cases</w:t>
      </w:r>
      <w:r w:rsidRPr="00537498">
        <w:rPr>
          <w:rFonts w:ascii="Times New Roman" w:hAnsi="Times New Roman" w:cs="Times New Roman"/>
        </w:rPr>
        <w:t xml:space="preserve"> filed in 2010. To ensure that our results were not simply an artifact of the period studied, we expanded our study to include cases filed in 2013</w:t>
      </w:r>
      <w:r w:rsidR="00FD1BFB">
        <w:rPr>
          <w:rFonts w:ascii="Times New Roman" w:hAnsi="Times New Roman" w:cs="Times New Roman"/>
        </w:rPr>
        <w:t>,</w:t>
      </w:r>
      <w:r w:rsidRPr="00537498">
        <w:rPr>
          <w:rFonts w:ascii="Times New Roman" w:hAnsi="Times New Roman" w:cs="Times New Roman"/>
        </w:rPr>
        <w:t xml:space="preserve"> as well.</w:t>
      </w:r>
    </w:p>
    <w:p w14:paraId="736578E0" w14:textId="7071900A" w:rsidR="004F4433" w:rsidRPr="0098250F" w:rsidRDefault="00FD1BFB" w:rsidP="00F52F9E">
      <w:pPr>
        <w:spacing w:line="480" w:lineRule="auto"/>
        <w:ind w:firstLine="720"/>
        <w:rPr>
          <w:rFonts w:ascii="Times New Roman" w:hAnsi="Times New Roman" w:cs="Times New Roman"/>
        </w:rPr>
      </w:pPr>
      <w:r>
        <w:rPr>
          <w:rFonts w:ascii="Times New Roman" w:hAnsi="Times New Roman" w:cs="Times New Roman"/>
        </w:rPr>
        <w:t xml:space="preserve">This section of the report is largely descriptive. </w:t>
      </w:r>
      <w:r w:rsidR="00FA1ABD">
        <w:rPr>
          <w:rFonts w:ascii="Times New Roman" w:hAnsi="Times New Roman" w:cs="Times New Roman"/>
        </w:rPr>
        <w:t xml:space="preserve">We begin in </w:t>
      </w:r>
      <w:r>
        <w:rPr>
          <w:rFonts w:ascii="Times New Roman" w:hAnsi="Times New Roman" w:cs="Times New Roman"/>
        </w:rPr>
        <w:t xml:space="preserve">Section </w:t>
      </w:r>
      <w:r w:rsidR="000301B6" w:rsidRPr="0098250F">
        <w:rPr>
          <w:rFonts w:ascii="Times New Roman" w:hAnsi="Times New Roman" w:cs="Times New Roman"/>
        </w:rPr>
        <w:t xml:space="preserve">A </w:t>
      </w:r>
      <w:r w:rsidR="00FA1ABD">
        <w:rPr>
          <w:rFonts w:ascii="Times New Roman" w:hAnsi="Times New Roman" w:cs="Times New Roman"/>
        </w:rPr>
        <w:t>with some</w:t>
      </w:r>
      <w:r w:rsidR="000301B6" w:rsidRPr="0098250F">
        <w:rPr>
          <w:rFonts w:ascii="Times New Roman" w:hAnsi="Times New Roman" w:cs="Times New Roman"/>
        </w:rPr>
        <w:t xml:space="preserve"> basic </w:t>
      </w:r>
      <w:r w:rsidR="00FA1ABD">
        <w:rPr>
          <w:rFonts w:ascii="Times New Roman" w:hAnsi="Times New Roman" w:cs="Times New Roman"/>
        </w:rPr>
        <w:t xml:space="preserve">information, gleaned from the PACER case reports, </w:t>
      </w:r>
      <w:r w:rsidR="000301B6" w:rsidRPr="0098250F">
        <w:rPr>
          <w:rFonts w:ascii="Times New Roman" w:hAnsi="Times New Roman" w:cs="Times New Roman"/>
        </w:rPr>
        <w:t xml:space="preserve">about </w:t>
      </w:r>
      <w:r w:rsidR="00FA1ABD">
        <w:rPr>
          <w:rFonts w:ascii="Times New Roman" w:hAnsi="Times New Roman" w:cs="Times New Roman"/>
        </w:rPr>
        <w:t xml:space="preserve">the </w:t>
      </w:r>
      <w:r w:rsidR="000301B6" w:rsidRPr="0098250F">
        <w:rPr>
          <w:rFonts w:ascii="Times New Roman" w:hAnsi="Times New Roman" w:cs="Times New Roman"/>
        </w:rPr>
        <w:t xml:space="preserve">individual </w:t>
      </w:r>
      <w:r w:rsidR="00AA091B">
        <w:rPr>
          <w:rFonts w:ascii="Times New Roman" w:hAnsi="Times New Roman" w:cs="Times New Roman"/>
        </w:rPr>
        <w:t>chapter</w:t>
      </w:r>
      <w:r w:rsidR="000301B6" w:rsidRPr="0098250F">
        <w:rPr>
          <w:rFonts w:ascii="Times New Roman" w:hAnsi="Times New Roman" w:cs="Times New Roman"/>
        </w:rPr>
        <w:t xml:space="preserve"> </w:t>
      </w:r>
      <w:r w:rsidR="002B1DBA">
        <w:rPr>
          <w:rFonts w:ascii="Times New Roman" w:hAnsi="Times New Roman" w:cs="Times New Roman"/>
        </w:rPr>
        <w:t xml:space="preserve">11 cases </w:t>
      </w:r>
      <w:r w:rsidR="00FA1ABD">
        <w:rPr>
          <w:rFonts w:ascii="Times New Roman" w:hAnsi="Times New Roman" w:cs="Times New Roman"/>
        </w:rPr>
        <w:t xml:space="preserve">filed in 2010 and 2013. We provide data on debtor type, conversions between chapters, filings by district, the nature of debtors’ liabilities, and the infrequency of involuntary chapter 11 filings. Where applicable, we compare the individual chapter 11 findings with PACER case report data on </w:t>
      </w:r>
      <w:r w:rsidR="00AA091B">
        <w:rPr>
          <w:rFonts w:ascii="Times New Roman" w:hAnsi="Times New Roman" w:cs="Times New Roman"/>
        </w:rPr>
        <w:t>chapter</w:t>
      </w:r>
      <w:r w:rsidR="000301B6" w:rsidRPr="0098250F">
        <w:rPr>
          <w:rFonts w:ascii="Times New Roman" w:hAnsi="Times New Roman" w:cs="Times New Roman"/>
        </w:rPr>
        <w:t xml:space="preserve"> </w:t>
      </w:r>
      <w:r w:rsidR="00132831">
        <w:rPr>
          <w:rFonts w:ascii="Times New Roman" w:hAnsi="Times New Roman" w:cs="Times New Roman"/>
        </w:rPr>
        <w:t xml:space="preserve">13 </w:t>
      </w:r>
      <w:r w:rsidR="000301B6" w:rsidRPr="0098250F">
        <w:rPr>
          <w:rFonts w:ascii="Times New Roman" w:hAnsi="Times New Roman" w:cs="Times New Roman"/>
        </w:rPr>
        <w:t xml:space="preserve">and corporate </w:t>
      </w:r>
      <w:r w:rsidR="00AA091B">
        <w:rPr>
          <w:rFonts w:ascii="Times New Roman" w:hAnsi="Times New Roman" w:cs="Times New Roman"/>
        </w:rPr>
        <w:t>chapter</w:t>
      </w:r>
      <w:r w:rsidR="000301B6" w:rsidRPr="0098250F">
        <w:rPr>
          <w:rFonts w:ascii="Times New Roman" w:hAnsi="Times New Roman" w:cs="Times New Roman"/>
        </w:rPr>
        <w:t xml:space="preserve"> </w:t>
      </w:r>
      <w:r w:rsidR="002B1DBA">
        <w:rPr>
          <w:rFonts w:ascii="Times New Roman" w:hAnsi="Times New Roman" w:cs="Times New Roman"/>
        </w:rPr>
        <w:t xml:space="preserve">11 </w:t>
      </w:r>
      <w:r w:rsidR="00DF7E24">
        <w:rPr>
          <w:rFonts w:ascii="Times New Roman" w:hAnsi="Times New Roman" w:cs="Times New Roman"/>
        </w:rPr>
        <w:t>cases.</w:t>
      </w:r>
      <w:r w:rsidR="00FA1ABD">
        <w:rPr>
          <w:rFonts w:ascii="Times New Roman" w:hAnsi="Times New Roman" w:cs="Times New Roman"/>
        </w:rPr>
        <w:t xml:space="preserve"> </w:t>
      </w:r>
      <w:r w:rsidR="00171BF6">
        <w:rPr>
          <w:rFonts w:ascii="Times New Roman" w:hAnsi="Times New Roman" w:cs="Times New Roman"/>
        </w:rPr>
        <w:t>In Section</w:t>
      </w:r>
      <w:r w:rsidR="000301B6" w:rsidRPr="0098250F">
        <w:rPr>
          <w:rFonts w:ascii="Times New Roman" w:hAnsi="Times New Roman" w:cs="Times New Roman"/>
        </w:rPr>
        <w:t xml:space="preserve"> B</w:t>
      </w:r>
      <w:r w:rsidR="00171BF6">
        <w:rPr>
          <w:rFonts w:ascii="Times New Roman" w:hAnsi="Times New Roman" w:cs="Times New Roman"/>
        </w:rPr>
        <w:t xml:space="preserve">, we look at the experience levels of the attorneys representing the individual debtors who filed for relief in 2010 and 2013, and find that </w:t>
      </w:r>
      <w:r w:rsidR="00171BF6" w:rsidRPr="00D5356C">
        <w:rPr>
          <w:rFonts w:ascii="Times New Roman" w:hAnsi="Times New Roman" w:cs="Times New Roman"/>
        </w:rPr>
        <w:t xml:space="preserve">few specialize in </w:t>
      </w:r>
      <w:r w:rsidR="00171BF6">
        <w:rPr>
          <w:rFonts w:ascii="Times New Roman" w:hAnsi="Times New Roman" w:cs="Times New Roman"/>
        </w:rPr>
        <w:t>i</w:t>
      </w:r>
      <w:r w:rsidR="00171BF6" w:rsidRPr="00D5356C">
        <w:rPr>
          <w:rFonts w:ascii="Times New Roman" w:hAnsi="Times New Roman" w:cs="Times New Roman"/>
        </w:rPr>
        <w:t xml:space="preserve">ndividual </w:t>
      </w:r>
      <w:r w:rsidR="00171BF6">
        <w:rPr>
          <w:rFonts w:ascii="Times New Roman" w:hAnsi="Times New Roman" w:cs="Times New Roman"/>
        </w:rPr>
        <w:t>chapter</w:t>
      </w:r>
      <w:r w:rsidR="00171BF6" w:rsidRPr="00D5356C">
        <w:rPr>
          <w:rFonts w:ascii="Times New Roman" w:hAnsi="Times New Roman" w:cs="Times New Roman"/>
        </w:rPr>
        <w:t xml:space="preserve"> </w:t>
      </w:r>
      <w:r w:rsidR="00171BF6">
        <w:rPr>
          <w:rFonts w:ascii="Times New Roman" w:hAnsi="Times New Roman" w:cs="Times New Roman"/>
        </w:rPr>
        <w:t>11 cases</w:t>
      </w:r>
      <w:r w:rsidR="00171BF6" w:rsidRPr="00D5356C">
        <w:rPr>
          <w:rFonts w:ascii="Times New Roman" w:hAnsi="Times New Roman" w:cs="Times New Roman"/>
        </w:rPr>
        <w:t>.</w:t>
      </w:r>
      <w:r w:rsidR="00171BF6">
        <w:rPr>
          <w:rFonts w:ascii="Times New Roman" w:hAnsi="Times New Roman" w:cs="Times New Roman"/>
        </w:rPr>
        <w:t xml:space="preserve"> Finally, in Section C, we discuss </w:t>
      </w:r>
      <w:r w:rsidR="00B258E2">
        <w:rPr>
          <w:rFonts w:ascii="Times New Roman" w:hAnsi="Times New Roman" w:cs="Times New Roman"/>
        </w:rPr>
        <w:t>the handful of involuntary individual chapter 11 cases filed in 2</w:t>
      </w:r>
      <w:r w:rsidR="00F83C44">
        <w:rPr>
          <w:rFonts w:ascii="Times New Roman" w:hAnsi="Times New Roman" w:cs="Times New Roman"/>
        </w:rPr>
        <w:t xml:space="preserve">010 and 2013, and conclude, as a practical matter, that there is no thirteenth amendment involuntary servitude problem for individual debtors in chapter 11.  </w:t>
      </w:r>
      <w:r w:rsidR="000301B6" w:rsidRPr="0098250F">
        <w:rPr>
          <w:rFonts w:ascii="Times New Roman" w:hAnsi="Times New Roman" w:cs="Times New Roman"/>
        </w:rPr>
        <w:t xml:space="preserve"> </w:t>
      </w:r>
    </w:p>
    <w:p w14:paraId="69CB7098" w14:textId="77777777" w:rsidR="000301B6" w:rsidRPr="0098250F" w:rsidRDefault="000301B6" w:rsidP="00BE1E07">
      <w:pPr>
        <w:spacing w:line="480" w:lineRule="auto"/>
        <w:rPr>
          <w:rFonts w:ascii="Times New Roman" w:hAnsi="Times New Roman" w:cs="Times New Roman"/>
          <w:b/>
        </w:rPr>
      </w:pPr>
      <w:r w:rsidRPr="0098250F">
        <w:rPr>
          <w:rFonts w:ascii="Times New Roman" w:hAnsi="Times New Roman" w:cs="Times New Roman"/>
          <w:b/>
        </w:rPr>
        <w:t>A.</w:t>
      </w:r>
      <w:r w:rsidRPr="0098250F">
        <w:rPr>
          <w:rFonts w:ascii="Times New Roman" w:hAnsi="Times New Roman" w:cs="Times New Roman"/>
          <w:b/>
        </w:rPr>
        <w:tab/>
        <w:t>Some Basic Facts about Individuals in Chapter 11</w:t>
      </w:r>
    </w:p>
    <w:p w14:paraId="7ECC64EA" w14:textId="77777777" w:rsidR="0043727C" w:rsidRDefault="0043727C" w:rsidP="0098250F">
      <w:pPr>
        <w:spacing w:line="480" w:lineRule="auto"/>
        <w:rPr>
          <w:rFonts w:ascii="Times New Roman" w:hAnsi="Times New Roman" w:cs="Times New Roman"/>
          <w:i/>
        </w:rPr>
      </w:pPr>
      <w:r>
        <w:rPr>
          <w:rFonts w:ascii="Times New Roman" w:hAnsi="Times New Roman" w:cs="Times New Roman"/>
          <w:i/>
        </w:rPr>
        <w:t>1.</w:t>
      </w:r>
      <w:r>
        <w:rPr>
          <w:rFonts w:ascii="Times New Roman" w:hAnsi="Times New Roman" w:cs="Times New Roman"/>
          <w:i/>
        </w:rPr>
        <w:tab/>
        <w:t>Chapter 11 Debtor Type</w:t>
      </w:r>
    </w:p>
    <w:p w14:paraId="2F63230D" w14:textId="4FAFC98A" w:rsidR="008356DB" w:rsidRPr="0098250F" w:rsidRDefault="006A294E" w:rsidP="0043727C">
      <w:pPr>
        <w:spacing w:line="480" w:lineRule="auto"/>
        <w:ind w:firstLine="720"/>
        <w:rPr>
          <w:rFonts w:ascii="Times New Roman" w:hAnsi="Times New Roman" w:cs="Times New Roman"/>
        </w:rPr>
      </w:pPr>
      <w:r>
        <w:rPr>
          <w:rFonts w:ascii="Times New Roman" w:hAnsi="Times New Roman" w:cs="Times New Roman"/>
        </w:rPr>
        <w:t>PACER c</w:t>
      </w:r>
      <w:r w:rsidR="00700906" w:rsidRPr="0098250F">
        <w:rPr>
          <w:rFonts w:ascii="Times New Roman" w:hAnsi="Times New Roman" w:cs="Times New Roman"/>
        </w:rPr>
        <w:t xml:space="preserve">ase </w:t>
      </w:r>
      <w:r>
        <w:rPr>
          <w:rFonts w:ascii="Times New Roman" w:hAnsi="Times New Roman" w:cs="Times New Roman"/>
        </w:rPr>
        <w:t>r</w:t>
      </w:r>
      <w:r w:rsidR="00700906" w:rsidRPr="0098250F">
        <w:rPr>
          <w:rFonts w:ascii="Times New Roman" w:hAnsi="Times New Roman" w:cs="Times New Roman"/>
        </w:rPr>
        <w:t xml:space="preserve">eports include a field that lists the bankruptcy chapter </w:t>
      </w:r>
      <w:r w:rsidR="00027BB7">
        <w:rPr>
          <w:rFonts w:ascii="Times New Roman" w:hAnsi="Times New Roman" w:cs="Times New Roman"/>
        </w:rPr>
        <w:t>the case is in at the time that the case is pulled, regardless of whether the case is open or closed</w:t>
      </w:r>
      <w:r w:rsidR="00556FDD">
        <w:rPr>
          <w:rFonts w:ascii="Times New Roman" w:hAnsi="Times New Roman" w:cs="Times New Roman"/>
        </w:rPr>
        <w:t>.</w:t>
      </w:r>
      <w:r w:rsidR="00700906" w:rsidRPr="0098250F">
        <w:rPr>
          <w:rFonts w:ascii="Times New Roman" w:hAnsi="Times New Roman" w:cs="Times New Roman"/>
        </w:rPr>
        <w:t xml:space="preserve"> </w:t>
      </w:r>
      <w:r w:rsidR="00027BB7">
        <w:rPr>
          <w:rFonts w:ascii="Times New Roman" w:hAnsi="Times New Roman" w:cs="Times New Roman"/>
        </w:rPr>
        <w:t xml:space="preserve">For converted cases, the case reports also </w:t>
      </w:r>
      <w:r w:rsidR="00700906" w:rsidRPr="0098250F">
        <w:rPr>
          <w:rFonts w:ascii="Times New Roman" w:hAnsi="Times New Roman" w:cs="Times New Roman"/>
        </w:rPr>
        <w:t>include a field that lists the pre</w:t>
      </w:r>
      <w:r w:rsidR="00027BB7">
        <w:rPr>
          <w:rFonts w:ascii="Times New Roman" w:hAnsi="Times New Roman" w:cs="Times New Roman"/>
        </w:rPr>
        <w:t>-conversion bankruptcy</w:t>
      </w:r>
      <w:r w:rsidR="00700906" w:rsidRPr="0098250F">
        <w:rPr>
          <w:rFonts w:ascii="Times New Roman" w:hAnsi="Times New Roman" w:cs="Times New Roman"/>
        </w:rPr>
        <w:t xml:space="preserve"> chapter</w:t>
      </w:r>
      <w:r w:rsidR="00027BB7">
        <w:rPr>
          <w:rFonts w:ascii="Times New Roman" w:hAnsi="Times New Roman" w:cs="Times New Roman"/>
        </w:rPr>
        <w:t>.</w:t>
      </w:r>
      <w:r w:rsidR="00700906" w:rsidRPr="0098250F">
        <w:rPr>
          <w:rFonts w:ascii="Times New Roman" w:hAnsi="Times New Roman" w:cs="Times New Roman"/>
        </w:rPr>
        <w:t xml:space="preserve"> </w:t>
      </w:r>
      <w:r w:rsidR="00027BB7">
        <w:rPr>
          <w:rFonts w:ascii="Times New Roman" w:hAnsi="Times New Roman" w:cs="Times New Roman"/>
        </w:rPr>
        <w:t>Using these two fields, w</w:t>
      </w:r>
      <w:r w:rsidR="00700906" w:rsidRPr="0098250F">
        <w:rPr>
          <w:rFonts w:ascii="Times New Roman" w:hAnsi="Times New Roman" w:cs="Times New Roman"/>
        </w:rPr>
        <w:t xml:space="preserve">e </w:t>
      </w:r>
      <w:r w:rsidR="00027BB7">
        <w:rPr>
          <w:rFonts w:ascii="Times New Roman" w:hAnsi="Times New Roman" w:cs="Times New Roman"/>
        </w:rPr>
        <w:t xml:space="preserve">identified any case that </w:t>
      </w:r>
      <w:r w:rsidR="00700906" w:rsidRPr="0098250F">
        <w:rPr>
          <w:rFonts w:ascii="Times New Roman" w:hAnsi="Times New Roman" w:cs="Times New Roman"/>
        </w:rPr>
        <w:t>ha</w:t>
      </w:r>
      <w:r w:rsidR="00027BB7">
        <w:rPr>
          <w:rFonts w:ascii="Times New Roman" w:hAnsi="Times New Roman" w:cs="Times New Roman"/>
        </w:rPr>
        <w:t>d</w:t>
      </w:r>
      <w:r w:rsidR="00556FDD">
        <w:rPr>
          <w:rFonts w:ascii="Times New Roman" w:hAnsi="Times New Roman" w:cs="Times New Roman"/>
        </w:rPr>
        <w:t xml:space="preserve"> </w:t>
      </w:r>
      <w:r w:rsidR="00700906" w:rsidRPr="0098250F">
        <w:rPr>
          <w:rFonts w:ascii="Times New Roman" w:hAnsi="Times New Roman" w:cs="Times New Roman"/>
        </w:rPr>
        <w:t xml:space="preserve">been in </w:t>
      </w:r>
      <w:r w:rsidR="00AA091B">
        <w:rPr>
          <w:rFonts w:ascii="Times New Roman" w:hAnsi="Times New Roman" w:cs="Times New Roman"/>
        </w:rPr>
        <w:t>chapter</w:t>
      </w:r>
      <w:r w:rsidR="00700906" w:rsidRPr="0098250F">
        <w:rPr>
          <w:rFonts w:ascii="Times New Roman" w:hAnsi="Times New Roman" w:cs="Times New Roman"/>
        </w:rPr>
        <w:t xml:space="preserve"> 11</w:t>
      </w:r>
      <w:r w:rsidR="00027BB7">
        <w:rPr>
          <w:rFonts w:ascii="Times New Roman" w:hAnsi="Times New Roman" w:cs="Times New Roman"/>
        </w:rPr>
        <w:t>.</w:t>
      </w:r>
      <w:r w:rsidR="000301B6" w:rsidRPr="0098250F">
        <w:rPr>
          <w:rStyle w:val="FootnoteReference"/>
          <w:rFonts w:ascii="Times New Roman" w:hAnsi="Times New Roman" w:cs="Times New Roman"/>
        </w:rPr>
        <w:footnoteReference w:id="44"/>
      </w:r>
      <w:r w:rsidR="000301B6" w:rsidRPr="0098250F">
        <w:rPr>
          <w:rFonts w:ascii="Times New Roman" w:hAnsi="Times New Roman" w:cs="Times New Roman"/>
        </w:rPr>
        <w:t xml:space="preserve"> </w:t>
      </w:r>
      <w:r w:rsidR="00027BB7">
        <w:rPr>
          <w:rFonts w:ascii="Times New Roman" w:hAnsi="Times New Roman" w:cs="Times New Roman"/>
        </w:rPr>
        <w:t>We then narrowed the cases to</w:t>
      </w:r>
      <w:r w:rsidR="00556FDD">
        <w:rPr>
          <w:rFonts w:ascii="Times New Roman" w:hAnsi="Times New Roman" w:cs="Times New Roman"/>
        </w:rPr>
        <w:t xml:space="preserve"> </w:t>
      </w:r>
      <w:r w:rsidR="000301B6" w:rsidRPr="0098250F">
        <w:rPr>
          <w:rFonts w:ascii="Times New Roman" w:hAnsi="Times New Roman" w:cs="Times New Roman"/>
        </w:rPr>
        <w:t>those filed by an individual.</w:t>
      </w:r>
    </w:p>
    <w:p w14:paraId="1C907A7F" w14:textId="6B3EA4FB" w:rsidR="00FD1BFB" w:rsidRDefault="008356DB" w:rsidP="00FD1BFB">
      <w:pPr>
        <w:spacing w:line="480" w:lineRule="auto"/>
        <w:ind w:firstLine="720"/>
        <w:rPr>
          <w:rFonts w:ascii="Times New Roman" w:hAnsi="Times New Roman" w:cs="Times New Roman"/>
        </w:rPr>
      </w:pPr>
      <w:r w:rsidRPr="00537498">
        <w:rPr>
          <w:rFonts w:ascii="Times New Roman" w:hAnsi="Times New Roman" w:cs="Times New Roman"/>
        </w:rPr>
        <w:t xml:space="preserve">Table 1 lists the type of debtor for these PACER </w:t>
      </w:r>
      <w:r w:rsidR="00027BB7">
        <w:rPr>
          <w:rFonts w:ascii="Times New Roman" w:hAnsi="Times New Roman" w:cs="Times New Roman"/>
        </w:rPr>
        <w:t>case r</w:t>
      </w:r>
      <w:r w:rsidRPr="00537498">
        <w:rPr>
          <w:rFonts w:ascii="Times New Roman" w:hAnsi="Times New Roman" w:cs="Times New Roman"/>
        </w:rPr>
        <w:t>eport</w:t>
      </w:r>
      <w:r w:rsidR="00027BB7">
        <w:rPr>
          <w:rFonts w:ascii="Times New Roman" w:hAnsi="Times New Roman" w:cs="Times New Roman"/>
        </w:rPr>
        <w:t>s</w:t>
      </w:r>
      <w:r w:rsidRPr="00537498">
        <w:rPr>
          <w:rFonts w:ascii="Times New Roman" w:hAnsi="Times New Roman" w:cs="Times New Roman"/>
        </w:rPr>
        <w:t xml:space="preserve"> for 2010 and 2013. In both years, corporate chapter 11 cases predominated in the PACER data sample, with the debtor checking the “corporation” box on the voluntary petition in 64-65% of the cases. </w:t>
      </w:r>
      <w:r w:rsidRPr="00537498">
        <w:rPr>
          <w:rFonts w:ascii="Times New Roman" w:hAnsi="Times New Roman" w:cs="Times New Roman"/>
          <w:i/>
        </w:rPr>
        <w:t xml:space="preserve">See </w:t>
      </w:r>
      <w:r w:rsidRPr="00537498">
        <w:rPr>
          <w:rFonts w:ascii="Times New Roman" w:hAnsi="Times New Roman" w:cs="Times New Roman"/>
        </w:rPr>
        <w:t xml:space="preserve">Columns A &amp; B, Row (2) of Table 1. Surprisingly, individual debtors comprised a sizable portion of the PACER data sample: in both 2010 and 2013, at least </w:t>
      </w:r>
      <w:r w:rsidR="00132831">
        <w:rPr>
          <w:rFonts w:ascii="Times New Roman" w:hAnsi="Times New Roman" w:cs="Times New Roman"/>
        </w:rPr>
        <w:t>30</w:t>
      </w:r>
      <w:r w:rsidR="00042036">
        <w:rPr>
          <w:rFonts w:ascii="Times New Roman" w:hAnsi="Times New Roman" w:cs="Times New Roman"/>
        </w:rPr>
        <w:t>%</w:t>
      </w:r>
      <w:r w:rsidR="00132831">
        <w:rPr>
          <w:rFonts w:ascii="Times New Roman" w:hAnsi="Times New Roman" w:cs="Times New Roman"/>
        </w:rPr>
        <w:t xml:space="preserve"> of </w:t>
      </w:r>
      <w:r w:rsidRPr="00537498">
        <w:rPr>
          <w:rFonts w:ascii="Times New Roman" w:hAnsi="Times New Roman" w:cs="Times New Roman"/>
        </w:rPr>
        <w:t xml:space="preserve">chapter 11 debtors indicated on the petition that they were individuals. </w:t>
      </w:r>
      <w:r w:rsidRPr="00537498">
        <w:rPr>
          <w:rFonts w:ascii="Times New Roman" w:hAnsi="Times New Roman" w:cs="Times New Roman"/>
          <w:i/>
        </w:rPr>
        <w:t xml:space="preserve">See </w:t>
      </w:r>
      <w:r w:rsidR="002F573D">
        <w:rPr>
          <w:rFonts w:ascii="Times New Roman" w:hAnsi="Times New Roman" w:cs="Times New Roman"/>
        </w:rPr>
        <w:t>Columns (A) &amp; (B), Row (1</w:t>
      </w:r>
      <w:r w:rsidRPr="00537498">
        <w:rPr>
          <w:rFonts w:ascii="Times New Roman" w:hAnsi="Times New Roman" w:cs="Times New Roman"/>
        </w:rPr>
        <w:t xml:space="preserve">) of Table 1. </w:t>
      </w:r>
      <w:r w:rsidR="00EF4C79">
        <w:rPr>
          <w:rFonts w:ascii="Times New Roman" w:hAnsi="Times New Roman" w:cs="Times New Roman"/>
        </w:rPr>
        <w:t xml:space="preserve">Another 3% to </w:t>
      </w:r>
      <w:r w:rsidR="00FD1BFB" w:rsidRPr="00537498">
        <w:rPr>
          <w:rFonts w:ascii="Times New Roman" w:hAnsi="Times New Roman" w:cs="Times New Roman"/>
        </w:rPr>
        <w:t>5</w:t>
      </w:r>
      <w:r w:rsidR="00FD1BFB">
        <w:rPr>
          <w:rFonts w:ascii="Times New Roman" w:hAnsi="Times New Roman" w:cs="Times New Roman"/>
        </w:rPr>
        <w:t>%</w:t>
      </w:r>
      <w:r w:rsidR="00FD1BFB" w:rsidRPr="00537498">
        <w:rPr>
          <w:rFonts w:ascii="Times New Roman" w:hAnsi="Times New Roman" w:cs="Times New Roman"/>
        </w:rPr>
        <w:t xml:space="preserve"> of debtors checked the “partnership” or “other” boxes on the petition. </w:t>
      </w:r>
      <w:r w:rsidR="00FD1BFB" w:rsidRPr="00537498">
        <w:rPr>
          <w:rFonts w:ascii="Times New Roman" w:hAnsi="Times New Roman" w:cs="Times New Roman"/>
          <w:i/>
        </w:rPr>
        <w:t xml:space="preserve">See </w:t>
      </w:r>
      <w:r w:rsidR="00FD1BFB" w:rsidRPr="00537498">
        <w:rPr>
          <w:rFonts w:ascii="Times New Roman" w:hAnsi="Times New Roman" w:cs="Times New Roman"/>
        </w:rPr>
        <w:t xml:space="preserve">Columns </w:t>
      </w:r>
      <w:r w:rsidR="00FD1BFB">
        <w:rPr>
          <w:rFonts w:ascii="Times New Roman" w:hAnsi="Times New Roman" w:cs="Times New Roman"/>
        </w:rPr>
        <w:t>(</w:t>
      </w:r>
      <w:r w:rsidR="00FD1BFB" w:rsidRPr="00537498">
        <w:rPr>
          <w:rFonts w:ascii="Times New Roman" w:hAnsi="Times New Roman" w:cs="Times New Roman"/>
        </w:rPr>
        <w:t>A</w:t>
      </w:r>
      <w:r w:rsidR="00FD1BFB">
        <w:rPr>
          <w:rFonts w:ascii="Times New Roman" w:hAnsi="Times New Roman" w:cs="Times New Roman"/>
        </w:rPr>
        <w:t>)</w:t>
      </w:r>
      <w:r w:rsidR="00FD1BFB" w:rsidRPr="00537498">
        <w:rPr>
          <w:rFonts w:ascii="Times New Roman" w:hAnsi="Times New Roman" w:cs="Times New Roman"/>
        </w:rPr>
        <w:t xml:space="preserve"> &amp; </w:t>
      </w:r>
      <w:r w:rsidR="00FD1BFB">
        <w:rPr>
          <w:rFonts w:ascii="Times New Roman" w:hAnsi="Times New Roman" w:cs="Times New Roman"/>
        </w:rPr>
        <w:t>(</w:t>
      </w:r>
      <w:r w:rsidR="00FD1BFB" w:rsidRPr="00537498">
        <w:rPr>
          <w:rFonts w:ascii="Times New Roman" w:hAnsi="Times New Roman" w:cs="Times New Roman"/>
        </w:rPr>
        <w:t>B</w:t>
      </w:r>
      <w:r w:rsidR="00FD1BFB">
        <w:rPr>
          <w:rFonts w:ascii="Times New Roman" w:hAnsi="Times New Roman" w:cs="Times New Roman"/>
        </w:rPr>
        <w:t>)</w:t>
      </w:r>
      <w:r w:rsidR="00FD1BFB" w:rsidRPr="00537498">
        <w:rPr>
          <w:rFonts w:ascii="Times New Roman" w:hAnsi="Times New Roman" w:cs="Times New Roman"/>
        </w:rPr>
        <w:t>, Rows (3) &amp; (4) of Table 1.</w:t>
      </w:r>
    </w:p>
    <w:p w14:paraId="4ABCE8BD" w14:textId="2E3046F8" w:rsidR="00027BB7" w:rsidRDefault="00556FDD" w:rsidP="0098250F">
      <w:pPr>
        <w:spacing w:line="480" w:lineRule="auto"/>
        <w:ind w:firstLine="720"/>
        <w:rPr>
          <w:rFonts w:ascii="Times New Roman" w:hAnsi="Times New Roman" w:cs="Times New Roman"/>
        </w:rPr>
      </w:pPr>
      <w:r w:rsidRPr="000951EC">
        <w:rPr>
          <w:rFonts w:ascii="Times New Roman" w:hAnsi="Times New Roman" w:cs="Times New Roman"/>
        </w:rPr>
        <w:t xml:space="preserve">Chapter 11 cases, however, do not account for a significant share of </w:t>
      </w:r>
      <w:r w:rsidR="00FD1BFB">
        <w:rPr>
          <w:rFonts w:ascii="Times New Roman" w:hAnsi="Times New Roman" w:cs="Times New Roman"/>
        </w:rPr>
        <w:t xml:space="preserve">all </w:t>
      </w:r>
      <w:r w:rsidRPr="000951EC">
        <w:rPr>
          <w:rFonts w:ascii="Times New Roman" w:hAnsi="Times New Roman" w:cs="Times New Roman"/>
        </w:rPr>
        <w:t>individual filings</w:t>
      </w:r>
      <w:r w:rsidR="00FD1BFB">
        <w:rPr>
          <w:rFonts w:ascii="Times New Roman" w:hAnsi="Times New Roman" w:cs="Times New Roman"/>
        </w:rPr>
        <w:t>, regardless of chapter</w:t>
      </w:r>
      <w:r w:rsidRPr="000951EC">
        <w:rPr>
          <w:rFonts w:ascii="Times New Roman" w:hAnsi="Times New Roman" w:cs="Times New Roman"/>
        </w:rPr>
        <w:t xml:space="preserve">. In both 2010 and 2013, individual </w:t>
      </w:r>
      <w:r w:rsidR="00AA091B">
        <w:rPr>
          <w:rFonts w:ascii="Times New Roman" w:hAnsi="Times New Roman" w:cs="Times New Roman"/>
        </w:rPr>
        <w:t>chapter</w:t>
      </w:r>
      <w:r w:rsidRPr="000951EC">
        <w:rPr>
          <w:rFonts w:ascii="Times New Roman" w:hAnsi="Times New Roman" w:cs="Times New Roman"/>
        </w:rPr>
        <w:t xml:space="preserve"> 11 filings accounted for less than 0.3% of all individual bankruptcy cases</w:t>
      </w:r>
      <w:r w:rsidR="00AF57A7">
        <w:rPr>
          <w:rFonts w:ascii="Times New Roman" w:hAnsi="Times New Roman" w:cs="Times New Roman"/>
        </w:rPr>
        <w:t xml:space="preserve"> in our sample</w:t>
      </w:r>
      <w:r w:rsidRPr="000951EC">
        <w:rPr>
          <w:rFonts w:ascii="Times New Roman" w:hAnsi="Times New Roman" w:cs="Times New Roman"/>
        </w:rPr>
        <w:t xml:space="preserve">. </w:t>
      </w:r>
    </w:p>
    <w:p w14:paraId="65426097" w14:textId="77777777" w:rsidR="008356DB" w:rsidRPr="00537498" w:rsidRDefault="008356DB" w:rsidP="00EF4C79">
      <w:pPr>
        <w:keepNext/>
        <w:keepLines/>
        <w:spacing w:line="480" w:lineRule="auto"/>
        <w:jc w:val="center"/>
        <w:rPr>
          <w:rFonts w:ascii="Times New Roman" w:hAnsi="Times New Roman" w:cs="Times New Roman"/>
          <w:b/>
        </w:rPr>
      </w:pPr>
      <w:r w:rsidRPr="00537498">
        <w:rPr>
          <w:rFonts w:ascii="Times New Roman" w:hAnsi="Times New Roman" w:cs="Times New Roman"/>
          <w:b/>
        </w:rPr>
        <w:t xml:space="preserve">Table 1: Debtor Type for Chapter 11 Cases </w:t>
      </w:r>
    </w:p>
    <w:tbl>
      <w:tblPr>
        <w:tblStyle w:val="TableGrid"/>
        <w:tblW w:w="0" w:type="auto"/>
        <w:tblLook w:val="04A0" w:firstRow="1" w:lastRow="0" w:firstColumn="1" w:lastColumn="0" w:noHBand="0" w:noVBand="1"/>
      </w:tblPr>
      <w:tblGrid>
        <w:gridCol w:w="2816"/>
        <w:gridCol w:w="1395"/>
        <w:gridCol w:w="1514"/>
        <w:gridCol w:w="1512"/>
        <w:gridCol w:w="1395"/>
      </w:tblGrid>
      <w:tr w:rsidR="008356DB" w:rsidRPr="00537498" w14:paraId="47BA2960" w14:textId="77777777" w:rsidTr="008356DB">
        <w:tc>
          <w:tcPr>
            <w:tcW w:w="2952" w:type="dxa"/>
            <w:tcBorders>
              <w:bottom w:val="single" w:sz="18" w:space="0" w:color="auto"/>
              <w:right w:val="single" w:sz="18" w:space="0" w:color="auto"/>
            </w:tcBorders>
          </w:tcPr>
          <w:p w14:paraId="3E806170" w14:textId="77777777" w:rsidR="008356DB" w:rsidRPr="00537498" w:rsidRDefault="008356DB" w:rsidP="00EF4C79">
            <w:pPr>
              <w:keepNext/>
              <w:keepLines/>
              <w:rPr>
                <w:rFonts w:ascii="Times New Roman" w:hAnsi="Times New Roman" w:cs="Times New Roman"/>
                <w:b/>
              </w:rPr>
            </w:pPr>
          </w:p>
        </w:tc>
        <w:tc>
          <w:tcPr>
            <w:tcW w:w="2955" w:type="dxa"/>
            <w:gridSpan w:val="2"/>
            <w:tcBorders>
              <w:top w:val="single" w:sz="2" w:space="0" w:color="auto"/>
              <w:left w:val="single" w:sz="18" w:space="0" w:color="auto"/>
              <w:bottom w:val="single" w:sz="18" w:space="0" w:color="auto"/>
              <w:right w:val="single" w:sz="18" w:space="0" w:color="auto"/>
            </w:tcBorders>
          </w:tcPr>
          <w:p w14:paraId="5E26E4B2" w14:textId="77777777" w:rsidR="008356DB" w:rsidRPr="00537498" w:rsidRDefault="008356DB" w:rsidP="00EF4C79">
            <w:pPr>
              <w:keepNext/>
              <w:keepLines/>
              <w:ind w:left="897"/>
              <w:rPr>
                <w:rFonts w:ascii="Times New Roman" w:hAnsi="Times New Roman" w:cs="Times New Roman"/>
                <w:b/>
              </w:rPr>
            </w:pPr>
            <w:r w:rsidRPr="00537498">
              <w:rPr>
                <w:rFonts w:ascii="Times New Roman" w:hAnsi="Times New Roman" w:cs="Times New Roman"/>
                <w:b/>
              </w:rPr>
              <w:t>(A)</w:t>
            </w:r>
          </w:p>
          <w:p w14:paraId="152066CB" w14:textId="77777777" w:rsidR="008356DB" w:rsidRPr="00933FD2" w:rsidRDefault="008356DB" w:rsidP="00EF4C79">
            <w:pPr>
              <w:keepNext/>
              <w:keepLines/>
              <w:ind w:left="897"/>
              <w:rPr>
                <w:rFonts w:ascii="Times New Roman" w:hAnsi="Times New Roman" w:cs="Times New Roman"/>
                <w:b/>
              </w:rPr>
            </w:pPr>
            <w:r w:rsidRPr="00933FD2">
              <w:rPr>
                <w:rFonts w:ascii="Times New Roman" w:hAnsi="Times New Roman" w:cs="Times New Roman"/>
                <w:b/>
              </w:rPr>
              <w:t>2010</w:t>
            </w:r>
          </w:p>
        </w:tc>
        <w:tc>
          <w:tcPr>
            <w:tcW w:w="2949" w:type="dxa"/>
            <w:gridSpan w:val="2"/>
            <w:tcBorders>
              <w:top w:val="single" w:sz="2" w:space="0" w:color="auto"/>
              <w:left w:val="single" w:sz="18" w:space="0" w:color="auto"/>
              <w:bottom w:val="single" w:sz="18" w:space="0" w:color="auto"/>
              <w:right w:val="single" w:sz="2" w:space="0" w:color="auto"/>
            </w:tcBorders>
          </w:tcPr>
          <w:p w14:paraId="17144354" w14:textId="77777777" w:rsidR="008356DB" w:rsidRPr="00537498" w:rsidRDefault="008356DB" w:rsidP="00EF4C79">
            <w:pPr>
              <w:keepNext/>
              <w:keepLines/>
              <w:ind w:left="897"/>
              <w:rPr>
                <w:rFonts w:ascii="Times New Roman" w:hAnsi="Times New Roman" w:cs="Times New Roman"/>
                <w:b/>
              </w:rPr>
            </w:pPr>
            <w:r w:rsidRPr="00537498">
              <w:rPr>
                <w:rFonts w:ascii="Times New Roman" w:hAnsi="Times New Roman" w:cs="Times New Roman"/>
                <w:b/>
              </w:rPr>
              <w:t>(B)</w:t>
            </w:r>
          </w:p>
          <w:p w14:paraId="7F67AF39" w14:textId="77777777" w:rsidR="008356DB" w:rsidRPr="00537498" w:rsidRDefault="008356DB" w:rsidP="00EF4C79">
            <w:pPr>
              <w:keepNext/>
              <w:keepLines/>
              <w:ind w:left="897"/>
              <w:rPr>
                <w:rFonts w:ascii="Times New Roman" w:hAnsi="Times New Roman" w:cs="Times New Roman"/>
                <w:b/>
              </w:rPr>
            </w:pPr>
            <w:r w:rsidRPr="00537498">
              <w:rPr>
                <w:rFonts w:ascii="Times New Roman" w:hAnsi="Times New Roman" w:cs="Times New Roman"/>
                <w:b/>
              </w:rPr>
              <w:t>2013</w:t>
            </w:r>
          </w:p>
        </w:tc>
      </w:tr>
      <w:tr w:rsidR="008356DB" w:rsidRPr="00537498" w14:paraId="2AC11BA2" w14:textId="77777777" w:rsidTr="008356DB">
        <w:tc>
          <w:tcPr>
            <w:tcW w:w="2952" w:type="dxa"/>
            <w:tcBorders>
              <w:top w:val="single" w:sz="18" w:space="0" w:color="auto"/>
              <w:right w:val="single" w:sz="18" w:space="0" w:color="auto"/>
            </w:tcBorders>
          </w:tcPr>
          <w:p w14:paraId="4BD21187" w14:textId="77777777" w:rsidR="008356DB" w:rsidRPr="00537498" w:rsidRDefault="008356DB" w:rsidP="00EF4C79">
            <w:pPr>
              <w:keepNext/>
              <w:keepLines/>
              <w:rPr>
                <w:rFonts w:ascii="Times New Roman" w:hAnsi="Times New Roman" w:cs="Times New Roman"/>
                <w:b/>
              </w:rPr>
            </w:pPr>
            <w:r w:rsidRPr="00537498">
              <w:rPr>
                <w:rFonts w:ascii="Times New Roman" w:hAnsi="Times New Roman" w:cs="Times New Roman"/>
                <w:b/>
              </w:rPr>
              <w:t>Debtor Type</w:t>
            </w:r>
          </w:p>
        </w:tc>
        <w:tc>
          <w:tcPr>
            <w:tcW w:w="1425" w:type="dxa"/>
            <w:tcBorders>
              <w:top w:val="single" w:sz="18" w:space="0" w:color="auto"/>
              <w:left w:val="single" w:sz="18" w:space="0" w:color="auto"/>
              <w:right w:val="single" w:sz="2" w:space="0" w:color="auto"/>
            </w:tcBorders>
          </w:tcPr>
          <w:p w14:paraId="54F75716" w14:textId="325E28D3" w:rsidR="008356DB" w:rsidRPr="00537498" w:rsidRDefault="008356DB" w:rsidP="00EF4C79">
            <w:pPr>
              <w:keepNext/>
              <w:keepLines/>
              <w:jc w:val="center"/>
              <w:rPr>
                <w:rFonts w:ascii="Times New Roman" w:hAnsi="Times New Roman" w:cs="Times New Roman"/>
                <w:b/>
              </w:rPr>
            </w:pPr>
            <w:r w:rsidRPr="00537498">
              <w:rPr>
                <w:rFonts w:ascii="Times New Roman" w:hAnsi="Times New Roman" w:cs="Times New Roman"/>
                <w:b/>
              </w:rPr>
              <w:t>N</w:t>
            </w:r>
            <w:r w:rsidR="00FD1BFB">
              <w:rPr>
                <w:rFonts w:ascii="Times New Roman" w:hAnsi="Times New Roman" w:cs="Times New Roman"/>
                <w:b/>
              </w:rPr>
              <w:t>umber</w:t>
            </w:r>
          </w:p>
        </w:tc>
        <w:tc>
          <w:tcPr>
            <w:tcW w:w="1527" w:type="dxa"/>
            <w:tcBorders>
              <w:top w:val="single" w:sz="18" w:space="0" w:color="auto"/>
              <w:left w:val="single" w:sz="2" w:space="0" w:color="auto"/>
              <w:right w:val="single" w:sz="18" w:space="0" w:color="auto"/>
            </w:tcBorders>
          </w:tcPr>
          <w:p w14:paraId="2FD4C82D" w14:textId="6150E25E" w:rsidR="008356DB" w:rsidRPr="00537498" w:rsidRDefault="00FD1BFB" w:rsidP="00EF4C79">
            <w:pPr>
              <w:keepNext/>
              <w:keepLines/>
              <w:jc w:val="center"/>
              <w:rPr>
                <w:rFonts w:ascii="Times New Roman" w:hAnsi="Times New Roman" w:cs="Times New Roman"/>
                <w:b/>
              </w:rPr>
            </w:pPr>
            <w:r>
              <w:rPr>
                <w:rFonts w:ascii="Times New Roman" w:hAnsi="Times New Roman" w:cs="Times New Roman"/>
                <w:b/>
              </w:rPr>
              <w:t>Percentage</w:t>
            </w:r>
          </w:p>
        </w:tc>
        <w:tc>
          <w:tcPr>
            <w:tcW w:w="1553" w:type="dxa"/>
            <w:tcBorders>
              <w:top w:val="single" w:sz="18" w:space="0" w:color="auto"/>
              <w:left w:val="single" w:sz="18" w:space="0" w:color="auto"/>
              <w:right w:val="single" w:sz="2" w:space="0" w:color="auto"/>
            </w:tcBorders>
          </w:tcPr>
          <w:p w14:paraId="11103061" w14:textId="7709276E" w:rsidR="008356DB" w:rsidRPr="00537498" w:rsidRDefault="008356DB" w:rsidP="00EF4C79">
            <w:pPr>
              <w:keepNext/>
              <w:keepLines/>
              <w:jc w:val="center"/>
              <w:rPr>
                <w:rFonts w:ascii="Times New Roman" w:hAnsi="Times New Roman" w:cs="Times New Roman"/>
                <w:b/>
              </w:rPr>
            </w:pPr>
            <w:r w:rsidRPr="00537498">
              <w:rPr>
                <w:rFonts w:ascii="Times New Roman" w:hAnsi="Times New Roman" w:cs="Times New Roman"/>
                <w:b/>
              </w:rPr>
              <w:t>N</w:t>
            </w:r>
            <w:r w:rsidR="00FD1BFB">
              <w:rPr>
                <w:rFonts w:ascii="Times New Roman" w:hAnsi="Times New Roman" w:cs="Times New Roman"/>
                <w:b/>
              </w:rPr>
              <w:t>umber</w:t>
            </w:r>
          </w:p>
        </w:tc>
        <w:tc>
          <w:tcPr>
            <w:tcW w:w="1399" w:type="dxa"/>
            <w:tcBorders>
              <w:top w:val="single" w:sz="18" w:space="0" w:color="auto"/>
              <w:left w:val="single" w:sz="2" w:space="0" w:color="auto"/>
            </w:tcBorders>
          </w:tcPr>
          <w:p w14:paraId="351CBE66" w14:textId="353AADC2" w:rsidR="008356DB" w:rsidRPr="00933FD2" w:rsidRDefault="00FD1BFB" w:rsidP="00EF4C79">
            <w:pPr>
              <w:keepNext/>
              <w:keepLines/>
              <w:jc w:val="center"/>
              <w:rPr>
                <w:rFonts w:ascii="Times New Roman" w:hAnsi="Times New Roman" w:cs="Times New Roman"/>
                <w:b/>
              </w:rPr>
            </w:pPr>
            <w:r>
              <w:rPr>
                <w:rFonts w:ascii="Times New Roman" w:hAnsi="Times New Roman" w:cs="Times New Roman"/>
                <w:b/>
              </w:rPr>
              <w:t>Percentage</w:t>
            </w:r>
          </w:p>
        </w:tc>
      </w:tr>
      <w:tr w:rsidR="008356DB" w:rsidRPr="00537498" w14:paraId="6B8A3B45" w14:textId="77777777" w:rsidTr="007B12A8">
        <w:tc>
          <w:tcPr>
            <w:tcW w:w="2952" w:type="dxa"/>
            <w:tcBorders>
              <w:right w:val="single" w:sz="18" w:space="0" w:color="auto"/>
            </w:tcBorders>
          </w:tcPr>
          <w:p w14:paraId="4D4DE1C1" w14:textId="77777777" w:rsidR="008356DB" w:rsidRPr="00537498" w:rsidRDefault="008356DB" w:rsidP="00EF4C79">
            <w:pPr>
              <w:keepNext/>
              <w:keepLines/>
              <w:rPr>
                <w:rFonts w:ascii="Times New Roman" w:hAnsi="Times New Roman" w:cs="Times New Roman"/>
              </w:rPr>
            </w:pPr>
            <w:r w:rsidRPr="00537498">
              <w:rPr>
                <w:rFonts w:ascii="Times New Roman" w:hAnsi="Times New Roman" w:cs="Times New Roman"/>
              </w:rPr>
              <w:t>(1) Individual</w:t>
            </w:r>
          </w:p>
        </w:tc>
        <w:tc>
          <w:tcPr>
            <w:tcW w:w="1425" w:type="dxa"/>
            <w:tcBorders>
              <w:left w:val="single" w:sz="18" w:space="0" w:color="auto"/>
              <w:right w:val="single" w:sz="2" w:space="0" w:color="auto"/>
            </w:tcBorders>
          </w:tcPr>
          <w:p w14:paraId="3FDA8307" w14:textId="77777777" w:rsidR="008356DB" w:rsidRPr="00537498" w:rsidRDefault="008356DB" w:rsidP="00EF4C79">
            <w:pPr>
              <w:keepNext/>
              <w:keepLines/>
              <w:jc w:val="right"/>
              <w:rPr>
                <w:rFonts w:ascii="Times New Roman" w:hAnsi="Times New Roman" w:cs="Times New Roman"/>
              </w:rPr>
            </w:pPr>
            <w:r w:rsidRPr="00537498">
              <w:rPr>
                <w:rFonts w:ascii="Times New Roman" w:hAnsi="Times New Roman" w:cs="Times New Roman"/>
              </w:rPr>
              <w:t>4,049</w:t>
            </w:r>
          </w:p>
        </w:tc>
        <w:tc>
          <w:tcPr>
            <w:tcW w:w="1527" w:type="dxa"/>
            <w:tcBorders>
              <w:left w:val="single" w:sz="2" w:space="0" w:color="auto"/>
              <w:right w:val="single" w:sz="18" w:space="0" w:color="auto"/>
            </w:tcBorders>
          </w:tcPr>
          <w:p w14:paraId="3CE17C2F" w14:textId="77777777" w:rsidR="008356DB" w:rsidRPr="00537498" w:rsidRDefault="008356DB" w:rsidP="00EF4C79">
            <w:pPr>
              <w:keepNext/>
              <w:keepLines/>
              <w:jc w:val="right"/>
              <w:rPr>
                <w:rFonts w:ascii="Times New Roman" w:hAnsi="Times New Roman" w:cs="Times New Roman"/>
              </w:rPr>
            </w:pPr>
            <w:r w:rsidRPr="00537498">
              <w:rPr>
                <w:rFonts w:ascii="Times New Roman" w:hAnsi="Times New Roman" w:cs="Times New Roman"/>
              </w:rPr>
              <w:t>30.3%</w:t>
            </w:r>
          </w:p>
        </w:tc>
        <w:tc>
          <w:tcPr>
            <w:tcW w:w="1553" w:type="dxa"/>
            <w:tcBorders>
              <w:left w:val="single" w:sz="18" w:space="0" w:color="auto"/>
              <w:right w:val="single" w:sz="2" w:space="0" w:color="auto"/>
            </w:tcBorders>
          </w:tcPr>
          <w:p w14:paraId="3165EC58" w14:textId="77777777" w:rsidR="008356DB" w:rsidRPr="00537498" w:rsidRDefault="008356DB" w:rsidP="00EF4C79">
            <w:pPr>
              <w:keepNext/>
              <w:keepLines/>
              <w:jc w:val="right"/>
              <w:rPr>
                <w:rFonts w:ascii="Times New Roman" w:hAnsi="Times New Roman" w:cs="Times New Roman"/>
              </w:rPr>
            </w:pPr>
            <w:r w:rsidRPr="00537498">
              <w:rPr>
                <w:rFonts w:ascii="Times New Roman" w:hAnsi="Times New Roman" w:cs="Times New Roman"/>
              </w:rPr>
              <w:t>2,617</w:t>
            </w:r>
          </w:p>
        </w:tc>
        <w:tc>
          <w:tcPr>
            <w:tcW w:w="1399" w:type="dxa"/>
            <w:tcBorders>
              <w:left w:val="single" w:sz="2" w:space="0" w:color="auto"/>
            </w:tcBorders>
          </w:tcPr>
          <w:p w14:paraId="2E28BA92" w14:textId="77777777" w:rsidR="008356DB" w:rsidRPr="00537498" w:rsidRDefault="008356DB" w:rsidP="00EF4C79">
            <w:pPr>
              <w:keepNext/>
              <w:keepLines/>
              <w:jc w:val="right"/>
              <w:rPr>
                <w:rFonts w:ascii="Times New Roman" w:hAnsi="Times New Roman" w:cs="Times New Roman"/>
              </w:rPr>
            </w:pPr>
            <w:r w:rsidRPr="00537498">
              <w:rPr>
                <w:rFonts w:ascii="Times New Roman" w:hAnsi="Times New Roman" w:cs="Times New Roman"/>
              </w:rPr>
              <w:t>31.2%</w:t>
            </w:r>
          </w:p>
        </w:tc>
      </w:tr>
      <w:tr w:rsidR="008356DB" w:rsidRPr="00537498" w14:paraId="5244CD4A" w14:textId="77777777" w:rsidTr="007B12A8">
        <w:tc>
          <w:tcPr>
            <w:tcW w:w="2952" w:type="dxa"/>
            <w:tcBorders>
              <w:right w:val="single" w:sz="18" w:space="0" w:color="auto"/>
            </w:tcBorders>
          </w:tcPr>
          <w:p w14:paraId="3110A3CE" w14:textId="77777777" w:rsidR="008356DB" w:rsidRPr="00537498" w:rsidRDefault="008356DB" w:rsidP="00EF4C79">
            <w:pPr>
              <w:keepNext/>
              <w:keepLines/>
              <w:rPr>
                <w:rFonts w:ascii="Times New Roman" w:hAnsi="Times New Roman" w:cs="Times New Roman"/>
              </w:rPr>
            </w:pPr>
            <w:r w:rsidRPr="00537498">
              <w:rPr>
                <w:rFonts w:ascii="Times New Roman" w:hAnsi="Times New Roman" w:cs="Times New Roman"/>
              </w:rPr>
              <w:t>(2) Corporation</w:t>
            </w:r>
          </w:p>
        </w:tc>
        <w:tc>
          <w:tcPr>
            <w:tcW w:w="1425" w:type="dxa"/>
            <w:tcBorders>
              <w:left w:val="single" w:sz="18" w:space="0" w:color="auto"/>
              <w:right w:val="single" w:sz="2" w:space="0" w:color="auto"/>
            </w:tcBorders>
          </w:tcPr>
          <w:p w14:paraId="6668D24D" w14:textId="77777777" w:rsidR="008356DB" w:rsidRPr="00537498" w:rsidRDefault="008356DB" w:rsidP="00EF4C79">
            <w:pPr>
              <w:keepNext/>
              <w:keepLines/>
              <w:jc w:val="right"/>
              <w:rPr>
                <w:rFonts w:ascii="Times New Roman" w:hAnsi="Times New Roman" w:cs="Times New Roman"/>
              </w:rPr>
            </w:pPr>
            <w:r w:rsidRPr="00537498">
              <w:rPr>
                <w:rFonts w:ascii="Times New Roman" w:hAnsi="Times New Roman" w:cs="Times New Roman"/>
              </w:rPr>
              <w:t>8,617</w:t>
            </w:r>
          </w:p>
        </w:tc>
        <w:tc>
          <w:tcPr>
            <w:tcW w:w="1527" w:type="dxa"/>
            <w:tcBorders>
              <w:left w:val="single" w:sz="2" w:space="0" w:color="auto"/>
              <w:right w:val="single" w:sz="18" w:space="0" w:color="auto"/>
            </w:tcBorders>
          </w:tcPr>
          <w:p w14:paraId="5E58C437" w14:textId="77777777" w:rsidR="008356DB" w:rsidRPr="00537498" w:rsidRDefault="008356DB" w:rsidP="00EF4C79">
            <w:pPr>
              <w:keepNext/>
              <w:keepLines/>
              <w:jc w:val="right"/>
              <w:rPr>
                <w:rFonts w:ascii="Times New Roman" w:hAnsi="Times New Roman" w:cs="Times New Roman"/>
              </w:rPr>
            </w:pPr>
            <w:r w:rsidRPr="00537498">
              <w:rPr>
                <w:rFonts w:ascii="Times New Roman" w:hAnsi="Times New Roman" w:cs="Times New Roman"/>
              </w:rPr>
              <w:t>64.5%</w:t>
            </w:r>
          </w:p>
        </w:tc>
        <w:tc>
          <w:tcPr>
            <w:tcW w:w="1553" w:type="dxa"/>
            <w:tcBorders>
              <w:left w:val="single" w:sz="18" w:space="0" w:color="auto"/>
              <w:right w:val="single" w:sz="2" w:space="0" w:color="auto"/>
            </w:tcBorders>
          </w:tcPr>
          <w:p w14:paraId="0E6C4F92" w14:textId="77777777" w:rsidR="008356DB" w:rsidRPr="00537498" w:rsidRDefault="008356DB" w:rsidP="00EF4C79">
            <w:pPr>
              <w:keepNext/>
              <w:keepLines/>
              <w:jc w:val="right"/>
              <w:rPr>
                <w:rFonts w:ascii="Times New Roman" w:hAnsi="Times New Roman" w:cs="Times New Roman"/>
              </w:rPr>
            </w:pPr>
            <w:r w:rsidRPr="00537498">
              <w:rPr>
                <w:rFonts w:ascii="Times New Roman" w:hAnsi="Times New Roman" w:cs="Times New Roman"/>
              </w:rPr>
              <w:t>5,487</w:t>
            </w:r>
          </w:p>
        </w:tc>
        <w:tc>
          <w:tcPr>
            <w:tcW w:w="1399" w:type="dxa"/>
            <w:tcBorders>
              <w:left w:val="single" w:sz="2" w:space="0" w:color="auto"/>
            </w:tcBorders>
          </w:tcPr>
          <w:p w14:paraId="6C35427E" w14:textId="77777777" w:rsidR="008356DB" w:rsidRPr="00933FD2" w:rsidRDefault="008356DB" w:rsidP="00EF4C79">
            <w:pPr>
              <w:keepNext/>
              <w:keepLines/>
              <w:jc w:val="right"/>
              <w:rPr>
                <w:rFonts w:ascii="Times New Roman" w:hAnsi="Times New Roman" w:cs="Times New Roman"/>
              </w:rPr>
            </w:pPr>
            <w:r w:rsidRPr="00933FD2">
              <w:rPr>
                <w:rFonts w:ascii="Times New Roman" w:hAnsi="Times New Roman" w:cs="Times New Roman"/>
              </w:rPr>
              <w:t>65.4%</w:t>
            </w:r>
          </w:p>
        </w:tc>
      </w:tr>
      <w:tr w:rsidR="008356DB" w:rsidRPr="00537498" w14:paraId="34ACC84B" w14:textId="77777777" w:rsidTr="007B12A8">
        <w:tc>
          <w:tcPr>
            <w:tcW w:w="2952" w:type="dxa"/>
            <w:tcBorders>
              <w:right w:val="single" w:sz="18" w:space="0" w:color="auto"/>
            </w:tcBorders>
          </w:tcPr>
          <w:p w14:paraId="348470EA" w14:textId="77777777" w:rsidR="008356DB" w:rsidRPr="00537498" w:rsidRDefault="008356DB" w:rsidP="00EF4C79">
            <w:pPr>
              <w:keepNext/>
              <w:keepLines/>
              <w:rPr>
                <w:rFonts w:ascii="Times New Roman" w:hAnsi="Times New Roman" w:cs="Times New Roman"/>
              </w:rPr>
            </w:pPr>
            <w:r w:rsidRPr="00537498">
              <w:rPr>
                <w:rFonts w:ascii="Times New Roman" w:hAnsi="Times New Roman" w:cs="Times New Roman"/>
              </w:rPr>
              <w:t>(3) Partnership</w:t>
            </w:r>
          </w:p>
        </w:tc>
        <w:tc>
          <w:tcPr>
            <w:tcW w:w="1425" w:type="dxa"/>
            <w:tcBorders>
              <w:left w:val="single" w:sz="18" w:space="0" w:color="auto"/>
              <w:right w:val="single" w:sz="2" w:space="0" w:color="auto"/>
            </w:tcBorders>
          </w:tcPr>
          <w:p w14:paraId="57ECA376" w14:textId="77777777" w:rsidR="008356DB" w:rsidRPr="00537498" w:rsidRDefault="008356DB" w:rsidP="00EF4C79">
            <w:pPr>
              <w:keepNext/>
              <w:keepLines/>
              <w:jc w:val="right"/>
              <w:rPr>
                <w:rFonts w:ascii="Times New Roman" w:hAnsi="Times New Roman" w:cs="Times New Roman"/>
              </w:rPr>
            </w:pPr>
            <w:r w:rsidRPr="00537498">
              <w:rPr>
                <w:rFonts w:ascii="Times New Roman" w:hAnsi="Times New Roman" w:cs="Times New Roman"/>
              </w:rPr>
              <w:t>466</w:t>
            </w:r>
          </w:p>
        </w:tc>
        <w:tc>
          <w:tcPr>
            <w:tcW w:w="1527" w:type="dxa"/>
            <w:tcBorders>
              <w:left w:val="single" w:sz="2" w:space="0" w:color="auto"/>
              <w:right w:val="single" w:sz="18" w:space="0" w:color="auto"/>
            </w:tcBorders>
          </w:tcPr>
          <w:p w14:paraId="2C47D9A2" w14:textId="77777777" w:rsidR="008356DB" w:rsidRPr="00537498" w:rsidRDefault="008356DB" w:rsidP="00EF4C79">
            <w:pPr>
              <w:keepNext/>
              <w:keepLines/>
              <w:jc w:val="right"/>
              <w:rPr>
                <w:rFonts w:ascii="Times New Roman" w:hAnsi="Times New Roman" w:cs="Times New Roman"/>
              </w:rPr>
            </w:pPr>
            <w:r w:rsidRPr="00537498">
              <w:rPr>
                <w:rFonts w:ascii="Times New Roman" w:hAnsi="Times New Roman" w:cs="Times New Roman"/>
              </w:rPr>
              <w:t>3.5%</w:t>
            </w:r>
          </w:p>
        </w:tc>
        <w:tc>
          <w:tcPr>
            <w:tcW w:w="1553" w:type="dxa"/>
            <w:tcBorders>
              <w:left w:val="single" w:sz="18" w:space="0" w:color="auto"/>
              <w:right w:val="single" w:sz="2" w:space="0" w:color="auto"/>
            </w:tcBorders>
          </w:tcPr>
          <w:p w14:paraId="5B74E7AD" w14:textId="77777777" w:rsidR="008356DB" w:rsidRPr="00537498" w:rsidRDefault="008356DB" w:rsidP="00EF4C79">
            <w:pPr>
              <w:keepNext/>
              <w:keepLines/>
              <w:jc w:val="right"/>
              <w:rPr>
                <w:rFonts w:ascii="Times New Roman" w:hAnsi="Times New Roman" w:cs="Times New Roman"/>
              </w:rPr>
            </w:pPr>
            <w:r w:rsidRPr="00537498">
              <w:rPr>
                <w:rFonts w:ascii="Times New Roman" w:hAnsi="Times New Roman" w:cs="Times New Roman"/>
              </w:rPr>
              <w:t>179</w:t>
            </w:r>
          </w:p>
        </w:tc>
        <w:tc>
          <w:tcPr>
            <w:tcW w:w="1399" w:type="dxa"/>
            <w:tcBorders>
              <w:left w:val="single" w:sz="2" w:space="0" w:color="auto"/>
            </w:tcBorders>
          </w:tcPr>
          <w:p w14:paraId="2EE8D128" w14:textId="77777777" w:rsidR="008356DB" w:rsidRPr="00933FD2" w:rsidRDefault="008356DB" w:rsidP="00EF4C79">
            <w:pPr>
              <w:keepNext/>
              <w:keepLines/>
              <w:jc w:val="right"/>
              <w:rPr>
                <w:rFonts w:ascii="Times New Roman" w:hAnsi="Times New Roman" w:cs="Times New Roman"/>
              </w:rPr>
            </w:pPr>
            <w:r w:rsidRPr="00933FD2">
              <w:rPr>
                <w:rFonts w:ascii="Times New Roman" w:hAnsi="Times New Roman" w:cs="Times New Roman"/>
              </w:rPr>
              <w:t>2.13%</w:t>
            </w:r>
          </w:p>
        </w:tc>
      </w:tr>
      <w:tr w:rsidR="00FD1BFB" w:rsidRPr="00537498" w14:paraId="2F99844A" w14:textId="77777777" w:rsidTr="00FD1BFB">
        <w:tc>
          <w:tcPr>
            <w:tcW w:w="2952" w:type="dxa"/>
            <w:tcBorders>
              <w:bottom w:val="thinThickSmallGap" w:sz="18" w:space="0" w:color="auto"/>
              <w:right w:val="single" w:sz="18" w:space="0" w:color="auto"/>
            </w:tcBorders>
          </w:tcPr>
          <w:p w14:paraId="638CBA23" w14:textId="77777777" w:rsidR="008356DB" w:rsidRPr="00537498" w:rsidRDefault="008356DB" w:rsidP="00EF4C79">
            <w:pPr>
              <w:keepNext/>
              <w:keepLines/>
              <w:rPr>
                <w:rFonts w:ascii="Times New Roman" w:hAnsi="Times New Roman" w:cs="Times New Roman"/>
              </w:rPr>
            </w:pPr>
            <w:r w:rsidRPr="00537498">
              <w:rPr>
                <w:rFonts w:ascii="Times New Roman" w:hAnsi="Times New Roman" w:cs="Times New Roman"/>
              </w:rPr>
              <w:t>(4) Other</w:t>
            </w:r>
          </w:p>
        </w:tc>
        <w:tc>
          <w:tcPr>
            <w:tcW w:w="1425" w:type="dxa"/>
            <w:tcBorders>
              <w:left w:val="single" w:sz="18" w:space="0" w:color="auto"/>
              <w:bottom w:val="thinThickSmallGap" w:sz="18" w:space="0" w:color="auto"/>
              <w:right w:val="single" w:sz="2" w:space="0" w:color="auto"/>
            </w:tcBorders>
          </w:tcPr>
          <w:p w14:paraId="28CDC934" w14:textId="77777777" w:rsidR="008356DB" w:rsidRPr="00537498" w:rsidRDefault="008356DB" w:rsidP="00EF4C79">
            <w:pPr>
              <w:keepNext/>
              <w:keepLines/>
              <w:jc w:val="right"/>
              <w:rPr>
                <w:rFonts w:ascii="Times New Roman" w:hAnsi="Times New Roman" w:cs="Times New Roman"/>
              </w:rPr>
            </w:pPr>
            <w:r w:rsidRPr="00537498">
              <w:rPr>
                <w:rFonts w:ascii="Times New Roman" w:hAnsi="Times New Roman" w:cs="Times New Roman"/>
              </w:rPr>
              <w:t>227</w:t>
            </w:r>
          </w:p>
        </w:tc>
        <w:tc>
          <w:tcPr>
            <w:tcW w:w="1527" w:type="dxa"/>
            <w:tcBorders>
              <w:left w:val="single" w:sz="2" w:space="0" w:color="auto"/>
              <w:bottom w:val="thinThickSmallGap" w:sz="18" w:space="0" w:color="auto"/>
              <w:right w:val="single" w:sz="18" w:space="0" w:color="auto"/>
            </w:tcBorders>
          </w:tcPr>
          <w:p w14:paraId="79AC865C" w14:textId="77777777" w:rsidR="008356DB" w:rsidRPr="00537498" w:rsidRDefault="008356DB" w:rsidP="00EF4C79">
            <w:pPr>
              <w:keepNext/>
              <w:keepLines/>
              <w:jc w:val="right"/>
              <w:rPr>
                <w:rFonts w:ascii="Times New Roman" w:hAnsi="Times New Roman" w:cs="Times New Roman"/>
              </w:rPr>
            </w:pPr>
            <w:r w:rsidRPr="00537498">
              <w:rPr>
                <w:rFonts w:ascii="Times New Roman" w:hAnsi="Times New Roman" w:cs="Times New Roman"/>
              </w:rPr>
              <w:t>1.7%</w:t>
            </w:r>
          </w:p>
        </w:tc>
        <w:tc>
          <w:tcPr>
            <w:tcW w:w="1553" w:type="dxa"/>
            <w:tcBorders>
              <w:left w:val="single" w:sz="18" w:space="0" w:color="auto"/>
              <w:bottom w:val="thinThickSmallGap" w:sz="18" w:space="0" w:color="auto"/>
              <w:right w:val="single" w:sz="2" w:space="0" w:color="auto"/>
            </w:tcBorders>
          </w:tcPr>
          <w:p w14:paraId="6AAB79A5" w14:textId="77777777" w:rsidR="008356DB" w:rsidRPr="00537498" w:rsidRDefault="008356DB" w:rsidP="00EF4C79">
            <w:pPr>
              <w:keepNext/>
              <w:keepLines/>
              <w:jc w:val="right"/>
              <w:rPr>
                <w:rFonts w:ascii="Times New Roman" w:hAnsi="Times New Roman" w:cs="Times New Roman"/>
              </w:rPr>
            </w:pPr>
            <w:r w:rsidRPr="00537498">
              <w:rPr>
                <w:rFonts w:ascii="Times New Roman" w:hAnsi="Times New Roman" w:cs="Times New Roman"/>
              </w:rPr>
              <w:t>105</w:t>
            </w:r>
          </w:p>
        </w:tc>
        <w:tc>
          <w:tcPr>
            <w:tcW w:w="1399" w:type="dxa"/>
            <w:tcBorders>
              <w:left w:val="single" w:sz="2" w:space="0" w:color="auto"/>
              <w:bottom w:val="thinThickSmallGap" w:sz="18" w:space="0" w:color="auto"/>
            </w:tcBorders>
          </w:tcPr>
          <w:p w14:paraId="4F66A374" w14:textId="77777777" w:rsidR="008356DB" w:rsidRPr="00933FD2" w:rsidRDefault="008356DB" w:rsidP="00EF4C79">
            <w:pPr>
              <w:keepNext/>
              <w:keepLines/>
              <w:jc w:val="right"/>
              <w:rPr>
                <w:rFonts w:ascii="Times New Roman" w:hAnsi="Times New Roman" w:cs="Times New Roman"/>
              </w:rPr>
            </w:pPr>
            <w:r w:rsidRPr="00933FD2">
              <w:rPr>
                <w:rFonts w:ascii="Times New Roman" w:hAnsi="Times New Roman" w:cs="Times New Roman"/>
              </w:rPr>
              <w:t>1.25%</w:t>
            </w:r>
          </w:p>
        </w:tc>
      </w:tr>
      <w:tr w:rsidR="00FD1BFB" w:rsidRPr="00537498" w14:paraId="73D8211C" w14:textId="77777777" w:rsidTr="00FD1BFB">
        <w:tc>
          <w:tcPr>
            <w:tcW w:w="2952" w:type="dxa"/>
            <w:tcBorders>
              <w:top w:val="thinThickSmallGap" w:sz="18" w:space="0" w:color="auto"/>
              <w:right w:val="single" w:sz="18" w:space="0" w:color="auto"/>
            </w:tcBorders>
          </w:tcPr>
          <w:p w14:paraId="19735471" w14:textId="5DCE70BC" w:rsidR="00511179" w:rsidRPr="00B9288D" w:rsidRDefault="00511179" w:rsidP="00EF4C79">
            <w:pPr>
              <w:keepNext/>
              <w:keepLines/>
              <w:spacing w:before="200"/>
              <w:outlineLvl w:val="1"/>
              <w:rPr>
                <w:rFonts w:ascii="Times New Roman" w:hAnsi="Times New Roman" w:cs="Times New Roman"/>
                <w:b/>
              </w:rPr>
            </w:pPr>
            <w:r>
              <w:rPr>
                <w:rFonts w:ascii="Times New Roman" w:hAnsi="Times New Roman" w:cs="Times New Roman"/>
                <w:b/>
              </w:rPr>
              <w:t>Total</w:t>
            </w:r>
          </w:p>
        </w:tc>
        <w:tc>
          <w:tcPr>
            <w:tcW w:w="1425" w:type="dxa"/>
            <w:tcBorders>
              <w:top w:val="thinThickSmallGap" w:sz="18" w:space="0" w:color="auto"/>
              <w:left w:val="single" w:sz="18" w:space="0" w:color="auto"/>
              <w:right w:val="single" w:sz="2" w:space="0" w:color="auto"/>
            </w:tcBorders>
          </w:tcPr>
          <w:p w14:paraId="787B39DB" w14:textId="05041108" w:rsidR="00511179" w:rsidRPr="00537498" w:rsidRDefault="00511179" w:rsidP="00EF4C79">
            <w:pPr>
              <w:keepNext/>
              <w:keepLines/>
              <w:jc w:val="right"/>
              <w:rPr>
                <w:rFonts w:ascii="Times New Roman" w:hAnsi="Times New Roman" w:cs="Times New Roman"/>
              </w:rPr>
            </w:pPr>
            <w:r>
              <w:rPr>
                <w:rFonts w:ascii="Times New Roman" w:hAnsi="Times New Roman" w:cs="Times New Roman"/>
              </w:rPr>
              <w:t>13,359</w:t>
            </w:r>
          </w:p>
        </w:tc>
        <w:tc>
          <w:tcPr>
            <w:tcW w:w="1527" w:type="dxa"/>
            <w:tcBorders>
              <w:top w:val="thinThickSmallGap" w:sz="18" w:space="0" w:color="auto"/>
              <w:left w:val="single" w:sz="2" w:space="0" w:color="auto"/>
              <w:right w:val="single" w:sz="18" w:space="0" w:color="auto"/>
            </w:tcBorders>
          </w:tcPr>
          <w:p w14:paraId="2A67795A" w14:textId="77777777" w:rsidR="00511179" w:rsidRPr="00537498" w:rsidRDefault="00511179" w:rsidP="00EF4C79">
            <w:pPr>
              <w:keepNext/>
              <w:keepLines/>
              <w:jc w:val="right"/>
              <w:rPr>
                <w:rFonts w:ascii="Times New Roman" w:hAnsi="Times New Roman" w:cs="Times New Roman"/>
              </w:rPr>
            </w:pPr>
          </w:p>
        </w:tc>
        <w:tc>
          <w:tcPr>
            <w:tcW w:w="1553" w:type="dxa"/>
            <w:tcBorders>
              <w:top w:val="thinThickSmallGap" w:sz="18" w:space="0" w:color="auto"/>
              <w:left w:val="single" w:sz="18" w:space="0" w:color="auto"/>
              <w:right w:val="single" w:sz="2" w:space="0" w:color="auto"/>
            </w:tcBorders>
          </w:tcPr>
          <w:p w14:paraId="5EA72FA9" w14:textId="686D4765" w:rsidR="00511179" w:rsidRPr="00537498" w:rsidRDefault="00511179" w:rsidP="00EF4C79">
            <w:pPr>
              <w:keepNext/>
              <w:keepLines/>
              <w:jc w:val="right"/>
              <w:rPr>
                <w:rFonts w:ascii="Times New Roman" w:hAnsi="Times New Roman" w:cs="Times New Roman"/>
              </w:rPr>
            </w:pPr>
            <w:r>
              <w:rPr>
                <w:rFonts w:ascii="Times New Roman" w:hAnsi="Times New Roman" w:cs="Times New Roman"/>
              </w:rPr>
              <w:t>8,388</w:t>
            </w:r>
          </w:p>
        </w:tc>
        <w:tc>
          <w:tcPr>
            <w:tcW w:w="1399" w:type="dxa"/>
            <w:tcBorders>
              <w:top w:val="thinThickSmallGap" w:sz="18" w:space="0" w:color="auto"/>
              <w:left w:val="single" w:sz="2" w:space="0" w:color="auto"/>
            </w:tcBorders>
          </w:tcPr>
          <w:p w14:paraId="4EDC488D" w14:textId="77777777" w:rsidR="00511179" w:rsidRPr="00933FD2" w:rsidRDefault="00511179" w:rsidP="00EF4C79">
            <w:pPr>
              <w:keepNext/>
              <w:keepLines/>
              <w:jc w:val="right"/>
              <w:rPr>
                <w:rFonts w:ascii="Times New Roman" w:hAnsi="Times New Roman" w:cs="Times New Roman"/>
              </w:rPr>
            </w:pPr>
          </w:p>
        </w:tc>
      </w:tr>
    </w:tbl>
    <w:p w14:paraId="2F74DAFC" w14:textId="77777777" w:rsidR="008356DB" w:rsidRPr="00537498" w:rsidRDefault="008356DB" w:rsidP="00B9288D">
      <w:pPr>
        <w:spacing w:line="480" w:lineRule="auto"/>
        <w:rPr>
          <w:rFonts w:ascii="Times New Roman" w:hAnsi="Times New Roman" w:cs="Times New Roman"/>
        </w:rPr>
      </w:pPr>
    </w:p>
    <w:p w14:paraId="21212D6B" w14:textId="79117217" w:rsidR="008356DB" w:rsidRPr="00537498" w:rsidRDefault="00275526" w:rsidP="00556FDD">
      <w:pPr>
        <w:spacing w:line="480" w:lineRule="auto"/>
        <w:ind w:firstLine="720"/>
        <w:rPr>
          <w:rFonts w:ascii="Times New Roman" w:hAnsi="Times New Roman" w:cs="Times New Roman"/>
        </w:rPr>
      </w:pPr>
      <w:r w:rsidRPr="0098250F">
        <w:rPr>
          <w:rFonts w:ascii="Times New Roman" w:hAnsi="Times New Roman" w:cs="Times New Roman"/>
        </w:rPr>
        <w:t xml:space="preserve">Our estimate of </w:t>
      </w:r>
      <w:r w:rsidR="006A294E">
        <w:rPr>
          <w:rFonts w:ascii="Times New Roman" w:hAnsi="Times New Roman" w:cs="Times New Roman"/>
        </w:rPr>
        <w:t>i</w:t>
      </w:r>
      <w:r w:rsidRPr="0098250F">
        <w:rPr>
          <w:rFonts w:ascii="Times New Roman" w:hAnsi="Times New Roman" w:cs="Times New Roman"/>
        </w:rPr>
        <w:t xml:space="preserve">ndividual </w:t>
      </w:r>
      <w:r w:rsidR="00AA091B">
        <w:rPr>
          <w:rFonts w:ascii="Times New Roman" w:hAnsi="Times New Roman" w:cs="Times New Roman"/>
        </w:rPr>
        <w:t>chapter</w:t>
      </w:r>
      <w:r w:rsidRPr="0098250F">
        <w:rPr>
          <w:rFonts w:ascii="Times New Roman" w:hAnsi="Times New Roman" w:cs="Times New Roman"/>
        </w:rPr>
        <w:t xml:space="preserve"> </w:t>
      </w:r>
      <w:r w:rsidR="002B1DBA">
        <w:rPr>
          <w:rFonts w:ascii="Times New Roman" w:hAnsi="Times New Roman" w:cs="Times New Roman"/>
        </w:rPr>
        <w:t xml:space="preserve">11 cases </w:t>
      </w:r>
      <w:r w:rsidRPr="0098250F">
        <w:rPr>
          <w:rFonts w:ascii="Times New Roman" w:hAnsi="Times New Roman" w:cs="Times New Roman"/>
        </w:rPr>
        <w:t xml:space="preserve">is a little higher than that </w:t>
      </w:r>
      <w:r w:rsidR="00027BB7">
        <w:rPr>
          <w:rFonts w:ascii="Times New Roman" w:hAnsi="Times New Roman" w:cs="Times New Roman"/>
        </w:rPr>
        <w:t>found</w:t>
      </w:r>
      <w:r w:rsidRPr="0098250F">
        <w:rPr>
          <w:rFonts w:ascii="Times New Roman" w:hAnsi="Times New Roman" w:cs="Times New Roman"/>
        </w:rPr>
        <w:t xml:space="preserve"> by Harvard’s Bankruptcy Data Project</w:t>
      </w:r>
      <w:r w:rsidR="003D5781">
        <w:rPr>
          <w:rFonts w:ascii="Times New Roman" w:hAnsi="Times New Roman" w:cs="Times New Roman"/>
        </w:rPr>
        <w:t xml:space="preserve"> for 2010</w:t>
      </w:r>
      <w:r w:rsidR="00556FDD">
        <w:rPr>
          <w:rFonts w:ascii="Times New Roman" w:hAnsi="Times New Roman" w:cs="Times New Roman"/>
        </w:rPr>
        <w:t>.</w:t>
      </w:r>
      <w:r w:rsidR="002F573D" w:rsidRPr="0098250F">
        <w:rPr>
          <w:rStyle w:val="FootnoteReference"/>
          <w:rFonts w:ascii="Times New Roman" w:hAnsi="Times New Roman" w:cs="Times New Roman"/>
        </w:rPr>
        <w:footnoteReference w:id="45"/>
      </w:r>
      <w:r w:rsidR="00556FDD">
        <w:rPr>
          <w:rFonts w:ascii="Times New Roman" w:hAnsi="Times New Roman" w:cs="Times New Roman"/>
        </w:rPr>
        <w:t xml:space="preserve"> (The </w:t>
      </w:r>
      <w:r w:rsidR="00FD1BFB">
        <w:rPr>
          <w:rFonts w:ascii="Times New Roman" w:hAnsi="Times New Roman" w:cs="Times New Roman"/>
        </w:rPr>
        <w:t>P</w:t>
      </w:r>
      <w:r w:rsidR="003D5781">
        <w:rPr>
          <w:rFonts w:ascii="Times New Roman" w:hAnsi="Times New Roman" w:cs="Times New Roman"/>
        </w:rPr>
        <w:t xml:space="preserve">roject </w:t>
      </w:r>
      <w:r w:rsidR="00132831">
        <w:rPr>
          <w:rFonts w:ascii="Times New Roman" w:hAnsi="Times New Roman" w:cs="Times New Roman"/>
        </w:rPr>
        <w:t xml:space="preserve">did not </w:t>
      </w:r>
      <w:r w:rsidR="003D5781">
        <w:rPr>
          <w:rFonts w:ascii="Times New Roman" w:hAnsi="Times New Roman" w:cs="Times New Roman"/>
        </w:rPr>
        <w:t>gather data for 2013)</w:t>
      </w:r>
      <w:r w:rsidRPr="0098250F">
        <w:rPr>
          <w:rFonts w:ascii="Times New Roman" w:hAnsi="Times New Roman" w:cs="Times New Roman"/>
        </w:rPr>
        <w:t xml:space="preserve">. </w:t>
      </w:r>
      <w:r w:rsidR="00FD1BFB">
        <w:rPr>
          <w:rFonts w:ascii="Times New Roman" w:hAnsi="Times New Roman" w:cs="Times New Roman"/>
        </w:rPr>
        <w:t xml:space="preserve">The solid bold line in </w:t>
      </w:r>
      <w:r w:rsidRPr="0098250F">
        <w:rPr>
          <w:rFonts w:ascii="Times New Roman" w:hAnsi="Times New Roman" w:cs="Times New Roman"/>
        </w:rPr>
        <w:t xml:space="preserve">Figure 1 shows </w:t>
      </w:r>
      <w:r w:rsidR="002F573D">
        <w:rPr>
          <w:rFonts w:ascii="Times New Roman" w:hAnsi="Times New Roman" w:cs="Times New Roman"/>
        </w:rPr>
        <w:t xml:space="preserve">the Project’s </w:t>
      </w:r>
      <w:r w:rsidRPr="0098250F">
        <w:rPr>
          <w:rFonts w:ascii="Times New Roman" w:hAnsi="Times New Roman" w:cs="Times New Roman"/>
        </w:rPr>
        <w:t xml:space="preserve">estimate of the number of </w:t>
      </w:r>
      <w:r w:rsidR="006A294E">
        <w:rPr>
          <w:rFonts w:ascii="Times New Roman" w:hAnsi="Times New Roman" w:cs="Times New Roman"/>
        </w:rPr>
        <w:t>i</w:t>
      </w:r>
      <w:r w:rsidRPr="0098250F">
        <w:rPr>
          <w:rFonts w:ascii="Times New Roman" w:hAnsi="Times New Roman" w:cs="Times New Roman"/>
        </w:rPr>
        <w:t xml:space="preserve">ndividual </w:t>
      </w:r>
      <w:r w:rsidR="00AA091B">
        <w:rPr>
          <w:rFonts w:ascii="Times New Roman" w:hAnsi="Times New Roman" w:cs="Times New Roman"/>
        </w:rPr>
        <w:t>chapter</w:t>
      </w:r>
      <w:r w:rsidRPr="0098250F">
        <w:rPr>
          <w:rFonts w:ascii="Times New Roman" w:hAnsi="Times New Roman" w:cs="Times New Roman"/>
        </w:rPr>
        <w:t xml:space="preserve"> </w:t>
      </w:r>
      <w:r w:rsidR="002B1DBA">
        <w:rPr>
          <w:rFonts w:ascii="Times New Roman" w:hAnsi="Times New Roman" w:cs="Times New Roman"/>
        </w:rPr>
        <w:t xml:space="preserve">11 cases </w:t>
      </w:r>
      <w:r w:rsidRPr="0098250F">
        <w:rPr>
          <w:rFonts w:ascii="Times New Roman" w:hAnsi="Times New Roman" w:cs="Times New Roman"/>
        </w:rPr>
        <w:t xml:space="preserve">across time </w:t>
      </w:r>
      <w:r w:rsidR="00FD1BFB">
        <w:rPr>
          <w:rFonts w:ascii="Times New Roman" w:hAnsi="Times New Roman" w:cs="Times New Roman"/>
        </w:rPr>
        <w:t>while the dashed bold line shows</w:t>
      </w:r>
      <w:r w:rsidRPr="0098250F">
        <w:rPr>
          <w:rFonts w:ascii="Times New Roman" w:hAnsi="Times New Roman" w:cs="Times New Roman"/>
        </w:rPr>
        <w:t xml:space="preserve"> the </w:t>
      </w:r>
      <w:r w:rsidR="004F27BD">
        <w:rPr>
          <w:rFonts w:ascii="Times New Roman" w:hAnsi="Times New Roman" w:cs="Times New Roman"/>
        </w:rPr>
        <w:t>percentage</w:t>
      </w:r>
      <w:r w:rsidRPr="0098250F">
        <w:rPr>
          <w:rFonts w:ascii="Times New Roman" w:hAnsi="Times New Roman" w:cs="Times New Roman"/>
        </w:rPr>
        <w:t xml:space="preserve"> of </w:t>
      </w:r>
      <w:r w:rsidR="00AA091B">
        <w:rPr>
          <w:rFonts w:ascii="Times New Roman" w:hAnsi="Times New Roman" w:cs="Times New Roman"/>
        </w:rPr>
        <w:t>chapter</w:t>
      </w:r>
      <w:r w:rsidRPr="0098250F">
        <w:rPr>
          <w:rFonts w:ascii="Times New Roman" w:hAnsi="Times New Roman" w:cs="Times New Roman"/>
        </w:rPr>
        <w:t xml:space="preserve"> </w:t>
      </w:r>
      <w:r w:rsidR="002B1DBA">
        <w:rPr>
          <w:rFonts w:ascii="Times New Roman" w:hAnsi="Times New Roman" w:cs="Times New Roman"/>
        </w:rPr>
        <w:t xml:space="preserve">11 cases </w:t>
      </w:r>
      <w:r w:rsidRPr="0098250F">
        <w:rPr>
          <w:rFonts w:ascii="Times New Roman" w:hAnsi="Times New Roman" w:cs="Times New Roman"/>
        </w:rPr>
        <w:t>filed by individuals</w:t>
      </w:r>
      <w:r w:rsidR="00FD1BFB">
        <w:rPr>
          <w:rFonts w:ascii="Times New Roman" w:hAnsi="Times New Roman" w:cs="Times New Roman"/>
        </w:rPr>
        <w:t>.</w:t>
      </w:r>
      <w:r w:rsidRPr="0098250F">
        <w:rPr>
          <w:rFonts w:ascii="Times New Roman" w:hAnsi="Times New Roman" w:cs="Times New Roman"/>
        </w:rPr>
        <w:t xml:space="preserve"> </w:t>
      </w:r>
      <w:r w:rsidR="008E6A2B">
        <w:rPr>
          <w:rFonts w:ascii="Times New Roman" w:hAnsi="Times New Roman" w:cs="Times New Roman"/>
        </w:rPr>
        <w:t>The difference between our estimate of chapter 11 filings and that of the Project likely results from the fact that</w:t>
      </w:r>
      <w:r w:rsidR="00AF57A7">
        <w:rPr>
          <w:rFonts w:ascii="Times New Roman" w:hAnsi="Times New Roman" w:cs="Times New Roman"/>
        </w:rPr>
        <w:t xml:space="preserve"> </w:t>
      </w:r>
      <w:r w:rsidR="008E6A2B">
        <w:rPr>
          <w:rFonts w:ascii="Times New Roman" w:hAnsi="Times New Roman" w:cs="Times New Roman"/>
        </w:rPr>
        <w:t>w</w:t>
      </w:r>
      <w:r w:rsidRPr="0098250F">
        <w:rPr>
          <w:rFonts w:ascii="Times New Roman" w:hAnsi="Times New Roman" w:cs="Times New Roman"/>
        </w:rPr>
        <w:t>e include</w:t>
      </w:r>
      <w:r w:rsidR="008E6A2B">
        <w:rPr>
          <w:rFonts w:ascii="Times New Roman" w:hAnsi="Times New Roman" w:cs="Times New Roman"/>
        </w:rPr>
        <w:t>d</w:t>
      </w:r>
      <w:r w:rsidRPr="0098250F">
        <w:rPr>
          <w:rFonts w:ascii="Times New Roman" w:hAnsi="Times New Roman" w:cs="Times New Roman"/>
        </w:rPr>
        <w:t xml:space="preserve"> a case as an </w:t>
      </w:r>
      <w:r w:rsidR="006A294E">
        <w:rPr>
          <w:rFonts w:ascii="Times New Roman" w:hAnsi="Times New Roman" w:cs="Times New Roman"/>
        </w:rPr>
        <w:t>i</w:t>
      </w:r>
      <w:r w:rsidRPr="003D5781">
        <w:rPr>
          <w:rFonts w:ascii="Times New Roman" w:hAnsi="Times New Roman" w:cs="Times New Roman"/>
        </w:rPr>
        <w:t xml:space="preserve">ndividual </w:t>
      </w:r>
      <w:r w:rsidR="00AA091B">
        <w:rPr>
          <w:rFonts w:ascii="Times New Roman" w:hAnsi="Times New Roman" w:cs="Times New Roman"/>
        </w:rPr>
        <w:t>chapter</w:t>
      </w:r>
      <w:r w:rsidRPr="003D5781">
        <w:rPr>
          <w:rFonts w:ascii="Times New Roman" w:hAnsi="Times New Roman" w:cs="Times New Roman"/>
        </w:rPr>
        <w:t xml:space="preserve"> 11 if either its current or previous chapter was </w:t>
      </w:r>
      <w:r w:rsidR="00AA091B">
        <w:rPr>
          <w:rFonts w:ascii="Times New Roman" w:hAnsi="Times New Roman" w:cs="Times New Roman"/>
        </w:rPr>
        <w:t>chapter</w:t>
      </w:r>
      <w:r w:rsidRPr="003D5781">
        <w:rPr>
          <w:rFonts w:ascii="Times New Roman" w:hAnsi="Times New Roman" w:cs="Times New Roman"/>
        </w:rPr>
        <w:t xml:space="preserve"> 11</w:t>
      </w:r>
      <w:r w:rsidR="005543D8">
        <w:rPr>
          <w:rFonts w:ascii="Times New Roman" w:hAnsi="Times New Roman" w:cs="Times New Roman"/>
        </w:rPr>
        <w:t>.</w:t>
      </w:r>
      <w:r w:rsidRPr="003D5781">
        <w:rPr>
          <w:rFonts w:ascii="Times New Roman" w:hAnsi="Times New Roman" w:cs="Times New Roman"/>
        </w:rPr>
        <w:t xml:space="preserve"> Harvard’s Bankruptcy Data Project look</w:t>
      </w:r>
      <w:r w:rsidR="005543D8">
        <w:rPr>
          <w:rFonts w:ascii="Times New Roman" w:hAnsi="Times New Roman" w:cs="Times New Roman"/>
        </w:rPr>
        <w:t>ed</w:t>
      </w:r>
      <w:r w:rsidRPr="003D5781">
        <w:rPr>
          <w:rFonts w:ascii="Times New Roman" w:hAnsi="Times New Roman" w:cs="Times New Roman"/>
        </w:rPr>
        <w:t xml:space="preserve"> only at the initial chapter</w:t>
      </w:r>
      <w:r w:rsidR="005543D8">
        <w:rPr>
          <w:rFonts w:ascii="Times New Roman" w:hAnsi="Times New Roman" w:cs="Times New Roman"/>
        </w:rPr>
        <w:t xml:space="preserve">, thereby missing </w:t>
      </w:r>
      <w:r w:rsidR="008E6A2B">
        <w:rPr>
          <w:rFonts w:ascii="Times New Roman" w:hAnsi="Times New Roman" w:cs="Times New Roman"/>
        </w:rPr>
        <w:t xml:space="preserve">individual </w:t>
      </w:r>
      <w:r w:rsidR="005543D8">
        <w:rPr>
          <w:rFonts w:ascii="Times New Roman" w:hAnsi="Times New Roman" w:cs="Times New Roman"/>
        </w:rPr>
        <w:t xml:space="preserve">cases that converted to chapter 11 from </w:t>
      </w:r>
      <w:r w:rsidR="00EE2985">
        <w:rPr>
          <w:rFonts w:ascii="Times New Roman" w:hAnsi="Times New Roman" w:cs="Times New Roman"/>
        </w:rPr>
        <w:t xml:space="preserve">either </w:t>
      </w:r>
      <w:r w:rsidR="005543D8">
        <w:rPr>
          <w:rFonts w:ascii="Times New Roman" w:hAnsi="Times New Roman" w:cs="Times New Roman"/>
        </w:rPr>
        <w:t>chapter 7 or 13</w:t>
      </w:r>
      <w:r w:rsidRPr="003D5781">
        <w:rPr>
          <w:rFonts w:ascii="Times New Roman" w:hAnsi="Times New Roman" w:cs="Times New Roman"/>
        </w:rPr>
        <w:t>.</w:t>
      </w:r>
      <w:r w:rsidR="008E6A2B">
        <w:rPr>
          <w:rFonts w:ascii="Times New Roman" w:hAnsi="Times New Roman" w:cs="Times New Roman"/>
        </w:rPr>
        <w:t xml:space="preserve"> </w:t>
      </w:r>
    </w:p>
    <w:p w14:paraId="10D81F9D" w14:textId="77777777" w:rsidR="008356DB" w:rsidRPr="00537498" w:rsidRDefault="008356DB" w:rsidP="008356DB">
      <w:pPr>
        <w:rPr>
          <w:rFonts w:ascii="Times New Roman" w:hAnsi="Times New Roman" w:cs="Times New Roman"/>
        </w:rPr>
      </w:pPr>
    </w:p>
    <w:p w14:paraId="4E419749" w14:textId="77777777" w:rsidR="008356DB" w:rsidRPr="00537498" w:rsidRDefault="008356DB" w:rsidP="008356DB">
      <w:pPr>
        <w:pStyle w:val="ListParagraph"/>
        <w:spacing w:line="480" w:lineRule="auto"/>
        <w:ind w:left="1080"/>
        <w:rPr>
          <w:rFonts w:ascii="Times New Roman" w:hAnsi="Times New Roman" w:cs="Times New Roman"/>
        </w:rPr>
      </w:pPr>
      <w:r w:rsidRPr="00537498">
        <w:rPr>
          <w:rFonts w:ascii="Times New Roman" w:hAnsi="Times New Roman" w:cs="Times New Roman"/>
          <w:noProof/>
        </w:rPr>
        <w:drawing>
          <wp:inline distT="0" distB="0" distL="0" distR="0" wp14:anchorId="03451A1F" wp14:editId="44FEF4FF">
            <wp:extent cx="4754880" cy="3200400"/>
            <wp:effectExtent l="0" t="0" r="762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C7CE29" w14:textId="54F61999" w:rsidR="00D929F8" w:rsidRPr="00FA5A94" w:rsidRDefault="00D929F8" w:rsidP="00FA5A94">
      <w:pPr>
        <w:spacing w:line="480" w:lineRule="auto"/>
        <w:rPr>
          <w:rFonts w:ascii="Times New Roman" w:hAnsi="Times New Roman" w:cs="Times New Roman"/>
          <w:i/>
        </w:rPr>
      </w:pPr>
      <w:r>
        <w:rPr>
          <w:rFonts w:ascii="Times New Roman" w:hAnsi="Times New Roman" w:cs="Times New Roman"/>
          <w:i/>
        </w:rPr>
        <w:t>2.</w:t>
      </w:r>
      <w:r>
        <w:rPr>
          <w:rFonts w:ascii="Times New Roman" w:hAnsi="Times New Roman" w:cs="Times New Roman"/>
          <w:i/>
        </w:rPr>
        <w:tab/>
        <w:t>Conversions</w:t>
      </w:r>
    </w:p>
    <w:p w14:paraId="7B606B76" w14:textId="1E47695A" w:rsidR="00136DD8" w:rsidRDefault="00136DD8" w:rsidP="00B9288D">
      <w:pPr>
        <w:spacing w:line="480" w:lineRule="auto"/>
        <w:rPr>
          <w:rFonts w:ascii="Times New Roman" w:hAnsi="Times New Roman" w:cs="Times New Roman"/>
        </w:rPr>
      </w:pPr>
      <w:r w:rsidRPr="006A27BF">
        <w:rPr>
          <w:rFonts w:ascii="Times New Roman" w:hAnsi="Times New Roman" w:cs="Times New Roman"/>
        </w:rPr>
        <w:tab/>
        <w:t>Cases are often converted from one chapter to another,</w:t>
      </w:r>
      <w:r w:rsidRPr="006A27BF">
        <w:rPr>
          <w:rStyle w:val="FootnoteReference"/>
          <w:rFonts w:ascii="Times New Roman" w:hAnsi="Times New Roman" w:cs="Times New Roman"/>
        </w:rPr>
        <w:footnoteReference w:id="46"/>
      </w:r>
      <w:r w:rsidRPr="006A27BF">
        <w:rPr>
          <w:rFonts w:ascii="Times New Roman" w:hAnsi="Times New Roman" w:cs="Times New Roman"/>
        </w:rPr>
        <w:t xml:space="preserve"> but the rules differ depending upon whether conversion is sought by the debtor or by another party, and upon the chapters involved.</w:t>
      </w:r>
      <w:r w:rsidR="00511179">
        <w:rPr>
          <w:rFonts w:ascii="Times New Roman" w:hAnsi="Times New Roman" w:cs="Times New Roman"/>
        </w:rPr>
        <w:t xml:space="preserve"> </w:t>
      </w:r>
      <w:r w:rsidRPr="006A27BF">
        <w:rPr>
          <w:rFonts w:ascii="Times New Roman" w:hAnsi="Times New Roman" w:cs="Times New Roman"/>
        </w:rPr>
        <w:t>A debtor may convert into chapter 11 from either chapter 7</w:t>
      </w:r>
      <w:r w:rsidRPr="006A27BF">
        <w:rPr>
          <w:rStyle w:val="FootnoteReference"/>
          <w:rFonts w:ascii="Times New Roman" w:hAnsi="Times New Roman" w:cs="Times New Roman"/>
        </w:rPr>
        <w:footnoteReference w:id="47"/>
      </w:r>
      <w:r w:rsidRPr="006A27BF">
        <w:rPr>
          <w:rFonts w:ascii="Times New Roman" w:hAnsi="Times New Roman" w:cs="Times New Roman"/>
        </w:rPr>
        <w:t xml:space="preserve"> or chapter 13.</w:t>
      </w:r>
      <w:r w:rsidRPr="006A27BF">
        <w:rPr>
          <w:rStyle w:val="FootnoteReference"/>
          <w:rFonts w:ascii="Times New Roman" w:hAnsi="Times New Roman" w:cs="Times New Roman"/>
        </w:rPr>
        <w:footnoteReference w:id="48"/>
      </w:r>
      <w:r w:rsidRPr="006A27BF">
        <w:rPr>
          <w:rFonts w:ascii="Times New Roman" w:hAnsi="Times New Roman" w:cs="Times New Roman"/>
        </w:rPr>
        <w:t xml:space="preserve">  </w:t>
      </w:r>
      <w:r>
        <w:rPr>
          <w:rFonts w:ascii="Times New Roman" w:hAnsi="Times New Roman" w:cs="Times New Roman"/>
        </w:rPr>
        <w:t>Interestingly, no statutory provision permits conversion from chapter 12 to chapter 11,</w:t>
      </w:r>
      <w:r>
        <w:rPr>
          <w:rStyle w:val="FootnoteReference"/>
          <w:rFonts w:ascii="Times New Roman" w:hAnsi="Times New Roman" w:cs="Times New Roman"/>
        </w:rPr>
        <w:footnoteReference w:id="49"/>
      </w:r>
      <w:r>
        <w:rPr>
          <w:rFonts w:ascii="Times New Roman" w:hAnsi="Times New Roman" w:cs="Times New Roman"/>
        </w:rPr>
        <w:t xml:space="preserve"> but most courts permit such a conversion under appropriate circumstances.</w:t>
      </w:r>
      <w:r>
        <w:rPr>
          <w:rStyle w:val="FootnoteReference"/>
          <w:rFonts w:ascii="Times New Roman" w:hAnsi="Times New Roman" w:cs="Times New Roman"/>
        </w:rPr>
        <w:footnoteReference w:id="50"/>
      </w:r>
      <w:r>
        <w:rPr>
          <w:rFonts w:ascii="Times New Roman" w:hAnsi="Times New Roman" w:cs="Times New Roman"/>
        </w:rPr>
        <w:t xml:space="preserve"> </w:t>
      </w:r>
    </w:p>
    <w:p w14:paraId="3D0D5136" w14:textId="2F6F4693" w:rsidR="002F573D" w:rsidRDefault="00136DD8" w:rsidP="00511179">
      <w:pPr>
        <w:spacing w:line="480" w:lineRule="auto"/>
        <w:ind w:firstLine="720"/>
        <w:rPr>
          <w:rFonts w:ascii="Times New Roman" w:hAnsi="Times New Roman" w:cs="Times New Roman"/>
        </w:rPr>
      </w:pPr>
      <w:r w:rsidRPr="006A27BF">
        <w:rPr>
          <w:rFonts w:ascii="Times New Roman" w:hAnsi="Times New Roman" w:cs="Times New Roman"/>
        </w:rPr>
        <w:t>A debtor may also convert out of chapter 11 into</w:t>
      </w:r>
      <w:r>
        <w:rPr>
          <w:rFonts w:ascii="Times New Roman" w:hAnsi="Times New Roman" w:cs="Times New Roman"/>
        </w:rPr>
        <w:t xml:space="preserve"> either c</w:t>
      </w:r>
      <w:r w:rsidRPr="006A27BF">
        <w:rPr>
          <w:rFonts w:ascii="Times New Roman" w:hAnsi="Times New Roman" w:cs="Times New Roman"/>
        </w:rPr>
        <w:t>hapter 7, 12 or 13.</w:t>
      </w:r>
      <w:r w:rsidRPr="006A27BF">
        <w:rPr>
          <w:rStyle w:val="FootnoteReference"/>
          <w:rFonts w:ascii="Times New Roman" w:hAnsi="Times New Roman" w:cs="Times New Roman"/>
        </w:rPr>
        <w:footnoteReference w:id="51"/>
      </w:r>
      <w:r w:rsidRPr="006A27BF">
        <w:rPr>
          <w:rFonts w:ascii="Times New Roman" w:hAnsi="Times New Roman" w:cs="Times New Roman"/>
        </w:rPr>
        <w:t xml:space="preserve">  The right to convert to </w:t>
      </w:r>
      <w:r>
        <w:rPr>
          <w:rFonts w:ascii="Times New Roman" w:hAnsi="Times New Roman" w:cs="Times New Roman"/>
        </w:rPr>
        <w:t>c</w:t>
      </w:r>
      <w:r w:rsidRPr="006A27BF">
        <w:rPr>
          <w:rFonts w:ascii="Times New Roman" w:hAnsi="Times New Roman" w:cs="Times New Roman"/>
        </w:rPr>
        <w:t>hapter 7 is absolute if the case was filed voluntarily and no trustee has been appointed.</w:t>
      </w:r>
      <w:r w:rsidR="0047305B">
        <w:rPr>
          <w:rStyle w:val="FootnoteReference"/>
          <w:rFonts w:ascii="Times New Roman" w:hAnsi="Times New Roman" w:cs="Times New Roman"/>
        </w:rPr>
        <w:footnoteReference w:id="52"/>
      </w:r>
      <w:r w:rsidRPr="006A27BF">
        <w:rPr>
          <w:rFonts w:ascii="Times New Roman" w:hAnsi="Times New Roman" w:cs="Times New Roman"/>
        </w:rPr>
        <w:t xml:space="preserve"> Upon the request of a party in interest, the court may convert a </w:t>
      </w:r>
      <w:r>
        <w:rPr>
          <w:rFonts w:ascii="Times New Roman" w:hAnsi="Times New Roman" w:cs="Times New Roman"/>
        </w:rPr>
        <w:t>c</w:t>
      </w:r>
      <w:r w:rsidRPr="006A27BF">
        <w:rPr>
          <w:rFonts w:ascii="Times New Roman" w:hAnsi="Times New Roman" w:cs="Times New Roman"/>
        </w:rPr>
        <w:t xml:space="preserve">hapter 11 case to </w:t>
      </w:r>
      <w:r>
        <w:rPr>
          <w:rFonts w:ascii="Times New Roman" w:hAnsi="Times New Roman" w:cs="Times New Roman"/>
        </w:rPr>
        <w:t>c</w:t>
      </w:r>
      <w:r w:rsidRPr="006A27BF">
        <w:rPr>
          <w:rFonts w:ascii="Times New Roman" w:hAnsi="Times New Roman" w:cs="Times New Roman"/>
        </w:rPr>
        <w:t>hapter 7 for cause, unless appointment of a trustee or examiner would better serve the best interest</w:t>
      </w:r>
      <w:r w:rsidR="002F573D">
        <w:rPr>
          <w:rFonts w:ascii="Times New Roman" w:hAnsi="Times New Roman" w:cs="Times New Roman"/>
        </w:rPr>
        <w:t>s</w:t>
      </w:r>
      <w:r w:rsidRPr="006A27BF">
        <w:rPr>
          <w:rFonts w:ascii="Times New Roman" w:hAnsi="Times New Roman" w:cs="Times New Roman"/>
        </w:rPr>
        <w:t xml:space="preserve"> of creditors.</w:t>
      </w:r>
      <w:r w:rsidRPr="006A27BF">
        <w:rPr>
          <w:rStyle w:val="FootnoteReference"/>
          <w:rFonts w:ascii="Times New Roman" w:hAnsi="Times New Roman" w:cs="Times New Roman"/>
        </w:rPr>
        <w:footnoteReference w:id="53"/>
      </w:r>
      <w:r w:rsidRPr="006A27BF">
        <w:rPr>
          <w:rFonts w:ascii="Times New Roman" w:hAnsi="Times New Roman" w:cs="Times New Roman"/>
        </w:rPr>
        <w:t xml:space="preserve"> </w:t>
      </w:r>
      <w:r w:rsidR="0047305B">
        <w:rPr>
          <w:rFonts w:ascii="Times New Roman" w:hAnsi="Times New Roman" w:cs="Times New Roman"/>
        </w:rPr>
        <w:t>C</w:t>
      </w:r>
      <w:r w:rsidRPr="006A27BF">
        <w:rPr>
          <w:rFonts w:ascii="Times New Roman" w:hAnsi="Times New Roman" w:cs="Times New Roman"/>
        </w:rPr>
        <w:t xml:space="preserve">onversion is </w:t>
      </w:r>
      <w:r w:rsidR="0047305B">
        <w:rPr>
          <w:rFonts w:ascii="Times New Roman" w:hAnsi="Times New Roman" w:cs="Times New Roman"/>
        </w:rPr>
        <w:t xml:space="preserve">not </w:t>
      </w:r>
      <w:r w:rsidRPr="006A27BF">
        <w:rPr>
          <w:rFonts w:ascii="Times New Roman" w:hAnsi="Times New Roman" w:cs="Times New Roman"/>
        </w:rPr>
        <w:t>permi</w:t>
      </w:r>
      <w:r w:rsidR="0047305B">
        <w:rPr>
          <w:rFonts w:ascii="Times New Roman" w:hAnsi="Times New Roman" w:cs="Times New Roman"/>
        </w:rPr>
        <w:t>tted</w:t>
      </w:r>
      <w:r w:rsidRPr="006A27BF">
        <w:rPr>
          <w:rFonts w:ascii="Times New Roman" w:hAnsi="Times New Roman" w:cs="Times New Roman"/>
        </w:rPr>
        <w:t xml:space="preserve"> if it does not serve the best interest</w:t>
      </w:r>
      <w:r w:rsidR="002F573D">
        <w:rPr>
          <w:rFonts w:ascii="Times New Roman" w:hAnsi="Times New Roman" w:cs="Times New Roman"/>
        </w:rPr>
        <w:t>s</w:t>
      </w:r>
      <w:r w:rsidRPr="006A27BF">
        <w:rPr>
          <w:rFonts w:ascii="Times New Roman" w:hAnsi="Times New Roman" w:cs="Times New Roman"/>
        </w:rPr>
        <w:t xml:space="preserve"> of creditors</w:t>
      </w:r>
      <w:r w:rsidR="0047305B">
        <w:rPr>
          <w:rFonts w:ascii="Times New Roman" w:hAnsi="Times New Roman" w:cs="Times New Roman"/>
        </w:rPr>
        <w:t xml:space="preserve"> and</w:t>
      </w:r>
      <w:r w:rsidRPr="006A27BF">
        <w:rPr>
          <w:rFonts w:ascii="Times New Roman" w:hAnsi="Times New Roman" w:cs="Times New Roman"/>
        </w:rPr>
        <w:t xml:space="preserve"> the debtor or another party in interest establishe</w:t>
      </w:r>
      <w:r w:rsidR="0047305B">
        <w:rPr>
          <w:rFonts w:ascii="Times New Roman" w:hAnsi="Times New Roman" w:cs="Times New Roman"/>
        </w:rPr>
        <w:t>s</w:t>
      </w:r>
      <w:r w:rsidR="002F573D">
        <w:rPr>
          <w:rFonts w:ascii="Times New Roman" w:hAnsi="Times New Roman" w:cs="Times New Roman"/>
        </w:rPr>
        <w:t>, first,</w:t>
      </w:r>
      <w:r w:rsidRPr="006A27BF">
        <w:rPr>
          <w:rFonts w:ascii="Times New Roman" w:hAnsi="Times New Roman" w:cs="Times New Roman"/>
        </w:rPr>
        <w:t xml:space="preserve"> that a plan is likely to be confirmed within designated time frames and</w:t>
      </w:r>
      <w:r w:rsidR="002F573D">
        <w:rPr>
          <w:rFonts w:ascii="Times New Roman" w:hAnsi="Times New Roman" w:cs="Times New Roman"/>
        </w:rPr>
        <w:t>, second, that</w:t>
      </w:r>
      <w:r w:rsidRPr="006A27BF">
        <w:rPr>
          <w:rFonts w:ascii="Times New Roman" w:hAnsi="Times New Roman" w:cs="Times New Roman"/>
        </w:rPr>
        <w:t xml:space="preserve"> the reason for conversion includes an act or omission by the debtor that was reasonably justified and can be cured.</w:t>
      </w:r>
      <w:r w:rsidRPr="006A27BF">
        <w:rPr>
          <w:rStyle w:val="FootnoteReference"/>
          <w:rFonts w:ascii="Times New Roman" w:hAnsi="Times New Roman" w:cs="Times New Roman"/>
        </w:rPr>
        <w:footnoteReference w:id="54"/>
      </w:r>
      <w:r w:rsidR="00511179">
        <w:rPr>
          <w:rFonts w:ascii="Times New Roman" w:hAnsi="Times New Roman" w:cs="Times New Roman"/>
        </w:rPr>
        <w:t xml:space="preserve">  </w:t>
      </w:r>
    </w:p>
    <w:p w14:paraId="6F4983BB" w14:textId="089F09A4" w:rsidR="00136DD8" w:rsidRDefault="00136DD8" w:rsidP="00511179">
      <w:pPr>
        <w:spacing w:line="480" w:lineRule="auto"/>
        <w:ind w:firstLine="720"/>
        <w:rPr>
          <w:rFonts w:ascii="Times New Roman" w:hAnsi="Times New Roman" w:cs="Times New Roman"/>
        </w:rPr>
      </w:pPr>
      <w:r w:rsidRPr="006A27BF">
        <w:rPr>
          <w:rFonts w:ascii="Times New Roman" w:hAnsi="Times New Roman" w:cs="Times New Roman"/>
        </w:rPr>
        <w:t xml:space="preserve">Conversion from </w:t>
      </w:r>
      <w:r>
        <w:rPr>
          <w:rFonts w:ascii="Times New Roman" w:hAnsi="Times New Roman" w:cs="Times New Roman"/>
        </w:rPr>
        <w:t>c</w:t>
      </w:r>
      <w:r w:rsidRPr="006A27BF">
        <w:rPr>
          <w:rFonts w:ascii="Times New Roman" w:hAnsi="Times New Roman" w:cs="Times New Roman"/>
        </w:rPr>
        <w:t xml:space="preserve">hapter 11 to </w:t>
      </w:r>
      <w:r>
        <w:rPr>
          <w:rFonts w:ascii="Times New Roman" w:hAnsi="Times New Roman" w:cs="Times New Roman"/>
        </w:rPr>
        <w:t>c</w:t>
      </w:r>
      <w:r w:rsidRPr="006A27BF">
        <w:rPr>
          <w:rFonts w:ascii="Times New Roman" w:hAnsi="Times New Roman" w:cs="Times New Roman"/>
        </w:rPr>
        <w:t xml:space="preserve">hapter 13 is governed by different rules. </w:t>
      </w:r>
      <w:r w:rsidR="00AE18F5">
        <w:rPr>
          <w:rFonts w:ascii="Times New Roman" w:hAnsi="Times New Roman" w:cs="Times New Roman"/>
        </w:rPr>
        <w:t xml:space="preserve">The debtor must request conversion </w:t>
      </w:r>
      <w:r w:rsidRPr="006A27BF">
        <w:rPr>
          <w:rFonts w:ascii="Times New Roman" w:hAnsi="Times New Roman" w:cs="Times New Roman"/>
        </w:rPr>
        <w:t>before discharge</w:t>
      </w:r>
      <w:r w:rsidRPr="006A27BF">
        <w:rPr>
          <w:rStyle w:val="FootnoteReference"/>
          <w:rFonts w:ascii="Times New Roman" w:hAnsi="Times New Roman" w:cs="Times New Roman"/>
        </w:rPr>
        <w:footnoteReference w:id="55"/>
      </w:r>
      <w:r w:rsidRPr="006A27BF">
        <w:rPr>
          <w:rFonts w:ascii="Times New Roman" w:hAnsi="Times New Roman" w:cs="Times New Roman"/>
        </w:rPr>
        <w:t xml:space="preserve">—a provision with </w:t>
      </w:r>
      <w:r w:rsidR="00E35ABB">
        <w:rPr>
          <w:rFonts w:ascii="Times New Roman" w:hAnsi="Times New Roman" w:cs="Times New Roman"/>
        </w:rPr>
        <w:t xml:space="preserve">less </w:t>
      </w:r>
      <w:r w:rsidRPr="006A27BF">
        <w:rPr>
          <w:rFonts w:ascii="Times New Roman" w:hAnsi="Times New Roman" w:cs="Times New Roman"/>
        </w:rPr>
        <w:t xml:space="preserve">bite </w:t>
      </w:r>
      <w:r w:rsidR="00E35ABB">
        <w:rPr>
          <w:rFonts w:ascii="Times New Roman" w:hAnsi="Times New Roman" w:cs="Times New Roman"/>
        </w:rPr>
        <w:t xml:space="preserve">since 2005 because </w:t>
      </w:r>
      <w:r w:rsidR="00AF57A7">
        <w:rPr>
          <w:rFonts w:ascii="Times New Roman" w:hAnsi="Times New Roman" w:cs="Times New Roman"/>
        </w:rPr>
        <w:t>i</w:t>
      </w:r>
      <w:r w:rsidRPr="006A27BF">
        <w:rPr>
          <w:rFonts w:ascii="Times New Roman" w:hAnsi="Times New Roman" w:cs="Times New Roman"/>
        </w:rPr>
        <w:t xml:space="preserve">ndividual </w:t>
      </w:r>
      <w:r>
        <w:rPr>
          <w:rFonts w:ascii="Times New Roman" w:hAnsi="Times New Roman" w:cs="Times New Roman"/>
        </w:rPr>
        <w:t>c</w:t>
      </w:r>
      <w:r w:rsidRPr="006A27BF">
        <w:rPr>
          <w:rFonts w:ascii="Times New Roman" w:hAnsi="Times New Roman" w:cs="Times New Roman"/>
        </w:rPr>
        <w:t xml:space="preserve">hapter 11 debtors </w:t>
      </w:r>
      <w:r w:rsidR="0047305B">
        <w:rPr>
          <w:rFonts w:ascii="Times New Roman" w:hAnsi="Times New Roman" w:cs="Times New Roman"/>
        </w:rPr>
        <w:t xml:space="preserve">do not receive a </w:t>
      </w:r>
      <w:r w:rsidRPr="006A27BF">
        <w:rPr>
          <w:rFonts w:ascii="Times New Roman" w:hAnsi="Times New Roman" w:cs="Times New Roman"/>
        </w:rPr>
        <w:t>discharge upon confirmation of the plan.</w:t>
      </w:r>
      <w:r>
        <w:rPr>
          <w:rStyle w:val="FootnoteReference"/>
          <w:rFonts w:ascii="Times New Roman" w:hAnsi="Times New Roman" w:cs="Times New Roman"/>
        </w:rPr>
        <w:footnoteReference w:id="56"/>
      </w:r>
    </w:p>
    <w:p w14:paraId="3A833C24" w14:textId="15E6E3CD" w:rsidR="000301B6" w:rsidRPr="003D5781" w:rsidRDefault="002F573D" w:rsidP="00511179">
      <w:pPr>
        <w:spacing w:line="480" w:lineRule="auto"/>
        <w:ind w:firstLine="720"/>
        <w:rPr>
          <w:rFonts w:ascii="Times New Roman" w:hAnsi="Times New Roman" w:cs="Times New Roman"/>
        </w:rPr>
      </w:pPr>
      <w:r>
        <w:rPr>
          <w:rFonts w:ascii="Times New Roman" w:hAnsi="Times New Roman" w:cs="Times New Roman"/>
        </w:rPr>
        <w:t xml:space="preserve">The data in Table </w:t>
      </w:r>
      <w:r w:rsidR="00AE18F5">
        <w:rPr>
          <w:rFonts w:ascii="Times New Roman" w:hAnsi="Times New Roman" w:cs="Times New Roman"/>
        </w:rPr>
        <w:t>2</w:t>
      </w:r>
      <w:r>
        <w:rPr>
          <w:rFonts w:ascii="Times New Roman" w:hAnsi="Times New Roman" w:cs="Times New Roman"/>
        </w:rPr>
        <w:t xml:space="preserve"> include converted cases—</w:t>
      </w:r>
      <w:r w:rsidR="008356DB" w:rsidRPr="00537498">
        <w:rPr>
          <w:rFonts w:ascii="Times New Roman" w:hAnsi="Times New Roman" w:cs="Times New Roman"/>
        </w:rPr>
        <w:t xml:space="preserve">cases begun in </w:t>
      </w:r>
      <w:r w:rsidR="00AA091B">
        <w:rPr>
          <w:rFonts w:ascii="Times New Roman" w:hAnsi="Times New Roman" w:cs="Times New Roman"/>
        </w:rPr>
        <w:t>chapter</w:t>
      </w:r>
      <w:r w:rsidR="008356DB" w:rsidRPr="00537498">
        <w:rPr>
          <w:rFonts w:ascii="Times New Roman" w:hAnsi="Times New Roman" w:cs="Times New Roman"/>
        </w:rPr>
        <w:t xml:space="preserve"> 11 and then converted to </w:t>
      </w:r>
      <w:r w:rsidR="00AA091B">
        <w:rPr>
          <w:rFonts w:ascii="Times New Roman" w:hAnsi="Times New Roman" w:cs="Times New Roman"/>
        </w:rPr>
        <w:t>chapter</w:t>
      </w:r>
      <w:r w:rsidR="008356DB" w:rsidRPr="00537498">
        <w:rPr>
          <w:rFonts w:ascii="Times New Roman" w:hAnsi="Times New Roman" w:cs="Times New Roman"/>
        </w:rPr>
        <w:t xml:space="preserve"> 7 or 13, and cases begun in </w:t>
      </w:r>
      <w:r w:rsidR="00AA091B">
        <w:rPr>
          <w:rFonts w:ascii="Times New Roman" w:hAnsi="Times New Roman" w:cs="Times New Roman"/>
        </w:rPr>
        <w:t>chapter</w:t>
      </w:r>
      <w:r w:rsidR="008356DB" w:rsidRPr="00537498">
        <w:rPr>
          <w:rFonts w:ascii="Times New Roman" w:hAnsi="Times New Roman" w:cs="Times New Roman"/>
        </w:rPr>
        <w:t xml:space="preserve"> 7 or 13 and converted to chapter 11.</w:t>
      </w:r>
      <w:r w:rsidR="00511179">
        <w:rPr>
          <w:rStyle w:val="FootnoteReference"/>
          <w:rFonts w:ascii="Times New Roman" w:hAnsi="Times New Roman" w:cs="Times New Roman"/>
        </w:rPr>
        <w:footnoteReference w:id="57"/>
      </w:r>
      <w:r w:rsidR="008356DB" w:rsidRPr="00537498">
        <w:rPr>
          <w:rFonts w:ascii="Times New Roman" w:hAnsi="Times New Roman" w:cs="Times New Roman"/>
        </w:rPr>
        <w:t xml:space="preserve"> </w:t>
      </w:r>
      <w:r w:rsidR="00511179">
        <w:rPr>
          <w:rFonts w:ascii="Times New Roman" w:hAnsi="Times New Roman" w:cs="Times New Roman"/>
        </w:rPr>
        <w:t xml:space="preserve">To identify these cases we used PACER </w:t>
      </w:r>
      <w:r w:rsidR="006174EC">
        <w:rPr>
          <w:rFonts w:ascii="Times New Roman" w:hAnsi="Times New Roman" w:cs="Times New Roman"/>
        </w:rPr>
        <w:t>c</w:t>
      </w:r>
      <w:r w:rsidR="00511179">
        <w:rPr>
          <w:rFonts w:ascii="Times New Roman" w:hAnsi="Times New Roman" w:cs="Times New Roman"/>
        </w:rPr>
        <w:t xml:space="preserve">ase </w:t>
      </w:r>
      <w:r w:rsidR="006174EC">
        <w:rPr>
          <w:rFonts w:ascii="Times New Roman" w:hAnsi="Times New Roman" w:cs="Times New Roman"/>
        </w:rPr>
        <w:t>r</w:t>
      </w:r>
      <w:r w:rsidR="00511179">
        <w:rPr>
          <w:rFonts w:ascii="Times New Roman" w:hAnsi="Times New Roman" w:cs="Times New Roman"/>
        </w:rPr>
        <w:t>eport fields that reveal the current chapter (or the chapter in which the case closed) as well as the immediately preceding chapter</w:t>
      </w:r>
      <w:r w:rsidR="00613F7B">
        <w:rPr>
          <w:rFonts w:ascii="Times New Roman" w:hAnsi="Times New Roman" w:cs="Times New Roman"/>
        </w:rPr>
        <w:t xml:space="preserve">, </w:t>
      </w:r>
      <w:r w:rsidR="00511179">
        <w:rPr>
          <w:rFonts w:ascii="Times New Roman" w:hAnsi="Times New Roman" w:cs="Times New Roman"/>
        </w:rPr>
        <w:t>if any. Not</w:t>
      </w:r>
      <w:r>
        <w:rPr>
          <w:rFonts w:ascii="Times New Roman" w:hAnsi="Times New Roman" w:cs="Times New Roman"/>
        </w:rPr>
        <w:t>ably,</w:t>
      </w:r>
      <w:r w:rsidR="00511179">
        <w:rPr>
          <w:rFonts w:ascii="Times New Roman" w:hAnsi="Times New Roman" w:cs="Times New Roman"/>
        </w:rPr>
        <w:t xml:space="preserve"> these fields </w:t>
      </w:r>
      <w:r w:rsidR="00613F7B">
        <w:rPr>
          <w:rFonts w:ascii="Times New Roman" w:hAnsi="Times New Roman" w:cs="Times New Roman"/>
        </w:rPr>
        <w:t>contain</w:t>
      </w:r>
      <w:r w:rsidR="00511179">
        <w:rPr>
          <w:rFonts w:ascii="Times New Roman" w:hAnsi="Times New Roman" w:cs="Times New Roman"/>
        </w:rPr>
        <w:t xml:space="preserve"> one important limitation. If, for example, a case was filed under chapter 11, converted to chapter 13 and then later converted to chapter 7, we would only see that the case ended in chapter 7 and was previously in chapter 13. Subject to this limitation, </w:t>
      </w:r>
      <w:r w:rsidR="008356DB" w:rsidRPr="00537498">
        <w:rPr>
          <w:rFonts w:ascii="Times New Roman" w:hAnsi="Times New Roman" w:cs="Times New Roman"/>
        </w:rPr>
        <w:t>Tabl</w:t>
      </w:r>
      <w:r w:rsidR="008356DB" w:rsidRPr="00933FD2">
        <w:rPr>
          <w:rFonts w:ascii="Times New Roman" w:hAnsi="Times New Roman" w:cs="Times New Roman"/>
        </w:rPr>
        <w:t xml:space="preserve">es 2 and </w:t>
      </w:r>
      <w:r w:rsidR="00891EBE">
        <w:rPr>
          <w:rFonts w:ascii="Times New Roman" w:hAnsi="Times New Roman" w:cs="Times New Roman"/>
        </w:rPr>
        <w:t>3</w:t>
      </w:r>
      <w:r w:rsidR="008356DB" w:rsidRPr="00933FD2">
        <w:rPr>
          <w:rFonts w:ascii="Times New Roman" w:hAnsi="Times New Roman" w:cs="Times New Roman"/>
        </w:rPr>
        <w:t xml:space="preserve"> provide information about between-chapter conversions for individuals in the PACER data sample who filed for relief under the Bankruptcy Code in 2010 and 2013.</w:t>
      </w:r>
      <w:r w:rsidR="000301B6" w:rsidRPr="003D5781">
        <w:rPr>
          <w:rFonts w:ascii="Times New Roman" w:hAnsi="Times New Roman" w:cs="Times New Roman"/>
        </w:rPr>
        <w:t xml:space="preserve"> </w:t>
      </w:r>
      <w:r w:rsidR="00613F7B">
        <w:rPr>
          <w:rFonts w:ascii="Times New Roman" w:hAnsi="Times New Roman" w:cs="Times New Roman"/>
        </w:rPr>
        <w:t>N</w:t>
      </w:r>
      <w:r w:rsidR="000301B6" w:rsidRPr="003D5781">
        <w:rPr>
          <w:rFonts w:ascii="Times New Roman" w:hAnsi="Times New Roman" w:cs="Times New Roman"/>
        </w:rPr>
        <w:t>ote that we dropped all cases that ha</w:t>
      </w:r>
      <w:r w:rsidR="00613F7B">
        <w:rPr>
          <w:rFonts w:ascii="Times New Roman" w:hAnsi="Times New Roman" w:cs="Times New Roman"/>
        </w:rPr>
        <w:t>d</w:t>
      </w:r>
      <w:r w:rsidR="000301B6" w:rsidRPr="003D5781">
        <w:rPr>
          <w:rFonts w:ascii="Times New Roman" w:hAnsi="Times New Roman" w:cs="Times New Roman"/>
        </w:rPr>
        <w:t xml:space="preserve"> never been in </w:t>
      </w:r>
      <w:r w:rsidR="00AA091B">
        <w:rPr>
          <w:rFonts w:ascii="Times New Roman" w:hAnsi="Times New Roman" w:cs="Times New Roman"/>
        </w:rPr>
        <w:t>chapter</w:t>
      </w:r>
      <w:r w:rsidR="000301B6" w:rsidRPr="003D5781">
        <w:rPr>
          <w:rFonts w:ascii="Times New Roman" w:hAnsi="Times New Roman" w:cs="Times New Roman"/>
        </w:rPr>
        <w:t xml:space="preserve"> 11 or 13 </w:t>
      </w:r>
      <w:r w:rsidR="00613F7B">
        <w:rPr>
          <w:rFonts w:ascii="Times New Roman" w:hAnsi="Times New Roman" w:cs="Times New Roman"/>
        </w:rPr>
        <w:t xml:space="preserve">and indicated the omission in both Tables 2 and </w:t>
      </w:r>
      <w:r w:rsidR="00891EBE">
        <w:rPr>
          <w:rFonts w:ascii="Times New Roman" w:hAnsi="Times New Roman" w:cs="Times New Roman"/>
        </w:rPr>
        <w:t>3</w:t>
      </w:r>
      <w:r w:rsidR="00613F7B">
        <w:rPr>
          <w:rFonts w:ascii="Times New Roman" w:hAnsi="Times New Roman" w:cs="Times New Roman"/>
        </w:rPr>
        <w:t xml:space="preserve"> with the designation “n/a.”  </w:t>
      </w:r>
      <w:r w:rsidR="000301B6" w:rsidRPr="003D5781">
        <w:rPr>
          <w:rFonts w:ascii="Times New Roman" w:hAnsi="Times New Roman" w:cs="Times New Roman"/>
        </w:rPr>
        <w:t xml:space="preserve"> </w:t>
      </w:r>
    </w:p>
    <w:p w14:paraId="6AD71EC9" w14:textId="2F873F1A" w:rsidR="00083B34" w:rsidRDefault="000301B6" w:rsidP="00EF4C79">
      <w:pPr>
        <w:keepNext/>
        <w:keepLines/>
        <w:spacing w:line="480" w:lineRule="auto"/>
        <w:rPr>
          <w:rFonts w:ascii="Times New Roman" w:hAnsi="Times New Roman" w:cs="Times New Roman"/>
          <w:b/>
        </w:rPr>
      </w:pPr>
      <w:r w:rsidRPr="003D5781">
        <w:rPr>
          <w:rFonts w:ascii="Times New Roman" w:hAnsi="Times New Roman" w:cs="Times New Roman"/>
          <w:b/>
        </w:rPr>
        <w:t>Table 2: Conversion Between Chapt</w:t>
      </w:r>
      <w:r w:rsidR="002F573D">
        <w:rPr>
          <w:rFonts w:ascii="Times New Roman" w:hAnsi="Times New Roman" w:cs="Times New Roman"/>
          <w:b/>
        </w:rPr>
        <w:t>ers for Individual Bankruptcy—</w:t>
      </w:r>
      <w:r w:rsidRPr="003D5781">
        <w:rPr>
          <w:rFonts w:ascii="Times New Roman" w:hAnsi="Times New Roman" w:cs="Times New Roman"/>
          <w:b/>
        </w:rPr>
        <w:t>2010</w:t>
      </w:r>
    </w:p>
    <w:tbl>
      <w:tblPr>
        <w:tblStyle w:val="TableGrid"/>
        <w:tblW w:w="0" w:type="auto"/>
        <w:tblLayout w:type="fixed"/>
        <w:tblLook w:val="04A0" w:firstRow="1" w:lastRow="0" w:firstColumn="1" w:lastColumn="0" w:noHBand="0" w:noVBand="1"/>
      </w:tblPr>
      <w:tblGrid>
        <w:gridCol w:w="1548"/>
        <w:gridCol w:w="1800"/>
        <w:gridCol w:w="1170"/>
        <w:gridCol w:w="990"/>
        <w:gridCol w:w="1080"/>
        <w:gridCol w:w="1127"/>
      </w:tblGrid>
      <w:tr w:rsidR="00852EF9" w14:paraId="415D10ED" w14:textId="77777777" w:rsidTr="00852EF9">
        <w:tc>
          <w:tcPr>
            <w:tcW w:w="1548" w:type="dxa"/>
            <w:tcBorders>
              <w:top w:val="single" w:sz="18" w:space="0" w:color="auto"/>
              <w:left w:val="single" w:sz="18" w:space="0" w:color="auto"/>
              <w:bottom w:val="single" w:sz="18" w:space="0" w:color="auto"/>
              <w:right w:val="single" w:sz="18" w:space="0" w:color="auto"/>
            </w:tcBorders>
          </w:tcPr>
          <w:p w14:paraId="5CB6A373" w14:textId="77777777" w:rsidR="00852EF9" w:rsidRDefault="00852EF9" w:rsidP="00EF4C79">
            <w:pPr>
              <w:keepNext/>
              <w:keepLines/>
              <w:rPr>
                <w:rFonts w:ascii="Times New Roman" w:hAnsi="Times New Roman" w:cs="Times New Roman"/>
                <w:b/>
              </w:rPr>
            </w:pPr>
          </w:p>
        </w:tc>
        <w:tc>
          <w:tcPr>
            <w:tcW w:w="6167" w:type="dxa"/>
            <w:gridSpan w:val="5"/>
            <w:tcBorders>
              <w:top w:val="single" w:sz="18" w:space="0" w:color="auto"/>
              <w:left w:val="single" w:sz="18" w:space="0" w:color="auto"/>
              <w:bottom w:val="single" w:sz="18" w:space="0" w:color="auto"/>
              <w:right w:val="single" w:sz="18" w:space="0" w:color="auto"/>
            </w:tcBorders>
          </w:tcPr>
          <w:p w14:paraId="7F95156F" w14:textId="09273273" w:rsidR="00852EF9" w:rsidRDefault="00852EF9" w:rsidP="00EF4C79">
            <w:pPr>
              <w:keepNext/>
              <w:keepLines/>
              <w:jc w:val="center"/>
              <w:rPr>
                <w:rFonts w:ascii="Times New Roman" w:hAnsi="Times New Roman" w:cs="Times New Roman"/>
                <w:b/>
              </w:rPr>
            </w:pPr>
            <w:r>
              <w:rPr>
                <w:rFonts w:ascii="Times New Roman" w:hAnsi="Times New Roman" w:cs="Times New Roman"/>
                <w:b/>
              </w:rPr>
              <w:t>Initial Chapter</w:t>
            </w:r>
          </w:p>
        </w:tc>
      </w:tr>
      <w:tr w:rsidR="00852EF9" w14:paraId="2AC768F5" w14:textId="77777777" w:rsidTr="00852EF9">
        <w:tc>
          <w:tcPr>
            <w:tcW w:w="1548" w:type="dxa"/>
            <w:vMerge w:val="restart"/>
            <w:tcBorders>
              <w:top w:val="single" w:sz="18" w:space="0" w:color="auto"/>
              <w:right w:val="single" w:sz="18" w:space="0" w:color="auto"/>
            </w:tcBorders>
          </w:tcPr>
          <w:p w14:paraId="026F9AF4" w14:textId="77777777" w:rsidR="00852EF9" w:rsidRDefault="00852EF9" w:rsidP="00EF4C79">
            <w:pPr>
              <w:keepNext/>
              <w:keepLines/>
              <w:rPr>
                <w:rFonts w:ascii="Times New Roman" w:hAnsi="Times New Roman" w:cs="Times New Roman"/>
                <w:b/>
              </w:rPr>
            </w:pPr>
          </w:p>
          <w:p w14:paraId="0E982290" w14:textId="77777777" w:rsidR="00852EF9" w:rsidRDefault="00852EF9" w:rsidP="00EF4C79">
            <w:pPr>
              <w:keepNext/>
              <w:keepLines/>
              <w:rPr>
                <w:rFonts w:ascii="Times New Roman" w:hAnsi="Times New Roman" w:cs="Times New Roman"/>
                <w:b/>
              </w:rPr>
            </w:pPr>
          </w:p>
          <w:p w14:paraId="2A5F35A8" w14:textId="7D72B053" w:rsidR="00852EF9" w:rsidRPr="00852EF9" w:rsidRDefault="00852EF9" w:rsidP="00EF4C79">
            <w:pPr>
              <w:keepNext/>
              <w:keepLines/>
              <w:rPr>
                <w:rFonts w:ascii="Times New Roman" w:hAnsi="Times New Roman" w:cs="Times New Roman"/>
                <w:b/>
              </w:rPr>
            </w:pPr>
            <w:r w:rsidRPr="00852EF9">
              <w:rPr>
                <w:rFonts w:ascii="Times New Roman" w:hAnsi="Times New Roman" w:cs="Times New Roman"/>
                <w:b/>
              </w:rPr>
              <w:t>Converted Chapter</w:t>
            </w:r>
          </w:p>
        </w:tc>
        <w:tc>
          <w:tcPr>
            <w:tcW w:w="1800" w:type="dxa"/>
            <w:tcBorders>
              <w:top w:val="single" w:sz="18" w:space="0" w:color="auto"/>
              <w:left w:val="single" w:sz="18" w:space="0" w:color="auto"/>
              <w:bottom w:val="double" w:sz="6" w:space="0" w:color="auto"/>
              <w:right w:val="double" w:sz="12" w:space="0" w:color="auto"/>
            </w:tcBorders>
          </w:tcPr>
          <w:p w14:paraId="219A348A" w14:textId="77777777" w:rsidR="00852EF9" w:rsidRDefault="00852EF9" w:rsidP="00EF4C79">
            <w:pPr>
              <w:keepNext/>
              <w:keepLines/>
              <w:rPr>
                <w:rFonts w:ascii="Times New Roman" w:hAnsi="Times New Roman" w:cs="Times New Roman"/>
                <w:b/>
              </w:rPr>
            </w:pPr>
          </w:p>
        </w:tc>
        <w:tc>
          <w:tcPr>
            <w:tcW w:w="1170" w:type="dxa"/>
            <w:tcBorders>
              <w:top w:val="single" w:sz="18" w:space="0" w:color="auto"/>
              <w:left w:val="double" w:sz="12" w:space="0" w:color="auto"/>
              <w:bottom w:val="double" w:sz="4" w:space="0" w:color="auto"/>
            </w:tcBorders>
          </w:tcPr>
          <w:p w14:paraId="33DE690D" w14:textId="158C5798" w:rsidR="00852EF9" w:rsidRDefault="00852EF9" w:rsidP="00EF4C79">
            <w:pPr>
              <w:keepNext/>
              <w:keepLines/>
              <w:jc w:val="right"/>
              <w:rPr>
                <w:rFonts w:ascii="Times New Roman" w:hAnsi="Times New Roman" w:cs="Times New Roman"/>
                <w:b/>
              </w:rPr>
            </w:pPr>
            <w:r w:rsidRPr="003D5781">
              <w:rPr>
                <w:rFonts w:ascii="Times New Roman" w:hAnsi="Times New Roman" w:cs="Times New Roman"/>
                <w:b/>
              </w:rPr>
              <w:t>7</w:t>
            </w:r>
          </w:p>
        </w:tc>
        <w:tc>
          <w:tcPr>
            <w:tcW w:w="990" w:type="dxa"/>
            <w:tcBorders>
              <w:top w:val="single" w:sz="18" w:space="0" w:color="auto"/>
              <w:bottom w:val="double" w:sz="4" w:space="0" w:color="auto"/>
            </w:tcBorders>
          </w:tcPr>
          <w:p w14:paraId="7670E62B" w14:textId="44091DA3" w:rsidR="00852EF9" w:rsidRDefault="00852EF9" w:rsidP="00EF4C79">
            <w:pPr>
              <w:keepNext/>
              <w:keepLines/>
              <w:jc w:val="right"/>
              <w:rPr>
                <w:rFonts w:ascii="Times New Roman" w:hAnsi="Times New Roman" w:cs="Times New Roman"/>
                <w:b/>
              </w:rPr>
            </w:pPr>
            <w:r w:rsidRPr="003D5781">
              <w:rPr>
                <w:rFonts w:ascii="Times New Roman" w:hAnsi="Times New Roman" w:cs="Times New Roman"/>
                <w:b/>
              </w:rPr>
              <w:t>11</w:t>
            </w:r>
          </w:p>
        </w:tc>
        <w:tc>
          <w:tcPr>
            <w:tcW w:w="1080" w:type="dxa"/>
            <w:tcBorders>
              <w:top w:val="single" w:sz="18" w:space="0" w:color="auto"/>
              <w:bottom w:val="double" w:sz="4" w:space="0" w:color="auto"/>
            </w:tcBorders>
          </w:tcPr>
          <w:p w14:paraId="643B06A4" w14:textId="2CC2D1A1" w:rsidR="00852EF9" w:rsidRDefault="00852EF9" w:rsidP="00EF4C79">
            <w:pPr>
              <w:keepNext/>
              <w:keepLines/>
              <w:jc w:val="right"/>
              <w:rPr>
                <w:rFonts w:ascii="Times New Roman" w:hAnsi="Times New Roman" w:cs="Times New Roman"/>
                <w:b/>
              </w:rPr>
            </w:pPr>
            <w:r w:rsidRPr="003D5781">
              <w:rPr>
                <w:rFonts w:ascii="Times New Roman" w:hAnsi="Times New Roman" w:cs="Times New Roman"/>
                <w:b/>
              </w:rPr>
              <w:t>12</w:t>
            </w:r>
          </w:p>
        </w:tc>
        <w:tc>
          <w:tcPr>
            <w:tcW w:w="1127" w:type="dxa"/>
            <w:tcBorders>
              <w:top w:val="single" w:sz="18" w:space="0" w:color="auto"/>
              <w:bottom w:val="double" w:sz="4" w:space="0" w:color="auto"/>
            </w:tcBorders>
          </w:tcPr>
          <w:p w14:paraId="477AA7B5" w14:textId="48F0D80B" w:rsidR="00852EF9" w:rsidRDefault="00852EF9" w:rsidP="00EF4C79">
            <w:pPr>
              <w:keepNext/>
              <w:keepLines/>
              <w:jc w:val="right"/>
              <w:rPr>
                <w:rFonts w:ascii="Times New Roman" w:hAnsi="Times New Roman" w:cs="Times New Roman"/>
                <w:b/>
              </w:rPr>
            </w:pPr>
            <w:r w:rsidRPr="003D5781">
              <w:rPr>
                <w:rFonts w:ascii="Times New Roman" w:hAnsi="Times New Roman" w:cs="Times New Roman"/>
                <w:b/>
              </w:rPr>
              <w:t>13</w:t>
            </w:r>
          </w:p>
        </w:tc>
      </w:tr>
      <w:tr w:rsidR="00852EF9" w14:paraId="70E37FAC" w14:textId="77777777" w:rsidTr="00852EF9">
        <w:tc>
          <w:tcPr>
            <w:tcW w:w="1548" w:type="dxa"/>
            <w:vMerge/>
            <w:tcBorders>
              <w:right w:val="single" w:sz="18" w:space="0" w:color="auto"/>
            </w:tcBorders>
          </w:tcPr>
          <w:p w14:paraId="3F123DF2" w14:textId="77777777" w:rsidR="00852EF9" w:rsidRDefault="00852EF9" w:rsidP="00EF4C79">
            <w:pPr>
              <w:keepNext/>
              <w:keepLines/>
              <w:rPr>
                <w:rFonts w:ascii="Times New Roman" w:hAnsi="Times New Roman" w:cs="Times New Roman"/>
                <w:b/>
              </w:rPr>
            </w:pPr>
          </w:p>
        </w:tc>
        <w:tc>
          <w:tcPr>
            <w:tcW w:w="1800" w:type="dxa"/>
            <w:tcBorders>
              <w:top w:val="double" w:sz="12" w:space="0" w:color="auto"/>
              <w:left w:val="single" w:sz="18" w:space="0" w:color="auto"/>
              <w:right w:val="double" w:sz="12" w:space="0" w:color="auto"/>
            </w:tcBorders>
          </w:tcPr>
          <w:p w14:paraId="39DF3692" w14:textId="24102304" w:rsidR="00852EF9" w:rsidRDefault="00852EF9" w:rsidP="00EF4C79">
            <w:pPr>
              <w:keepNext/>
              <w:keepLines/>
              <w:rPr>
                <w:rFonts w:ascii="Times New Roman" w:hAnsi="Times New Roman" w:cs="Times New Roman"/>
                <w:b/>
              </w:rPr>
            </w:pPr>
            <w:r w:rsidRPr="003D5781">
              <w:rPr>
                <w:rFonts w:ascii="Times New Roman" w:hAnsi="Times New Roman" w:cs="Times New Roman"/>
                <w:b/>
              </w:rPr>
              <w:t>7</w:t>
            </w:r>
          </w:p>
        </w:tc>
        <w:tc>
          <w:tcPr>
            <w:tcW w:w="1170" w:type="dxa"/>
            <w:tcBorders>
              <w:top w:val="double" w:sz="12" w:space="0" w:color="auto"/>
              <w:left w:val="double" w:sz="12" w:space="0" w:color="auto"/>
            </w:tcBorders>
          </w:tcPr>
          <w:p w14:paraId="433D47B8" w14:textId="5A9CED92" w:rsidR="00852EF9" w:rsidRDefault="00852EF9" w:rsidP="00EF4C79">
            <w:pPr>
              <w:keepNext/>
              <w:keepLines/>
              <w:jc w:val="right"/>
              <w:rPr>
                <w:rFonts w:ascii="Times New Roman" w:hAnsi="Times New Roman" w:cs="Times New Roman"/>
                <w:b/>
              </w:rPr>
            </w:pPr>
            <w:r w:rsidRPr="003D5781">
              <w:rPr>
                <w:rFonts w:ascii="Times New Roman" w:hAnsi="Times New Roman" w:cs="Times New Roman"/>
              </w:rPr>
              <w:t>n/a</w:t>
            </w:r>
          </w:p>
        </w:tc>
        <w:tc>
          <w:tcPr>
            <w:tcW w:w="990" w:type="dxa"/>
            <w:tcBorders>
              <w:top w:val="double" w:sz="12" w:space="0" w:color="auto"/>
            </w:tcBorders>
          </w:tcPr>
          <w:p w14:paraId="20F53F07" w14:textId="5152D022" w:rsidR="00852EF9" w:rsidRDefault="00852EF9" w:rsidP="00EF4C79">
            <w:pPr>
              <w:keepNext/>
              <w:keepLines/>
              <w:jc w:val="right"/>
              <w:rPr>
                <w:rFonts w:ascii="Times New Roman" w:hAnsi="Times New Roman" w:cs="Times New Roman"/>
                <w:b/>
              </w:rPr>
            </w:pPr>
            <w:r w:rsidRPr="003D5781">
              <w:rPr>
                <w:rFonts w:ascii="Times New Roman" w:hAnsi="Times New Roman" w:cs="Times New Roman"/>
              </w:rPr>
              <w:t>937</w:t>
            </w:r>
          </w:p>
        </w:tc>
        <w:tc>
          <w:tcPr>
            <w:tcW w:w="1080" w:type="dxa"/>
            <w:tcBorders>
              <w:top w:val="double" w:sz="12" w:space="0" w:color="auto"/>
            </w:tcBorders>
          </w:tcPr>
          <w:p w14:paraId="7B7FB992" w14:textId="710776E0" w:rsidR="00852EF9" w:rsidRDefault="00852EF9" w:rsidP="00EF4C79">
            <w:pPr>
              <w:keepNext/>
              <w:keepLines/>
              <w:jc w:val="right"/>
              <w:rPr>
                <w:rFonts w:ascii="Times New Roman" w:hAnsi="Times New Roman" w:cs="Times New Roman"/>
                <w:b/>
              </w:rPr>
            </w:pPr>
            <w:r w:rsidRPr="003D5781">
              <w:rPr>
                <w:rFonts w:ascii="Times New Roman" w:hAnsi="Times New Roman" w:cs="Times New Roman"/>
              </w:rPr>
              <w:t>n/a</w:t>
            </w:r>
          </w:p>
        </w:tc>
        <w:tc>
          <w:tcPr>
            <w:tcW w:w="1127" w:type="dxa"/>
            <w:tcBorders>
              <w:top w:val="double" w:sz="12" w:space="0" w:color="auto"/>
            </w:tcBorders>
          </w:tcPr>
          <w:p w14:paraId="6DFF018F" w14:textId="46685700" w:rsidR="00852EF9" w:rsidRDefault="00852EF9" w:rsidP="00EF4C79">
            <w:pPr>
              <w:keepNext/>
              <w:keepLines/>
              <w:jc w:val="right"/>
              <w:rPr>
                <w:rFonts w:ascii="Times New Roman" w:hAnsi="Times New Roman" w:cs="Times New Roman"/>
                <w:b/>
              </w:rPr>
            </w:pPr>
            <w:r w:rsidRPr="003D5781">
              <w:rPr>
                <w:rFonts w:ascii="Times New Roman" w:hAnsi="Times New Roman" w:cs="Times New Roman"/>
              </w:rPr>
              <w:t>42,293</w:t>
            </w:r>
          </w:p>
        </w:tc>
      </w:tr>
      <w:tr w:rsidR="00852EF9" w14:paraId="62316DEC" w14:textId="77777777" w:rsidTr="00852EF9">
        <w:tc>
          <w:tcPr>
            <w:tcW w:w="1548" w:type="dxa"/>
            <w:vMerge/>
            <w:tcBorders>
              <w:right w:val="single" w:sz="18" w:space="0" w:color="auto"/>
            </w:tcBorders>
          </w:tcPr>
          <w:p w14:paraId="62A5ECAF" w14:textId="77777777" w:rsidR="00852EF9" w:rsidRDefault="00852EF9" w:rsidP="00EF4C79">
            <w:pPr>
              <w:keepNext/>
              <w:keepLines/>
              <w:rPr>
                <w:rFonts w:ascii="Times New Roman" w:hAnsi="Times New Roman" w:cs="Times New Roman"/>
                <w:b/>
              </w:rPr>
            </w:pPr>
          </w:p>
        </w:tc>
        <w:tc>
          <w:tcPr>
            <w:tcW w:w="1800" w:type="dxa"/>
            <w:tcBorders>
              <w:left w:val="single" w:sz="18" w:space="0" w:color="auto"/>
              <w:right w:val="double" w:sz="12" w:space="0" w:color="auto"/>
            </w:tcBorders>
          </w:tcPr>
          <w:p w14:paraId="1275D184" w14:textId="1A1C1B3C" w:rsidR="00852EF9" w:rsidRDefault="00852EF9" w:rsidP="00EF4C79">
            <w:pPr>
              <w:keepNext/>
              <w:keepLines/>
              <w:rPr>
                <w:rFonts w:ascii="Times New Roman" w:hAnsi="Times New Roman" w:cs="Times New Roman"/>
                <w:b/>
              </w:rPr>
            </w:pPr>
            <w:r w:rsidRPr="003D5781">
              <w:rPr>
                <w:rFonts w:ascii="Times New Roman" w:hAnsi="Times New Roman" w:cs="Times New Roman"/>
                <w:b/>
              </w:rPr>
              <w:t>11</w:t>
            </w:r>
          </w:p>
        </w:tc>
        <w:tc>
          <w:tcPr>
            <w:tcW w:w="1170" w:type="dxa"/>
            <w:tcBorders>
              <w:left w:val="double" w:sz="12" w:space="0" w:color="auto"/>
            </w:tcBorders>
          </w:tcPr>
          <w:p w14:paraId="4CF3638F" w14:textId="2BDE7CEF" w:rsidR="00852EF9" w:rsidRDefault="00852EF9" w:rsidP="00EF4C79">
            <w:pPr>
              <w:keepNext/>
              <w:keepLines/>
              <w:jc w:val="right"/>
              <w:rPr>
                <w:rFonts w:ascii="Times New Roman" w:hAnsi="Times New Roman" w:cs="Times New Roman"/>
                <w:b/>
              </w:rPr>
            </w:pPr>
            <w:r w:rsidRPr="003D5781">
              <w:rPr>
                <w:rFonts w:ascii="Times New Roman" w:hAnsi="Times New Roman" w:cs="Times New Roman"/>
              </w:rPr>
              <w:t>90</w:t>
            </w:r>
          </w:p>
        </w:tc>
        <w:tc>
          <w:tcPr>
            <w:tcW w:w="990" w:type="dxa"/>
          </w:tcPr>
          <w:p w14:paraId="303F3E0A" w14:textId="116B9FD0" w:rsidR="00852EF9" w:rsidRDefault="00852EF9" w:rsidP="00EF4C79">
            <w:pPr>
              <w:keepNext/>
              <w:keepLines/>
              <w:jc w:val="right"/>
              <w:rPr>
                <w:rFonts w:ascii="Times New Roman" w:hAnsi="Times New Roman" w:cs="Times New Roman"/>
                <w:b/>
              </w:rPr>
            </w:pPr>
            <w:r w:rsidRPr="003D5781">
              <w:rPr>
                <w:rFonts w:ascii="Times New Roman" w:hAnsi="Times New Roman" w:cs="Times New Roman"/>
              </w:rPr>
              <w:t>n/a</w:t>
            </w:r>
          </w:p>
        </w:tc>
        <w:tc>
          <w:tcPr>
            <w:tcW w:w="1080" w:type="dxa"/>
          </w:tcPr>
          <w:p w14:paraId="053BDE5A" w14:textId="68DEB0DF" w:rsidR="00852EF9" w:rsidRDefault="00852EF9" w:rsidP="00EF4C79">
            <w:pPr>
              <w:keepNext/>
              <w:keepLines/>
              <w:jc w:val="right"/>
              <w:rPr>
                <w:rFonts w:ascii="Times New Roman" w:hAnsi="Times New Roman" w:cs="Times New Roman"/>
                <w:b/>
              </w:rPr>
            </w:pPr>
            <w:r w:rsidRPr="003D5781">
              <w:rPr>
                <w:rFonts w:ascii="Times New Roman" w:hAnsi="Times New Roman" w:cs="Times New Roman"/>
              </w:rPr>
              <w:t>7</w:t>
            </w:r>
          </w:p>
        </w:tc>
        <w:tc>
          <w:tcPr>
            <w:tcW w:w="1127" w:type="dxa"/>
          </w:tcPr>
          <w:p w14:paraId="64CDD891" w14:textId="423451B3" w:rsidR="00852EF9" w:rsidRDefault="00852EF9" w:rsidP="00EF4C79">
            <w:pPr>
              <w:keepNext/>
              <w:keepLines/>
              <w:jc w:val="right"/>
              <w:rPr>
                <w:rFonts w:ascii="Times New Roman" w:hAnsi="Times New Roman" w:cs="Times New Roman"/>
                <w:b/>
              </w:rPr>
            </w:pPr>
            <w:r w:rsidRPr="003D5781">
              <w:rPr>
                <w:rFonts w:ascii="Times New Roman" w:hAnsi="Times New Roman" w:cs="Times New Roman"/>
              </w:rPr>
              <w:t>310</w:t>
            </w:r>
          </w:p>
        </w:tc>
      </w:tr>
      <w:tr w:rsidR="00852EF9" w14:paraId="1BE70715" w14:textId="77777777" w:rsidTr="00852EF9">
        <w:tc>
          <w:tcPr>
            <w:tcW w:w="1548" w:type="dxa"/>
            <w:vMerge/>
            <w:tcBorders>
              <w:right w:val="single" w:sz="18" w:space="0" w:color="auto"/>
            </w:tcBorders>
          </w:tcPr>
          <w:p w14:paraId="1D52D0F3" w14:textId="77777777" w:rsidR="00852EF9" w:rsidRDefault="00852EF9" w:rsidP="00EF4C79">
            <w:pPr>
              <w:keepNext/>
              <w:keepLines/>
              <w:rPr>
                <w:rFonts w:ascii="Times New Roman" w:hAnsi="Times New Roman" w:cs="Times New Roman"/>
                <w:b/>
              </w:rPr>
            </w:pPr>
          </w:p>
        </w:tc>
        <w:tc>
          <w:tcPr>
            <w:tcW w:w="1800" w:type="dxa"/>
            <w:tcBorders>
              <w:left w:val="single" w:sz="18" w:space="0" w:color="auto"/>
              <w:right w:val="double" w:sz="12" w:space="0" w:color="auto"/>
            </w:tcBorders>
          </w:tcPr>
          <w:p w14:paraId="0D26C86E" w14:textId="434D8AEA" w:rsidR="00852EF9" w:rsidRDefault="00852EF9" w:rsidP="00EF4C79">
            <w:pPr>
              <w:keepNext/>
              <w:keepLines/>
              <w:rPr>
                <w:rFonts w:ascii="Times New Roman" w:hAnsi="Times New Roman" w:cs="Times New Roman"/>
                <w:b/>
              </w:rPr>
            </w:pPr>
            <w:r w:rsidRPr="003D5781">
              <w:rPr>
                <w:rFonts w:ascii="Times New Roman" w:hAnsi="Times New Roman" w:cs="Times New Roman"/>
                <w:b/>
              </w:rPr>
              <w:t>12</w:t>
            </w:r>
          </w:p>
        </w:tc>
        <w:tc>
          <w:tcPr>
            <w:tcW w:w="1170" w:type="dxa"/>
            <w:tcBorders>
              <w:left w:val="double" w:sz="12" w:space="0" w:color="auto"/>
            </w:tcBorders>
          </w:tcPr>
          <w:p w14:paraId="23E3E8BF" w14:textId="6C2F0F13" w:rsidR="00852EF9" w:rsidRDefault="00852EF9" w:rsidP="00EF4C79">
            <w:pPr>
              <w:keepNext/>
              <w:keepLines/>
              <w:jc w:val="right"/>
              <w:rPr>
                <w:rFonts w:ascii="Times New Roman" w:hAnsi="Times New Roman" w:cs="Times New Roman"/>
                <w:b/>
              </w:rPr>
            </w:pPr>
            <w:r w:rsidRPr="003D5781">
              <w:rPr>
                <w:rFonts w:ascii="Times New Roman" w:hAnsi="Times New Roman" w:cs="Times New Roman"/>
              </w:rPr>
              <w:t>n/a</w:t>
            </w:r>
          </w:p>
        </w:tc>
        <w:tc>
          <w:tcPr>
            <w:tcW w:w="990" w:type="dxa"/>
          </w:tcPr>
          <w:p w14:paraId="7964B77B" w14:textId="64623DF1" w:rsidR="00852EF9" w:rsidRDefault="00852EF9" w:rsidP="00EF4C79">
            <w:pPr>
              <w:keepNext/>
              <w:keepLines/>
              <w:jc w:val="right"/>
              <w:rPr>
                <w:rFonts w:ascii="Times New Roman" w:hAnsi="Times New Roman" w:cs="Times New Roman"/>
                <w:b/>
              </w:rPr>
            </w:pPr>
            <w:r w:rsidRPr="003D5781">
              <w:rPr>
                <w:rFonts w:ascii="Times New Roman" w:hAnsi="Times New Roman" w:cs="Times New Roman"/>
              </w:rPr>
              <w:t>1</w:t>
            </w:r>
          </w:p>
        </w:tc>
        <w:tc>
          <w:tcPr>
            <w:tcW w:w="1080" w:type="dxa"/>
          </w:tcPr>
          <w:p w14:paraId="27DFF08E" w14:textId="27EF3213" w:rsidR="00852EF9" w:rsidRDefault="00852EF9" w:rsidP="00EF4C79">
            <w:pPr>
              <w:keepNext/>
              <w:keepLines/>
              <w:jc w:val="right"/>
              <w:rPr>
                <w:rFonts w:ascii="Times New Roman" w:hAnsi="Times New Roman" w:cs="Times New Roman"/>
                <w:b/>
              </w:rPr>
            </w:pPr>
            <w:r w:rsidRPr="003D5781">
              <w:rPr>
                <w:rFonts w:ascii="Times New Roman" w:hAnsi="Times New Roman" w:cs="Times New Roman"/>
              </w:rPr>
              <w:t>n/a</w:t>
            </w:r>
          </w:p>
        </w:tc>
        <w:tc>
          <w:tcPr>
            <w:tcW w:w="1127" w:type="dxa"/>
          </w:tcPr>
          <w:p w14:paraId="551C4FA0" w14:textId="1E60CF7B" w:rsidR="00852EF9" w:rsidRDefault="00852EF9" w:rsidP="00EF4C79">
            <w:pPr>
              <w:keepNext/>
              <w:keepLines/>
              <w:jc w:val="right"/>
              <w:rPr>
                <w:rFonts w:ascii="Times New Roman" w:hAnsi="Times New Roman" w:cs="Times New Roman"/>
                <w:b/>
              </w:rPr>
            </w:pPr>
            <w:r w:rsidRPr="003D5781">
              <w:rPr>
                <w:rFonts w:ascii="Times New Roman" w:hAnsi="Times New Roman" w:cs="Times New Roman"/>
              </w:rPr>
              <w:t>17</w:t>
            </w:r>
          </w:p>
        </w:tc>
      </w:tr>
      <w:tr w:rsidR="00852EF9" w14:paraId="4AB47E22" w14:textId="77777777" w:rsidTr="00852EF9">
        <w:tc>
          <w:tcPr>
            <w:tcW w:w="1548" w:type="dxa"/>
            <w:vMerge/>
            <w:tcBorders>
              <w:right w:val="single" w:sz="18" w:space="0" w:color="auto"/>
            </w:tcBorders>
          </w:tcPr>
          <w:p w14:paraId="090775DE" w14:textId="77777777" w:rsidR="00852EF9" w:rsidRDefault="00852EF9" w:rsidP="00EF4C79">
            <w:pPr>
              <w:keepNext/>
              <w:keepLines/>
              <w:rPr>
                <w:rFonts w:ascii="Times New Roman" w:hAnsi="Times New Roman" w:cs="Times New Roman"/>
                <w:b/>
              </w:rPr>
            </w:pPr>
          </w:p>
        </w:tc>
        <w:tc>
          <w:tcPr>
            <w:tcW w:w="1800" w:type="dxa"/>
            <w:tcBorders>
              <w:left w:val="single" w:sz="18" w:space="0" w:color="auto"/>
              <w:right w:val="double" w:sz="12" w:space="0" w:color="auto"/>
            </w:tcBorders>
          </w:tcPr>
          <w:p w14:paraId="7E4172D4" w14:textId="10D6FCBE" w:rsidR="00852EF9" w:rsidRDefault="00852EF9" w:rsidP="00EF4C79">
            <w:pPr>
              <w:keepNext/>
              <w:keepLines/>
              <w:rPr>
                <w:rFonts w:ascii="Times New Roman" w:hAnsi="Times New Roman" w:cs="Times New Roman"/>
                <w:b/>
              </w:rPr>
            </w:pPr>
            <w:r w:rsidRPr="003D5781">
              <w:rPr>
                <w:rFonts w:ascii="Times New Roman" w:hAnsi="Times New Roman" w:cs="Times New Roman"/>
                <w:b/>
              </w:rPr>
              <w:t>13</w:t>
            </w:r>
          </w:p>
        </w:tc>
        <w:tc>
          <w:tcPr>
            <w:tcW w:w="1170" w:type="dxa"/>
            <w:tcBorders>
              <w:left w:val="double" w:sz="12" w:space="0" w:color="auto"/>
            </w:tcBorders>
          </w:tcPr>
          <w:p w14:paraId="2FDF1D29" w14:textId="03046D97" w:rsidR="00852EF9" w:rsidRDefault="00852EF9" w:rsidP="00EF4C79">
            <w:pPr>
              <w:keepNext/>
              <w:keepLines/>
              <w:jc w:val="right"/>
              <w:rPr>
                <w:rFonts w:ascii="Times New Roman" w:hAnsi="Times New Roman" w:cs="Times New Roman"/>
                <w:b/>
              </w:rPr>
            </w:pPr>
            <w:r w:rsidRPr="003D5781">
              <w:rPr>
                <w:rFonts w:ascii="Times New Roman" w:hAnsi="Times New Roman" w:cs="Times New Roman"/>
              </w:rPr>
              <w:t>5,486</w:t>
            </w:r>
          </w:p>
        </w:tc>
        <w:tc>
          <w:tcPr>
            <w:tcW w:w="990" w:type="dxa"/>
          </w:tcPr>
          <w:p w14:paraId="1D6E8856" w14:textId="5BECED68" w:rsidR="00852EF9" w:rsidRDefault="00852EF9" w:rsidP="00EF4C79">
            <w:pPr>
              <w:keepNext/>
              <w:keepLines/>
              <w:jc w:val="right"/>
              <w:rPr>
                <w:rFonts w:ascii="Times New Roman" w:hAnsi="Times New Roman" w:cs="Times New Roman"/>
                <w:b/>
              </w:rPr>
            </w:pPr>
            <w:r w:rsidRPr="003D5781">
              <w:rPr>
                <w:rFonts w:ascii="Times New Roman" w:hAnsi="Times New Roman" w:cs="Times New Roman"/>
              </w:rPr>
              <w:t>48</w:t>
            </w:r>
          </w:p>
        </w:tc>
        <w:tc>
          <w:tcPr>
            <w:tcW w:w="1080" w:type="dxa"/>
          </w:tcPr>
          <w:p w14:paraId="347107EF" w14:textId="2B5C876D" w:rsidR="00852EF9" w:rsidRDefault="00852EF9" w:rsidP="00EF4C79">
            <w:pPr>
              <w:keepNext/>
              <w:keepLines/>
              <w:jc w:val="right"/>
              <w:rPr>
                <w:rFonts w:ascii="Times New Roman" w:hAnsi="Times New Roman" w:cs="Times New Roman"/>
                <w:b/>
              </w:rPr>
            </w:pPr>
            <w:r w:rsidRPr="003D5781">
              <w:rPr>
                <w:rFonts w:ascii="Times New Roman" w:hAnsi="Times New Roman" w:cs="Times New Roman"/>
              </w:rPr>
              <w:t>8</w:t>
            </w:r>
          </w:p>
        </w:tc>
        <w:tc>
          <w:tcPr>
            <w:tcW w:w="1127" w:type="dxa"/>
          </w:tcPr>
          <w:p w14:paraId="6F4A3A9B" w14:textId="17C42682" w:rsidR="00852EF9" w:rsidRDefault="00852EF9" w:rsidP="00EF4C79">
            <w:pPr>
              <w:keepNext/>
              <w:keepLines/>
              <w:jc w:val="right"/>
              <w:rPr>
                <w:rFonts w:ascii="Times New Roman" w:hAnsi="Times New Roman" w:cs="Times New Roman"/>
                <w:b/>
              </w:rPr>
            </w:pPr>
            <w:r w:rsidRPr="003D5781">
              <w:rPr>
                <w:rFonts w:ascii="Times New Roman" w:hAnsi="Times New Roman" w:cs="Times New Roman"/>
              </w:rPr>
              <w:t>n/a</w:t>
            </w:r>
          </w:p>
        </w:tc>
      </w:tr>
      <w:tr w:rsidR="00852EF9" w14:paraId="46EF350C" w14:textId="77777777" w:rsidTr="00852EF9">
        <w:tc>
          <w:tcPr>
            <w:tcW w:w="1548" w:type="dxa"/>
            <w:vMerge/>
            <w:tcBorders>
              <w:right w:val="single" w:sz="18" w:space="0" w:color="auto"/>
            </w:tcBorders>
          </w:tcPr>
          <w:p w14:paraId="602265F5" w14:textId="77777777" w:rsidR="00852EF9" w:rsidRDefault="00852EF9" w:rsidP="00EF4C79">
            <w:pPr>
              <w:keepNext/>
              <w:keepLines/>
              <w:rPr>
                <w:rFonts w:ascii="Times New Roman" w:hAnsi="Times New Roman" w:cs="Times New Roman"/>
                <w:b/>
              </w:rPr>
            </w:pPr>
          </w:p>
        </w:tc>
        <w:tc>
          <w:tcPr>
            <w:tcW w:w="1800" w:type="dxa"/>
            <w:tcBorders>
              <w:left w:val="single" w:sz="18" w:space="0" w:color="auto"/>
              <w:right w:val="double" w:sz="12" w:space="0" w:color="auto"/>
            </w:tcBorders>
          </w:tcPr>
          <w:p w14:paraId="22AE51CE" w14:textId="22AAAE50" w:rsidR="00852EF9" w:rsidRDefault="00852EF9" w:rsidP="00EF4C79">
            <w:pPr>
              <w:keepNext/>
              <w:keepLines/>
              <w:rPr>
                <w:rFonts w:ascii="Times New Roman" w:hAnsi="Times New Roman" w:cs="Times New Roman"/>
                <w:b/>
              </w:rPr>
            </w:pPr>
            <w:r w:rsidRPr="003D5781">
              <w:rPr>
                <w:rFonts w:ascii="Times New Roman" w:hAnsi="Times New Roman" w:cs="Times New Roman"/>
                <w:b/>
              </w:rPr>
              <w:t>No Conversion</w:t>
            </w:r>
          </w:p>
        </w:tc>
        <w:tc>
          <w:tcPr>
            <w:tcW w:w="1170" w:type="dxa"/>
            <w:tcBorders>
              <w:left w:val="double" w:sz="12" w:space="0" w:color="auto"/>
            </w:tcBorders>
          </w:tcPr>
          <w:p w14:paraId="14851199" w14:textId="5B060EC2" w:rsidR="00852EF9" w:rsidRDefault="00852EF9" w:rsidP="00EF4C79">
            <w:pPr>
              <w:keepNext/>
              <w:keepLines/>
              <w:jc w:val="right"/>
              <w:rPr>
                <w:rFonts w:ascii="Times New Roman" w:hAnsi="Times New Roman" w:cs="Times New Roman"/>
                <w:b/>
              </w:rPr>
            </w:pPr>
            <w:r w:rsidRPr="003D5781">
              <w:rPr>
                <w:rFonts w:ascii="Times New Roman" w:hAnsi="Times New Roman" w:cs="Times New Roman"/>
              </w:rPr>
              <w:t>n/a</w:t>
            </w:r>
          </w:p>
        </w:tc>
        <w:tc>
          <w:tcPr>
            <w:tcW w:w="990" w:type="dxa"/>
          </w:tcPr>
          <w:p w14:paraId="5000D22E" w14:textId="127117E6" w:rsidR="00852EF9" w:rsidRDefault="00852EF9" w:rsidP="00EF4C79">
            <w:pPr>
              <w:keepNext/>
              <w:keepLines/>
              <w:jc w:val="right"/>
              <w:rPr>
                <w:rFonts w:ascii="Times New Roman" w:hAnsi="Times New Roman" w:cs="Times New Roman"/>
                <w:b/>
              </w:rPr>
            </w:pPr>
            <w:r w:rsidRPr="003D5781">
              <w:rPr>
                <w:rFonts w:ascii="Times New Roman" w:hAnsi="Times New Roman" w:cs="Times New Roman"/>
              </w:rPr>
              <w:t>2,</w:t>
            </w:r>
            <w:r>
              <w:rPr>
                <w:rFonts w:ascii="Times New Roman" w:hAnsi="Times New Roman" w:cs="Times New Roman"/>
              </w:rPr>
              <w:t>656</w:t>
            </w:r>
          </w:p>
        </w:tc>
        <w:tc>
          <w:tcPr>
            <w:tcW w:w="1080" w:type="dxa"/>
          </w:tcPr>
          <w:p w14:paraId="4A8C0002" w14:textId="17AE89DB" w:rsidR="00852EF9" w:rsidRDefault="00852EF9" w:rsidP="00EF4C79">
            <w:pPr>
              <w:keepNext/>
              <w:keepLines/>
              <w:jc w:val="right"/>
              <w:rPr>
                <w:rFonts w:ascii="Times New Roman" w:hAnsi="Times New Roman" w:cs="Times New Roman"/>
                <w:b/>
              </w:rPr>
            </w:pPr>
            <w:r w:rsidRPr="003D5781">
              <w:rPr>
                <w:rFonts w:ascii="Times New Roman" w:hAnsi="Times New Roman" w:cs="Times New Roman"/>
              </w:rPr>
              <w:t>n/a</w:t>
            </w:r>
          </w:p>
        </w:tc>
        <w:tc>
          <w:tcPr>
            <w:tcW w:w="1127" w:type="dxa"/>
          </w:tcPr>
          <w:p w14:paraId="77E929A2" w14:textId="1DEB4BFC" w:rsidR="00852EF9" w:rsidRDefault="00852EF9" w:rsidP="00EF4C79">
            <w:pPr>
              <w:keepNext/>
              <w:keepLines/>
              <w:jc w:val="right"/>
              <w:rPr>
                <w:rFonts w:ascii="Times New Roman" w:hAnsi="Times New Roman" w:cs="Times New Roman"/>
                <w:b/>
              </w:rPr>
            </w:pPr>
            <w:r w:rsidRPr="003D5781">
              <w:rPr>
                <w:rFonts w:ascii="Times New Roman" w:hAnsi="Times New Roman" w:cs="Times New Roman"/>
              </w:rPr>
              <w:t>3</w:t>
            </w:r>
            <w:r>
              <w:rPr>
                <w:rFonts w:ascii="Times New Roman" w:hAnsi="Times New Roman" w:cs="Times New Roman"/>
              </w:rPr>
              <w:t>58,333</w:t>
            </w:r>
          </w:p>
        </w:tc>
      </w:tr>
    </w:tbl>
    <w:p w14:paraId="5E27F65D" w14:textId="77777777" w:rsidR="000301B6" w:rsidRPr="003D5781" w:rsidRDefault="000301B6" w:rsidP="00BE1E07">
      <w:pPr>
        <w:spacing w:line="480" w:lineRule="auto"/>
        <w:rPr>
          <w:rFonts w:ascii="Times New Roman" w:hAnsi="Times New Roman" w:cs="Times New Roman"/>
        </w:rPr>
      </w:pPr>
    </w:p>
    <w:p w14:paraId="3E232647" w14:textId="1640B2F5" w:rsidR="000301B6" w:rsidRDefault="000301B6" w:rsidP="00EF4C79">
      <w:pPr>
        <w:keepNext/>
        <w:keepLines/>
        <w:spacing w:line="480" w:lineRule="auto"/>
        <w:rPr>
          <w:rFonts w:ascii="Times New Roman" w:hAnsi="Times New Roman" w:cs="Times New Roman"/>
          <w:b/>
        </w:rPr>
      </w:pPr>
      <w:r w:rsidRPr="003D5781">
        <w:rPr>
          <w:rFonts w:ascii="Times New Roman" w:hAnsi="Times New Roman" w:cs="Times New Roman"/>
          <w:b/>
        </w:rPr>
        <w:t xml:space="preserve">Table </w:t>
      </w:r>
      <w:r w:rsidR="00852EF9">
        <w:rPr>
          <w:rFonts w:ascii="Times New Roman" w:hAnsi="Times New Roman" w:cs="Times New Roman"/>
          <w:b/>
        </w:rPr>
        <w:t>3</w:t>
      </w:r>
      <w:r w:rsidRPr="003D5781">
        <w:rPr>
          <w:rFonts w:ascii="Times New Roman" w:hAnsi="Times New Roman" w:cs="Times New Roman"/>
          <w:b/>
        </w:rPr>
        <w:t>: Conversion Between Chapt</w:t>
      </w:r>
      <w:r w:rsidR="002F573D">
        <w:rPr>
          <w:rFonts w:ascii="Times New Roman" w:hAnsi="Times New Roman" w:cs="Times New Roman"/>
          <w:b/>
        </w:rPr>
        <w:t>ers for Individual Bankruptcy—</w:t>
      </w:r>
      <w:r w:rsidRPr="003D5781">
        <w:rPr>
          <w:rFonts w:ascii="Times New Roman" w:hAnsi="Times New Roman" w:cs="Times New Roman"/>
          <w:b/>
        </w:rPr>
        <w:t>2013</w:t>
      </w:r>
    </w:p>
    <w:tbl>
      <w:tblPr>
        <w:tblStyle w:val="TableGrid"/>
        <w:tblW w:w="0" w:type="auto"/>
        <w:tblLayout w:type="fixed"/>
        <w:tblLook w:val="04A0" w:firstRow="1" w:lastRow="0" w:firstColumn="1" w:lastColumn="0" w:noHBand="0" w:noVBand="1"/>
      </w:tblPr>
      <w:tblGrid>
        <w:gridCol w:w="1548"/>
        <w:gridCol w:w="1800"/>
        <w:gridCol w:w="1170"/>
        <w:gridCol w:w="990"/>
        <w:gridCol w:w="1080"/>
        <w:gridCol w:w="1127"/>
      </w:tblGrid>
      <w:tr w:rsidR="00FB3022" w14:paraId="2B7A6E66" w14:textId="77777777" w:rsidTr="00904288">
        <w:tc>
          <w:tcPr>
            <w:tcW w:w="1548" w:type="dxa"/>
            <w:tcBorders>
              <w:top w:val="single" w:sz="18" w:space="0" w:color="auto"/>
              <w:left w:val="single" w:sz="18" w:space="0" w:color="auto"/>
              <w:bottom w:val="single" w:sz="18" w:space="0" w:color="auto"/>
              <w:right w:val="single" w:sz="18" w:space="0" w:color="auto"/>
            </w:tcBorders>
          </w:tcPr>
          <w:p w14:paraId="48A3D582" w14:textId="77777777" w:rsidR="00FB3022" w:rsidRDefault="00FB3022" w:rsidP="00EF4C79">
            <w:pPr>
              <w:keepNext/>
              <w:keepLines/>
              <w:rPr>
                <w:rFonts w:ascii="Times New Roman" w:hAnsi="Times New Roman" w:cs="Times New Roman"/>
                <w:b/>
              </w:rPr>
            </w:pPr>
          </w:p>
        </w:tc>
        <w:tc>
          <w:tcPr>
            <w:tcW w:w="6167" w:type="dxa"/>
            <w:gridSpan w:val="5"/>
            <w:tcBorders>
              <w:top w:val="single" w:sz="18" w:space="0" w:color="auto"/>
              <w:left w:val="single" w:sz="18" w:space="0" w:color="auto"/>
              <w:bottom w:val="single" w:sz="18" w:space="0" w:color="auto"/>
              <w:right w:val="single" w:sz="18" w:space="0" w:color="auto"/>
            </w:tcBorders>
          </w:tcPr>
          <w:p w14:paraId="5042BDDC" w14:textId="77777777" w:rsidR="00FB3022" w:rsidRDefault="00FB3022" w:rsidP="00EF4C79">
            <w:pPr>
              <w:keepNext/>
              <w:keepLines/>
              <w:jc w:val="center"/>
              <w:rPr>
                <w:rFonts w:ascii="Times New Roman" w:hAnsi="Times New Roman" w:cs="Times New Roman"/>
                <w:b/>
              </w:rPr>
            </w:pPr>
            <w:r>
              <w:rPr>
                <w:rFonts w:ascii="Times New Roman" w:hAnsi="Times New Roman" w:cs="Times New Roman"/>
                <w:b/>
              </w:rPr>
              <w:t>Initial Chapter</w:t>
            </w:r>
          </w:p>
        </w:tc>
      </w:tr>
      <w:tr w:rsidR="00FB3022" w14:paraId="48C64399" w14:textId="77777777" w:rsidTr="00904288">
        <w:tc>
          <w:tcPr>
            <w:tcW w:w="1548" w:type="dxa"/>
            <w:vMerge w:val="restart"/>
            <w:tcBorders>
              <w:top w:val="single" w:sz="18" w:space="0" w:color="auto"/>
              <w:right w:val="single" w:sz="18" w:space="0" w:color="auto"/>
            </w:tcBorders>
          </w:tcPr>
          <w:p w14:paraId="12EA11DB" w14:textId="77777777" w:rsidR="00FB3022" w:rsidRDefault="00FB3022" w:rsidP="00EF4C79">
            <w:pPr>
              <w:keepNext/>
              <w:keepLines/>
              <w:rPr>
                <w:rFonts w:ascii="Times New Roman" w:hAnsi="Times New Roman" w:cs="Times New Roman"/>
                <w:b/>
              </w:rPr>
            </w:pPr>
          </w:p>
          <w:p w14:paraId="38BBA705" w14:textId="77777777" w:rsidR="00FB3022" w:rsidRDefault="00FB3022" w:rsidP="00EF4C79">
            <w:pPr>
              <w:keepNext/>
              <w:keepLines/>
              <w:rPr>
                <w:rFonts w:ascii="Times New Roman" w:hAnsi="Times New Roman" w:cs="Times New Roman"/>
                <w:b/>
              </w:rPr>
            </w:pPr>
          </w:p>
          <w:p w14:paraId="120347F5" w14:textId="77777777" w:rsidR="00FB3022" w:rsidRPr="00852EF9" w:rsidRDefault="00FB3022" w:rsidP="00EF4C79">
            <w:pPr>
              <w:keepNext/>
              <w:keepLines/>
              <w:rPr>
                <w:rFonts w:ascii="Times New Roman" w:hAnsi="Times New Roman" w:cs="Times New Roman"/>
                <w:b/>
              </w:rPr>
            </w:pPr>
            <w:r w:rsidRPr="00852EF9">
              <w:rPr>
                <w:rFonts w:ascii="Times New Roman" w:hAnsi="Times New Roman" w:cs="Times New Roman"/>
                <w:b/>
              </w:rPr>
              <w:t>Converted Chapter</w:t>
            </w:r>
          </w:p>
        </w:tc>
        <w:tc>
          <w:tcPr>
            <w:tcW w:w="1800" w:type="dxa"/>
            <w:tcBorders>
              <w:top w:val="single" w:sz="18" w:space="0" w:color="auto"/>
              <w:left w:val="single" w:sz="18" w:space="0" w:color="auto"/>
              <w:bottom w:val="double" w:sz="6" w:space="0" w:color="auto"/>
              <w:right w:val="double" w:sz="12" w:space="0" w:color="auto"/>
            </w:tcBorders>
          </w:tcPr>
          <w:p w14:paraId="22EC2D04" w14:textId="77777777" w:rsidR="00FB3022" w:rsidRDefault="00FB3022" w:rsidP="00EF4C79">
            <w:pPr>
              <w:keepNext/>
              <w:keepLines/>
              <w:rPr>
                <w:rFonts w:ascii="Times New Roman" w:hAnsi="Times New Roman" w:cs="Times New Roman"/>
                <w:b/>
              </w:rPr>
            </w:pPr>
          </w:p>
        </w:tc>
        <w:tc>
          <w:tcPr>
            <w:tcW w:w="1170" w:type="dxa"/>
            <w:tcBorders>
              <w:top w:val="single" w:sz="18" w:space="0" w:color="auto"/>
              <w:left w:val="double" w:sz="12" w:space="0" w:color="auto"/>
              <w:bottom w:val="double" w:sz="4" w:space="0" w:color="auto"/>
            </w:tcBorders>
          </w:tcPr>
          <w:p w14:paraId="5987AFF8" w14:textId="77777777" w:rsidR="00FB3022" w:rsidRDefault="00FB3022" w:rsidP="00EF4C79">
            <w:pPr>
              <w:keepNext/>
              <w:keepLines/>
              <w:jc w:val="right"/>
              <w:rPr>
                <w:rFonts w:ascii="Times New Roman" w:hAnsi="Times New Roman" w:cs="Times New Roman"/>
                <w:b/>
              </w:rPr>
            </w:pPr>
            <w:r w:rsidRPr="003D5781">
              <w:rPr>
                <w:rFonts w:ascii="Times New Roman" w:hAnsi="Times New Roman" w:cs="Times New Roman"/>
                <w:b/>
              </w:rPr>
              <w:t>7</w:t>
            </w:r>
          </w:p>
        </w:tc>
        <w:tc>
          <w:tcPr>
            <w:tcW w:w="990" w:type="dxa"/>
            <w:tcBorders>
              <w:top w:val="single" w:sz="18" w:space="0" w:color="auto"/>
              <w:bottom w:val="double" w:sz="4" w:space="0" w:color="auto"/>
            </w:tcBorders>
          </w:tcPr>
          <w:p w14:paraId="45769BCE" w14:textId="77777777" w:rsidR="00FB3022" w:rsidRDefault="00FB3022" w:rsidP="00EF4C79">
            <w:pPr>
              <w:keepNext/>
              <w:keepLines/>
              <w:jc w:val="right"/>
              <w:rPr>
                <w:rFonts w:ascii="Times New Roman" w:hAnsi="Times New Roman" w:cs="Times New Roman"/>
                <w:b/>
              </w:rPr>
            </w:pPr>
            <w:r w:rsidRPr="003D5781">
              <w:rPr>
                <w:rFonts w:ascii="Times New Roman" w:hAnsi="Times New Roman" w:cs="Times New Roman"/>
                <w:b/>
              </w:rPr>
              <w:t>11</w:t>
            </w:r>
          </w:p>
        </w:tc>
        <w:tc>
          <w:tcPr>
            <w:tcW w:w="1080" w:type="dxa"/>
            <w:tcBorders>
              <w:top w:val="single" w:sz="18" w:space="0" w:color="auto"/>
              <w:bottom w:val="double" w:sz="4" w:space="0" w:color="auto"/>
            </w:tcBorders>
          </w:tcPr>
          <w:p w14:paraId="7243F816" w14:textId="77777777" w:rsidR="00FB3022" w:rsidRDefault="00FB3022" w:rsidP="00EF4C79">
            <w:pPr>
              <w:keepNext/>
              <w:keepLines/>
              <w:jc w:val="right"/>
              <w:rPr>
                <w:rFonts w:ascii="Times New Roman" w:hAnsi="Times New Roman" w:cs="Times New Roman"/>
                <w:b/>
              </w:rPr>
            </w:pPr>
            <w:r w:rsidRPr="003D5781">
              <w:rPr>
                <w:rFonts w:ascii="Times New Roman" w:hAnsi="Times New Roman" w:cs="Times New Roman"/>
                <w:b/>
              </w:rPr>
              <w:t>12</w:t>
            </w:r>
          </w:p>
        </w:tc>
        <w:tc>
          <w:tcPr>
            <w:tcW w:w="1127" w:type="dxa"/>
            <w:tcBorders>
              <w:top w:val="single" w:sz="18" w:space="0" w:color="auto"/>
              <w:bottom w:val="double" w:sz="4" w:space="0" w:color="auto"/>
            </w:tcBorders>
          </w:tcPr>
          <w:p w14:paraId="3491646C" w14:textId="77777777" w:rsidR="00FB3022" w:rsidRDefault="00FB3022" w:rsidP="00EF4C79">
            <w:pPr>
              <w:keepNext/>
              <w:keepLines/>
              <w:jc w:val="right"/>
              <w:rPr>
                <w:rFonts w:ascii="Times New Roman" w:hAnsi="Times New Roman" w:cs="Times New Roman"/>
                <w:b/>
              </w:rPr>
            </w:pPr>
            <w:r w:rsidRPr="003D5781">
              <w:rPr>
                <w:rFonts w:ascii="Times New Roman" w:hAnsi="Times New Roman" w:cs="Times New Roman"/>
                <w:b/>
              </w:rPr>
              <w:t>13</w:t>
            </w:r>
          </w:p>
        </w:tc>
      </w:tr>
      <w:tr w:rsidR="00FB3022" w14:paraId="7340BA59" w14:textId="77777777" w:rsidTr="00904288">
        <w:tc>
          <w:tcPr>
            <w:tcW w:w="1548" w:type="dxa"/>
            <w:vMerge/>
            <w:tcBorders>
              <w:right w:val="single" w:sz="18" w:space="0" w:color="auto"/>
            </w:tcBorders>
          </w:tcPr>
          <w:p w14:paraId="791C1F8B" w14:textId="77777777" w:rsidR="00FB3022" w:rsidRDefault="00FB3022" w:rsidP="00EF4C79">
            <w:pPr>
              <w:keepNext/>
              <w:keepLines/>
              <w:rPr>
                <w:rFonts w:ascii="Times New Roman" w:hAnsi="Times New Roman" w:cs="Times New Roman"/>
                <w:b/>
              </w:rPr>
            </w:pPr>
          </w:p>
        </w:tc>
        <w:tc>
          <w:tcPr>
            <w:tcW w:w="1800" w:type="dxa"/>
            <w:tcBorders>
              <w:top w:val="double" w:sz="12" w:space="0" w:color="auto"/>
              <w:left w:val="single" w:sz="18" w:space="0" w:color="auto"/>
              <w:right w:val="double" w:sz="12" w:space="0" w:color="auto"/>
            </w:tcBorders>
          </w:tcPr>
          <w:p w14:paraId="46F304F7" w14:textId="77777777" w:rsidR="00FB3022" w:rsidRDefault="00FB3022" w:rsidP="00EF4C79">
            <w:pPr>
              <w:keepNext/>
              <w:keepLines/>
              <w:rPr>
                <w:rFonts w:ascii="Times New Roman" w:hAnsi="Times New Roman" w:cs="Times New Roman"/>
                <w:b/>
              </w:rPr>
            </w:pPr>
            <w:r w:rsidRPr="003D5781">
              <w:rPr>
                <w:rFonts w:ascii="Times New Roman" w:hAnsi="Times New Roman" w:cs="Times New Roman"/>
                <w:b/>
              </w:rPr>
              <w:t>7</w:t>
            </w:r>
          </w:p>
        </w:tc>
        <w:tc>
          <w:tcPr>
            <w:tcW w:w="1170" w:type="dxa"/>
            <w:tcBorders>
              <w:top w:val="double" w:sz="12" w:space="0" w:color="auto"/>
              <w:left w:val="double" w:sz="12" w:space="0" w:color="auto"/>
            </w:tcBorders>
          </w:tcPr>
          <w:p w14:paraId="7412601A" w14:textId="7EC7519D" w:rsidR="00FB3022" w:rsidRDefault="00FB3022" w:rsidP="00EF4C79">
            <w:pPr>
              <w:keepNext/>
              <w:keepLines/>
              <w:jc w:val="right"/>
              <w:rPr>
                <w:rFonts w:ascii="Times New Roman" w:hAnsi="Times New Roman" w:cs="Times New Roman"/>
                <w:b/>
              </w:rPr>
            </w:pPr>
            <w:r w:rsidRPr="003D5781">
              <w:rPr>
                <w:rFonts w:ascii="Times New Roman" w:hAnsi="Times New Roman" w:cs="Times New Roman"/>
              </w:rPr>
              <w:t>n/a</w:t>
            </w:r>
          </w:p>
        </w:tc>
        <w:tc>
          <w:tcPr>
            <w:tcW w:w="990" w:type="dxa"/>
            <w:tcBorders>
              <w:top w:val="double" w:sz="12" w:space="0" w:color="auto"/>
            </w:tcBorders>
          </w:tcPr>
          <w:p w14:paraId="7FFDC69E" w14:textId="04F28B6D" w:rsidR="00FB3022" w:rsidRDefault="00FB3022" w:rsidP="00EF4C79">
            <w:pPr>
              <w:keepNext/>
              <w:keepLines/>
              <w:jc w:val="right"/>
              <w:rPr>
                <w:rFonts w:ascii="Times New Roman" w:hAnsi="Times New Roman" w:cs="Times New Roman"/>
                <w:b/>
              </w:rPr>
            </w:pPr>
            <w:r w:rsidRPr="003D5781">
              <w:rPr>
                <w:rFonts w:ascii="Times New Roman" w:hAnsi="Times New Roman" w:cs="Times New Roman"/>
              </w:rPr>
              <w:t>379</w:t>
            </w:r>
          </w:p>
        </w:tc>
        <w:tc>
          <w:tcPr>
            <w:tcW w:w="1080" w:type="dxa"/>
            <w:tcBorders>
              <w:top w:val="double" w:sz="12" w:space="0" w:color="auto"/>
            </w:tcBorders>
          </w:tcPr>
          <w:p w14:paraId="45B9A14C" w14:textId="6CCC2964" w:rsidR="00FB3022" w:rsidRDefault="00FB3022" w:rsidP="00EF4C79">
            <w:pPr>
              <w:keepNext/>
              <w:keepLines/>
              <w:jc w:val="right"/>
              <w:rPr>
                <w:rFonts w:ascii="Times New Roman" w:hAnsi="Times New Roman" w:cs="Times New Roman"/>
                <w:b/>
              </w:rPr>
            </w:pPr>
            <w:r w:rsidRPr="003D5781">
              <w:rPr>
                <w:rFonts w:ascii="Times New Roman" w:hAnsi="Times New Roman" w:cs="Times New Roman"/>
              </w:rPr>
              <w:t>n/a</w:t>
            </w:r>
          </w:p>
        </w:tc>
        <w:tc>
          <w:tcPr>
            <w:tcW w:w="1127" w:type="dxa"/>
            <w:tcBorders>
              <w:top w:val="double" w:sz="12" w:space="0" w:color="auto"/>
            </w:tcBorders>
          </w:tcPr>
          <w:p w14:paraId="7D6DAADC" w14:textId="5598FA5E" w:rsidR="00FB3022" w:rsidRDefault="00FB3022" w:rsidP="00EF4C79">
            <w:pPr>
              <w:keepNext/>
              <w:keepLines/>
              <w:jc w:val="right"/>
              <w:rPr>
                <w:rFonts w:ascii="Times New Roman" w:hAnsi="Times New Roman" w:cs="Times New Roman"/>
                <w:b/>
              </w:rPr>
            </w:pPr>
            <w:r w:rsidRPr="003D5781">
              <w:rPr>
                <w:rFonts w:ascii="Times New Roman" w:hAnsi="Times New Roman" w:cs="Times New Roman"/>
              </w:rPr>
              <w:t>20,124</w:t>
            </w:r>
          </w:p>
        </w:tc>
      </w:tr>
      <w:tr w:rsidR="00FB3022" w14:paraId="05B485E9" w14:textId="77777777" w:rsidTr="00904288">
        <w:tc>
          <w:tcPr>
            <w:tcW w:w="1548" w:type="dxa"/>
            <w:vMerge/>
            <w:tcBorders>
              <w:right w:val="single" w:sz="18" w:space="0" w:color="auto"/>
            </w:tcBorders>
          </w:tcPr>
          <w:p w14:paraId="1539CF10" w14:textId="77777777" w:rsidR="00FB3022" w:rsidRDefault="00FB3022" w:rsidP="00EF4C79">
            <w:pPr>
              <w:keepNext/>
              <w:keepLines/>
              <w:rPr>
                <w:rFonts w:ascii="Times New Roman" w:hAnsi="Times New Roman" w:cs="Times New Roman"/>
                <w:b/>
              </w:rPr>
            </w:pPr>
          </w:p>
        </w:tc>
        <w:tc>
          <w:tcPr>
            <w:tcW w:w="1800" w:type="dxa"/>
            <w:tcBorders>
              <w:left w:val="single" w:sz="18" w:space="0" w:color="auto"/>
              <w:right w:val="double" w:sz="12" w:space="0" w:color="auto"/>
            </w:tcBorders>
          </w:tcPr>
          <w:p w14:paraId="65C94D7C" w14:textId="77777777" w:rsidR="00FB3022" w:rsidRDefault="00FB3022" w:rsidP="00EF4C79">
            <w:pPr>
              <w:keepNext/>
              <w:keepLines/>
              <w:rPr>
                <w:rFonts w:ascii="Times New Roman" w:hAnsi="Times New Roman" w:cs="Times New Roman"/>
                <w:b/>
              </w:rPr>
            </w:pPr>
            <w:r w:rsidRPr="003D5781">
              <w:rPr>
                <w:rFonts w:ascii="Times New Roman" w:hAnsi="Times New Roman" w:cs="Times New Roman"/>
                <w:b/>
              </w:rPr>
              <w:t>11</w:t>
            </w:r>
          </w:p>
        </w:tc>
        <w:tc>
          <w:tcPr>
            <w:tcW w:w="1170" w:type="dxa"/>
            <w:tcBorders>
              <w:left w:val="double" w:sz="12" w:space="0" w:color="auto"/>
            </w:tcBorders>
          </w:tcPr>
          <w:p w14:paraId="76AE827C" w14:textId="1FD050D3" w:rsidR="00FB3022" w:rsidRDefault="00FB3022" w:rsidP="00EF4C79">
            <w:pPr>
              <w:keepNext/>
              <w:keepLines/>
              <w:jc w:val="right"/>
              <w:rPr>
                <w:rFonts w:ascii="Times New Roman" w:hAnsi="Times New Roman" w:cs="Times New Roman"/>
                <w:b/>
              </w:rPr>
            </w:pPr>
            <w:r w:rsidRPr="003D5781">
              <w:rPr>
                <w:rFonts w:ascii="Times New Roman" w:hAnsi="Times New Roman" w:cs="Times New Roman"/>
              </w:rPr>
              <w:t>55</w:t>
            </w:r>
          </w:p>
        </w:tc>
        <w:tc>
          <w:tcPr>
            <w:tcW w:w="990" w:type="dxa"/>
          </w:tcPr>
          <w:p w14:paraId="1FD0B33A" w14:textId="071579B6" w:rsidR="00FB3022" w:rsidRDefault="00FB3022" w:rsidP="00EF4C79">
            <w:pPr>
              <w:keepNext/>
              <w:keepLines/>
              <w:jc w:val="right"/>
              <w:rPr>
                <w:rFonts w:ascii="Times New Roman" w:hAnsi="Times New Roman" w:cs="Times New Roman"/>
                <w:b/>
              </w:rPr>
            </w:pPr>
            <w:r w:rsidRPr="003D5781">
              <w:rPr>
                <w:rFonts w:ascii="Times New Roman" w:hAnsi="Times New Roman" w:cs="Times New Roman"/>
              </w:rPr>
              <w:t>n/a</w:t>
            </w:r>
          </w:p>
        </w:tc>
        <w:tc>
          <w:tcPr>
            <w:tcW w:w="1080" w:type="dxa"/>
          </w:tcPr>
          <w:p w14:paraId="24788C5E" w14:textId="1988069E" w:rsidR="00FB3022" w:rsidRDefault="00FB3022" w:rsidP="00EF4C79">
            <w:pPr>
              <w:keepNext/>
              <w:keepLines/>
              <w:jc w:val="right"/>
              <w:rPr>
                <w:rFonts w:ascii="Times New Roman" w:hAnsi="Times New Roman" w:cs="Times New Roman"/>
                <w:b/>
              </w:rPr>
            </w:pPr>
            <w:r w:rsidRPr="003D5781">
              <w:rPr>
                <w:rFonts w:ascii="Times New Roman" w:hAnsi="Times New Roman" w:cs="Times New Roman"/>
              </w:rPr>
              <w:t>7</w:t>
            </w:r>
          </w:p>
        </w:tc>
        <w:tc>
          <w:tcPr>
            <w:tcW w:w="1127" w:type="dxa"/>
          </w:tcPr>
          <w:p w14:paraId="3FADB2E3" w14:textId="5086B18C" w:rsidR="00FB3022" w:rsidRDefault="00FB3022" w:rsidP="00EF4C79">
            <w:pPr>
              <w:keepNext/>
              <w:keepLines/>
              <w:jc w:val="right"/>
              <w:rPr>
                <w:rFonts w:ascii="Times New Roman" w:hAnsi="Times New Roman" w:cs="Times New Roman"/>
                <w:b/>
              </w:rPr>
            </w:pPr>
            <w:r w:rsidRPr="003D5781">
              <w:rPr>
                <w:rFonts w:ascii="Times New Roman" w:hAnsi="Times New Roman" w:cs="Times New Roman"/>
              </w:rPr>
              <w:t>255</w:t>
            </w:r>
          </w:p>
        </w:tc>
      </w:tr>
      <w:tr w:rsidR="00FB3022" w14:paraId="517AA7A2" w14:textId="77777777" w:rsidTr="00904288">
        <w:tc>
          <w:tcPr>
            <w:tcW w:w="1548" w:type="dxa"/>
            <w:vMerge/>
            <w:tcBorders>
              <w:right w:val="single" w:sz="18" w:space="0" w:color="auto"/>
            </w:tcBorders>
          </w:tcPr>
          <w:p w14:paraId="7981EE25" w14:textId="77777777" w:rsidR="00FB3022" w:rsidRDefault="00FB3022" w:rsidP="00EF4C79">
            <w:pPr>
              <w:keepNext/>
              <w:keepLines/>
              <w:rPr>
                <w:rFonts w:ascii="Times New Roman" w:hAnsi="Times New Roman" w:cs="Times New Roman"/>
                <w:b/>
              </w:rPr>
            </w:pPr>
          </w:p>
        </w:tc>
        <w:tc>
          <w:tcPr>
            <w:tcW w:w="1800" w:type="dxa"/>
            <w:tcBorders>
              <w:left w:val="single" w:sz="18" w:space="0" w:color="auto"/>
              <w:right w:val="double" w:sz="12" w:space="0" w:color="auto"/>
            </w:tcBorders>
          </w:tcPr>
          <w:p w14:paraId="0899EB9E" w14:textId="77777777" w:rsidR="00FB3022" w:rsidRDefault="00FB3022" w:rsidP="00EF4C79">
            <w:pPr>
              <w:keepNext/>
              <w:keepLines/>
              <w:rPr>
                <w:rFonts w:ascii="Times New Roman" w:hAnsi="Times New Roman" w:cs="Times New Roman"/>
                <w:b/>
              </w:rPr>
            </w:pPr>
            <w:r w:rsidRPr="003D5781">
              <w:rPr>
                <w:rFonts w:ascii="Times New Roman" w:hAnsi="Times New Roman" w:cs="Times New Roman"/>
                <w:b/>
              </w:rPr>
              <w:t>12</w:t>
            </w:r>
          </w:p>
        </w:tc>
        <w:tc>
          <w:tcPr>
            <w:tcW w:w="1170" w:type="dxa"/>
            <w:tcBorders>
              <w:left w:val="double" w:sz="12" w:space="0" w:color="auto"/>
            </w:tcBorders>
          </w:tcPr>
          <w:p w14:paraId="13F0CEB7" w14:textId="33F331BD" w:rsidR="00FB3022" w:rsidRDefault="00FB3022" w:rsidP="00EF4C79">
            <w:pPr>
              <w:keepNext/>
              <w:keepLines/>
              <w:jc w:val="right"/>
              <w:rPr>
                <w:rFonts w:ascii="Times New Roman" w:hAnsi="Times New Roman" w:cs="Times New Roman"/>
                <w:b/>
              </w:rPr>
            </w:pPr>
            <w:r w:rsidRPr="003D5781">
              <w:rPr>
                <w:rFonts w:ascii="Times New Roman" w:hAnsi="Times New Roman" w:cs="Times New Roman"/>
              </w:rPr>
              <w:t>n/a</w:t>
            </w:r>
          </w:p>
        </w:tc>
        <w:tc>
          <w:tcPr>
            <w:tcW w:w="990" w:type="dxa"/>
          </w:tcPr>
          <w:p w14:paraId="1836EC71" w14:textId="75C1E2F3" w:rsidR="00FB3022" w:rsidRDefault="00FB3022" w:rsidP="00EF4C79">
            <w:pPr>
              <w:keepNext/>
              <w:keepLines/>
              <w:jc w:val="right"/>
              <w:rPr>
                <w:rFonts w:ascii="Times New Roman" w:hAnsi="Times New Roman" w:cs="Times New Roman"/>
                <w:b/>
              </w:rPr>
            </w:pPr>
            <w:r w:rsidRPr="003D5781">
              <w:rPr>
                <w:rFonts w:ascii="Times New Roman" w:hAnsi="Times New Roman" w:cs="Times New Roman"/>
              </w:rPr>
              <w:t>1</w:t>
            </w:r>
          </w:p>
        </w:tc>
        <w:tc>
          <w:tcPr>
            <w:tcW w:w="1080" w:type="dxa"/>
          </w:tcPr>
          <w:p w14:paraId="0E197A1A" w14:textId="08FA3366" w:rsidR="00FB3022" w:rsidRDefault="00FB3022" w:rsidP="00EF4C79">
            <w:pPr>
              <w:keepNext/>
              <w:keepLines/>
              <w:jc w:val="right"/>
              <w:rPr>
                <w:rFonts w:ascii="Times New Roman" w:hAnsi="Times New Roman" w:cs="Times New Roman"/>
                <w:b/>
              </w:rPr>
            </w:pPr>
            <w:r w:rsidRPr="003D5781">
              <w:rPr>
                <w:rFonts w:ascii="Times New Roman" w:hAnsi="Times New Roman" w:cs="Times New Roman"/>
              </w:rPr>
              <w:t>n/a</w:t>
            </w:r>
          </w:p>
        </w:tc>
        <w:tc>
          <w:tcPr>
            <w:tcW w:w="1127" w:type="dxa"/>
          </w:tcPr>
          <w:p w14:paraId="026E0321" w14:textId="6E95D583" w:rsidR="00FB3022" w:rsidRDefault="00FB3022" w:rsidP="00EF4C79">
            <w:pPr>
              <w:keepNext/>
              <w:keepLines/>
              <w:jc w:val="right"/>
              <w:rPr>
                <w:rFonts w:ascii="Times New Roman" w:hAnsi="Times New Roman" w:cs="Times New Roman"/>
                <w:b/>
              </w:rPr>
            </w:pPr>
            <w:r w:rsidRPr="003D5781">
              <w:rPr>
                <w:rFonts w:ascii="Times New Roman" w:hAnsi="Times New Roman" w:cs="Times New Roman"/>
              </w:rPr>
              <w:t>5</w:t>
            </w:r>
          </w:p>
        </w:tc>
      </w:tr>
      <w:tr w:rsidR="00FB3022" w14:paraId="0346CFD3" w14:textId="77777777" w:rsidTr="00904288">
        <w:tc>
          <w:tcPr>
            <w:tcW w:w="1548" w:type="dxa"/>
            <w:vMerge/>
            <w:tcBorders>
              <w:right w:val="single" w:sz="18" w:space="0" w:color="auto"/>
            </w:tcBorders>
          </w:tcPr>
          <w:p w14:paraId="697DD6DB" w14:textId="77777777" w:rsidR="00FB3022" w:rsidRDefault="00FB3022" w:rsidP="00EF4C79">
            <w:pPr>
              <w:keepNext/>
              <w:keepLines/>
              <w:rPr>
                <w:rFonts w:ascii="Times New Roman" w:hAnsi="Times New Roman" w:cs="Times New Roman"/>
                <w:b/>
              </w:rPr>
            </w:pPr>
          </w:p>
        </w:tc>
        <w:tc>
          <w:tcPr>
            <w:tcW w:w="1800" w:type="dxa"/>
            <w:tcBorders>
              <w:left w:val="single" w:sz="18" w:space="0" w:color="auto"/>
              <w:right w:val="double" w:sz="12" w:space="0" w:color="auto"/>
            </w:tcBorders>
          </w:tcPr>
          <w:p w14:paraId="1BA87AB5" w14:textId="77777777" w:rsidR="00FB3022" w:rsidRDefault="00FB3022" w:rsidP="00EF4C79">
            <w:pPr>
              <w:keepNext/>
              <w:keepLines/>
              <w:rPr>
                <w:rFonts w:ascii="Times New Roman" w:hAnsi="Times New Roman" w:cs="Times New Roman"/>
                <w:b/>
              </w:rPr>
            </w:pPr>
            <w:r w:rsidRPr="003D5781">
              <w:rPr>
                <w:rFonts w:ascii="Times New Roman" w:hAnsi="Times New Roman" w:cs="Times New Roman"/>
                <w:b/>
              </w:rPr>
              <w:t>13</w:t>
            </w:r>
          </w:p>
        </w:tc>
        <w:tc>
          <w:tcPr>
            <w:tcW w:w="1170" w:type="dxa"/>
            <w:tcBorders>
              <w:left w:val="double" w:sz="12" w:space="0" w:color="auto"/>
            </w:tcBorders>
          </w:tcPr>
          <w:p w14:paraId="297841DB" w14:textId="2A49E909" w:rsidR="00FB3022" w:rsidRDefault="00FB3022" w:rsidP="00EF4C79">
            <w:pPr>
              <w:keepNext/>
              <w:keepLines/>
              <w:jc w:val="right"/>
              <w:rPr>
                <w:rFonts w:ascii="Times New Roman" w:hAnsi="Times New Roman" w:cs="Times New Roman"/>
                <w:b/>
              </w:rPr>
            </w:pPr>
            <w:r w:rsidRPr="003D5781">
              <w:rPr>
                <w:rFonts w:ascii="Times New Roman" w:hAnsi="Times New Roman" w:cs="Times New Roman"/>
              </w:rPr>
              <w:t>3,339</w:t>
            </w:r>
          </w:p>
        </w:tc>
        <w:tc>
          <w:tcPr>
            <w:tcW w:w="990" w:type="dxa"/>
          </w:tcPr>
          <w:p w14:paraId="058328B5" w14:textId="26E6DB33" w:rsidR="00FB3022" w:rsidRDefault="00FB3022" w:rsidP="00EF4C79">
            <w:pPr>
              <w:keepNext/>
              <w:keepLines/>
              <w:jc w:val="right"/>
              <w:rPr>
                <w:rFonts w:ascii="Times New Roman" w:hAnsi="Times New Roman" w:cs="Times New Roman"/>
                <w:b/>
              </w:rPr>
            </w:pPr>
            <w:r w:rsidRPr="003D5781">
              <w:rPr>
                <w:rFonts w:ascii="Times New Roman" w:hAnsi="Times New Roman" w:cs="Times New Roman"/>
              </w:rPr>
              <w:t>30</w:t>
            </w:r>
          </w:p>
        </w:tc>
        <w:tc>
          <w:tcPr>
            <w:tcW w:w="1080" w:type="dxa"/>
          </w:tcPr>
          <w:p w14:paraId="13BD596F" w14:textId="590CC508" w:rsidR="00FB3022" w:rsidRDefault="00FB3022" w:rsidP="00EF4C79">
            <w:pPr>
              <w:keepNext/>
              <w:keepLines/>
              <w:jc w:val="right"/>
              <w:rPr>
                <w:rFonts w:ascii="Times New Roman" w:hAnsi="Times New Roman" w:cs="Times New Roman"/>
                <w:b/>
              </w:rPr>
            </w:pPr>
            <w:r w:rsidRPr="003D5781">
              <w:rPr>
                <w:rFonts w:ascii="Times New Roman" w:hAnsi="Times New Roman" w:cs="Times New Roman"/>
              </w:rPr>
              <w:t>8</w:t>
            </w:r>
          </w:p>
        </w:tc>
        <w:tc>
          <w:tcPr>
            <w:tcW w:w="1127" w:type="dxa"/>
          </w:tcPr>
          <w:p w14:paraId="621CBB35" w14:textId="58E54120" w:rsidR="00FB3022" w:rsidRDefault="00FB3022" w:rsidP="00EF4C79">
            <w:pPr>
              <w:keepNext/>
              <w:keepLines/>
              <w:jc w:val="right"/>
              <w:rPr>
                <w:rFonts w:ascii="Times New Roman" w:hAnsi="Times New Roman" w:cs="Times New Roman"/>
                <w:b/>
              </w:rPr>
            </w:pPr>
            <w:r w:rsidRPr="003D5781">
              <w:rPr>
                <w:rFonts w:ascii="Times New Roman" w:hAnsi="Times New Roman" w:cs="Times New Roman"/>
              </w:rPr>
              <w:t>n/a</w:t>
            </w:r>
          </w:p>
        </w:tc>
      </w:tr>
      <w:tr w:rsidR="00FB3022" w14:paraId="50CF035B" w14:textId="77777777" w:rsidTr="00904288">
        <w:tc>
          <w:tcPr>
            <w:tcW w:w="1548" w:type="dxa"/>
            <w:vMerge/>
            <w:tcBorders>
              <w:right w:val="single" w:sz="18" w:space="0" w:color="auto"/>
            </w:tcBorders>
          </w:tcPr>
          <w:p w14:paraId="4E9F96E3" w14:textId="77777777" w:rsidR="00FB3022" w:rsidRDefault="00FB3022" w:rsidP="00EF4C79">
            <w:pPr>
              <w:keepNext/>
              <w:keepLines/>
              <w:rPr>
                <w:rFonts w:ascii="Times New Roman" w:hAnsi="Times New Roman" w:cs="Times New Roman"/>
                <w:b/>
              </w:rPr>
            </w:pPr>
          </w:p>
        </w:tc>
        <w:tc>
          <w:tcPr>
            <w:tcW w:w="1800" w:type="dxa"/>
            <w:tcBorders>
              <w:left w:val="single" w:sz="18" w:space="0" w:color="auto"/>
              <w:right w:val="double" w:sz="12" w:space="0" w:color="auto"/>
            </w:tcBorders>
          </w:tcPr>
          <w:p w14:paraId="5B6C5603" w14:textId="77777777" w:rsidR="00FB3022" w:rsidRDefault="00FB3022" w:rsidP="00EF4C79">
            <w:pPr>
              <w:keepNext/>
              <w:keepLines/>
              <w:rPr>
                <w:rFonts w:ascii="Times New Roman" w:hAnsi="Times New Roman" w:cs="Times New Roman"/>
                <w:b/>
              </w:rPr>
            </w:pPr>
            <w:r w:rsidRPr="003D5781">
              <w:rPr>
                <w:rFonts w:ascii="Times New Roman" w:hAnsi="Times New Roman" w:cs="Times New Roman"/>
                <w:b/>
              </w:rPr>
              <w:t>No Conversion</w:t>
            </w:r>
          </w:p>
        </w:tc>
        <w:tc>
          <w:tcPr>
            <w:tcW w:w="1170" w:type="dxa"/>
            <w:tcBorders>
              <w:left w:val="double" w:sz="12" w:space="0" w:color="auto"/>
            </w:tcBorders>
          </w:tcPr>
          <w:p w14:paraId="662C8FDF" w14:textId="1BBD7880" w:rsidR="00FB3022" w:rsidRDefault="00FB3022" w:rsidP="00EF4C79">
            <w:pPr>
              <w:keepNext/>
              <w:keepLines/>
              <w:jc w:val="right"/>
              <w:rPr>
                <w:rFonts w:ascii="Times New Roman" w:hAnsi="Times New Roman" w:cs="Times New Roman"/>
                <w:b/>
              </w:rPr>
            </w:pPr>
            <w:r w:rsidRPr="003D5781">
              <w:rPr>
                <w:rFonts w:ascii="Times New Roman" w:hAnsi="Times New Roman" w:cs="Times New Roman"/>
              </w:rPr>
              <w:t>n/a</w:t>
            </w:r>
          </w:p>
        </w:tc>
        <w:tc>
          <w:tcPr>
            <w:tcW w:w="990" w:type="dxa"/>
          </w:tcPr>
          <w:p w14:paraId="56985599" w14:textId="6293BCF9" w:rsidR="00FB3022" w:rsidRDefault="00FB3022" w:rsidP="00EF4C79">
            <w:pPr>
              <w:keepNext/>
              <w:keepLines/>
              <w:jc w:val="right"/>
              <w:rPr>
                <w:rFonts w:ascii="Times New Roman" w:hAnsi="Times New Roman" w:cs="Times New Roman"/>
                <w:b/>
              </w:rPr>
            </w:pPr>
            <w:r w:rsidRPr="003D5781">
              <w:rPr>
                <w:rFonts w:ascii="Times New Roman" w:hAnsi="Times New Roman" w:cs="Times New Roman"/>
              </w:rPr>
              <w:t>1,</w:t>
            </w:r>
            <w:r>
              <w:rPr>
                <w:rFonts w:ascii="Times New Roman" w:hAnsi="Times New Roman" w:cs="Times New Roman"/>
              </w:rPr>
              <w:t>890</w:t>
            </w:r>
          </w:p>
        </w:tc>
        <w:tc>
          <w:tcPr>
            <w:tcW w:w="1080" w:type="dxa"/>
          </w:tcPr>
          <w:p w14:paraId="2D18A487" w14:textId="2D8E2E4C" w:rsidR="00FB3022" w:rsidRDefault="00FB3022" w:rsidP="00EF4C79">
            <w:pPr>
              <w:keepNext/>
              <w:keepLines/>
              <w:jc w:val="right"/>
              <w:rPr>
                <w:rFonts w:ascii="Times New Roman" w:hAnsi="Times New Roman" w:cs="Times New Roman"/>
                <w:b/>
              </w:rPr>
            </w:pPr>
            <w:r w:rsidRPr="003D5781">
              <w:rPr>
                <w:rFonts w:ascii="Times New Roman" w:hAnsi="Times New Roman" w:cs="Times New Roman"/>
              </w:rPr>
              <w:t>n/a</w:t>
            </w:r>
          </w:p>
        </w:tc>
        <w:tc>
          <w:tcPr>
            <w:tcW w:w="1127" w:type="dxa"/>
          </w:tcPr>
          <w:p w14:paraId="256C8FA2" w14:textId="16598514" w:rsidR="00FB3022" w:rsidRDefault="00FB3022" w:rsidP="00EF4C79">
            <w:pPr>
              <w:keepNext/>
              <w:keepLines/>
              <w:jc w:val="right"/>
              <w:rPr>
                <w:rFonts w:ascii="Times New Roman" w:hAnsi="Times New Roman" w:cs="Times New Roman"/>
                <w:b/>
              </w:rPr>
            </w:pPr>
            <w:r w:rsidRPr="003D5781">
              <w:rPr>
                <w:rFonts w:ascii="Times New Roman" w:hAnsi="Times New Roman" w:cs="Times New Roman"/>
              </w:rPr>
              <w:t>2</w:t>
            </w:r>
            <w:r>
              <w:rPr>
                <w:rFonts w:ascii="Times New Roman" w:hAnsi="Times New Roman" w:cs="Times New Roman"/>
              </w:rPr>
              <w:t>74,490</w:t>
            </w:r>
          </w:p>
        </w:tc>
      </w:tr>
    </w:tbl>
    <w:p w14:paraId="5B2A0C4A" w14:textId="77777777" w:rsidR="000301B6" w:rsidRPr="003D5781" w:rsidRDefault="000301B6" w:rsidP="00BE1E07">
      <w:pPr>
        <w:spacing w:line="480" w:lineRule="auto"/>
        <w:rPr>
          <w:rFonts w:ascii="Times New Roman" w:hAnsi="Times New Roman" w:cs="Times New Roman"/>
        </w:rPr>
      </w:pPr>
    </w:p>
    <w:p w14:paraId="77265EB4" w14:textId="74DD063A" w:rsidR="000301B6" w:rsidRDefault="00083B34" w:rsidP="003D5781">
      <w:pPr>
        <w:spacing w:line="480" w:lineRule="auto"/>
        <w:rPr>
          <w:rFonts w:ascii="Times New Roman" w:hAnsi="Times New Roman" w:cs="Times New Roman"/>
        </w:rPr>
      </w:pPr>
      <w:r>
        <w:rPr>
          <w:rFonts w:ascii="Times New Roman" w:hAnsi="Times New Roman" w:cs="Times New Roman"/>
        </w:rPr>
        <w:t xml:space="preserve">The data in </w:t>
      </w:r>
      <w:r w:rsidR="000301B6" w:rsidRPr="003D5781">
        <w:rPr>
          <w:rFonts w:ascii="Times New Roman" w:hAnsi="Times New Roman" w:cs="Times New Roman"/>
        </w:rPr>
        <w:t>Table</w:t>
      </w:r>
      <w:r w:rsidR="003B6419" w:rsidRPr="003D5781">
        <w:rPr>
          <w:rFonts w:ascii="Times New Roman" w:hAnsi="Times New Roman" w:cs="Times New Roman"/>
        </w:rPr>
        <w:t>s</w:t>
      </w:r>
      <w:r w:rsidR="000301B6" w:rsidRPr="003D5781">
        <w:rPr>
          <w:rFonts w:ascii="Times New Roman" w:hAnsi="Times New Roman" w:cs="Times New Roman"/>
        </w:rPr>
        <w:t xml:space="preserve"> </w:t>
      </w:r>
      <w:r w:rsidR="003B6419" w:rsidRPr="003D5781">
        <w:rPr>
          <w:rFonts w:ascii="Times New Roman" w:hAnsi="Times New Roman" w:cs="Times New Roman"/>
        </w:rPr>
        <w:t xml:space="preserve">2 and </w:t>
      </w:r>
      <w:r w:rsidR="00FB3022">
        <w:rPr>
          <w:rFonts w:ascii="Times New Roman" w:hAnsi="Times New Roman" w:cs="Times New Roman"/>
        </w:rPr>
        <w:t>3</w:t>
      </w:r>
      <w:r w:rsidR="003B6419" w:rsidRPr="003D5781">
        <w:rPr>
          <w:rFonts w:ascii="Times New Roman" w:hAnsi="Times New Roman" w:cs="Times New Roman"/>
        </w:rPr>
        <w:t xml:space="preserve"> </w:t>
      </w:r>
      <w:r w:rsidR="000301B6" w:rsidRPr="003D5781">
        <w:rPr>
          <w:rFonts w:ascii="Times New Roman" w:hAnsi="Times New Roman" w:cs="Times New Roman"/>
        </w:rPr>
        <w:t xml:space="preserve">reveal that debtors sometimes convert from </w:t>
      </w:r>
      <w:r w:rsidR="00AA091B">
        <w:rPr>
          <w:rFonts w:ascii="Times New Roman" w:hAnsi="Times New Roman" w:cs="Times New Roman"/>
        </w:rPr>
        <w:t>chapter</w:t>
      </w:r>
      <w:r w:rsidR="000301B6" w:rsidRPr="003D5781">
        <w:rPr>
          <w:rFonts w:ascii="Times New Roman" w:hAnsi="Times New Roman" w:cs="Times New Roman"/>
        </w:rPr>
        <w:t xml:space="preserve"> 11 to </w:t>
      </w:r>
      <w:r w:rsidR="00AA091B">
        <w:rPr>
          <w:rFonts w:ascii="Times New Roman" w:hAnsi="Times New Roman" w:cs="Times New Roman"/>
        </w:rPr>
        <w:t>chapter</w:t>
      </w:r>
      <w:r w:rsidR="000301B6" w:rsidRPr="003D5781">
        <w:rPr>
          <w:rFonts w:ascii="Times New Roman" w:hAnsi="Times New Roman" w:cs="Times New Roman"/>
        </w:rPr>
        <w:t xml:space="preserve"> 13 and vice versa, but conversion from </w:t>
      </w:r>
      <w:r w:rsidR="00CF2E15">
        <w:rPr>
          <w:rFonts w:ascii="Times New Roman" w:hAnsi="Times New Roman" w:cs="Times New Roman"/>
        </w:rPr>
        <w:t xml:space="preserve">either </w:t>
      </w:r>
      <w:r w:rsidR="000301B6" w:rsidRPr="003D5781">
        <w:rPr>
          <w:rFonts w:ascii="Times New Roman" w:hAnsi="Times New Roman" w:cs="Times New Roman"/>
        </w:rPr>
        <w:t xml:space="preserve">chapter to </w:t>
      </w:r>
      <w:r w:rsidR="00AA091B">
        <w:rPr>
          <w:rFonts w:ascii="Times New Roman" w:hAnsi="Times New Roman" w:cs="Times New Roman"/>
        </w:rPr>
        <w:t>chapter</w:t>
      </w:r>
      <w:r w:rsidR="000301B6" w:rsidRPr="003D5781">
        <w:rPr>
          <w:rFonts w:ascii="Times New Roman" w:hAnsi="Times New Roman" w:cs="Times New Roman"/>
        </w:rPr>
        <w:t xml:space="preserve"> 7 is far more common. Of the </w:t>
      </w:r>
      <w:r w:rsidR="00700906" w:rsidRPr="003D5781">
        <w:rPr>
          <w:rFonts w:ascii="Times New Roman" w:hAnsi="Times New Roman" w:cs="Times New Roman"/>
        </w:rPr>
        <w:t>3,</w:t>
      </w:r>
      <w:r w:rsidR="000301B6" w:rsidRPr="003D5781">
        <w:rPr>
          <w:rFonts w:ascii="Times New Roman" w:hAnsi="Times New Roman" w:cs="Times New Roman"/>
        </w:rPr>
        <w:t xml:space="preserve">642 cases initially filed in </w:t>
      </w:r>
      <w:r w:rsidR="00AA091B">
        <w:rPr>
          <w:rFonts w:ascii="Times New Roman" w:hAnsi="Times New Roman" w:cs="Times New Roman"/>
        </w:rPr>
        <w:t>chapter</w:t>
      </w:r>
      <w:r w:rsidR="000301B6" w:rsidRPr="003D5781">
        <w:rPr>
          <w:rFonts w:ascii="Times New Roman" w:hAnsi="Times New Roman" w:cs="Times New Roman"/>
        </w:rPr>
        <w:t xml:space="preserve"> 11 in 2010,</w:t>
      </w:r>
      <w:r w:rsidR="000301B6" w:rsidRPr="003D5781">
        <w:rPr>
          <w:rStyle w:val="FootnoteReference"/>
          <w:rFonts w:ascii="Times New Roman" w:hAnsi="Times New Roman" w:cs="Times New Roman"/>
        </w:rPr>
        <w:footnoteReference w:id="58"/>
      </w:r>
      <w:r w:rsidR="000301B6" w:rsidRPr="003D5781">
        <w:rPr>
          <w:rFonts w:ascii="Times New Roman" w:hAnsi="Times New Roman" w:cs="Times New Roman"/>
        </w:rPr>
        <w:t xml:space="preserve"> just 48 (1.3</w:t>
      </w:r>
      <w:r w:rsidR="00042036">
        <w:rPr>
          <w:rFonts w:ascii="Times New Roman" w:hAnsi="Times New Roman" w:cs="Times New Roman"/>
        </w:rPr>
        <w:t>%</w:t>
      </w:r>
      <w:r w:rsidR="000301B6" w:rsidRPr="003D5781">
        <w:rPr>
          <w:rFonts w:ascii="Times New Roman" w:hAnsi="Times New Roman" w:cs="Times New Roman"/>
        </w:rPr>
        <w:t xml:space="preserve">) were converted to </w:t>
      </w:r>
      <w:r w:rsidR="00AA091B">
        <w:rPr>
          <w:rFonts w:ascii="Times New Roman" w:hAnsi="Times New Roman" w:cs="Times New Roman"/>
        </w:rPr>
        <w:t>chapter</w:t>
      </w:r>
      <w:r w:rsidR="000301B6" w:rsidRPr="003D5781">
        <w:rPr>
          <w:rFonts w:ascii="Times New Roman" w:hAnsi="Times New Roman" w:cs="Times New Roman"/>
        </w:rPr>
        <w:t xml:space="preserve"> 13 while 937 (25.7</w:t>
      </w:r>
      <w:r w:rsidR="00042036">
        <w:rPr>
          <w:rFonts w:ascii="Times New Roman" w:hAnsi="Times New Roman" w:cs="Times New Roman"/>
        </w:rPr>
        <w:t>%</w:t>
      </w:r>
      <w:r w:rsidR="000301B6" w:rsidRPr="003D5781">
        <w:rPr>
          <w:rFonts w:ascii="Times New Roman" w:hAnsi="Times New Roman" w:cs="Times New Roman"/>
        </w:rPr>
        <w:t xml:space="preserve">) were converted to </w:t>
      </w:r>
      <w:r w:rsidR="00AA091B">
        <w:rPr>
          <w:rFonts w:ascii="Times New Roman" w:hAnsi="Times New Roman" w:cs="Times New Roman"/>
        </w:rPr>
        <w:t>chapter</w:t>
      </w:r>
      <w:r w:rsidR="000301B6" w:rsidRPr="003D5781">
        <w:rPr>
          <w:rFonts w:ascii="Times New Roman" w:hAnsi="Times New Roman" w:cs="Times New Roman"/>
        </w:rPr>
        <w:t xml:space="preserve"> 7. Similarly, of the 400,</w:t>
      </w:r>
      <w:r w:rsidR="00A13EAF">
        <w:rPr>
          <w:rFonts w:ascii="Times New Roman" w:hAnsi="Times New Roman" w:cs="Times New Roman"/>
        </w:rPr>
        <w:t>953</w:t>
      </w:r>
      <w:r w:rsidR="000301B6" w:rsidRPr="003D5781">
        <w:rPr>
          <w:rFonts w:ascii="Times New Roman" w:hAnsi="Times New Roman" w:cs="Times New Roman"/>
        </w:rPr>
        <w:t xml:space="preserve"> cases initially filed in </w:t>
      </w:r>
      <w:r w:rsidR="00AA091B">
        <w:rPr>
          <w:rFonts w:ascii="Times New Roman" w:hAnsi="Times New Roman" w:cs="Times New Roman"/>
        </w:rPr>
        <w:t>chapter</w:t>
      </w:r>
      <w:r w:rsidR="000301B6" w:rsidRPr="003D5781">
        <w:rPr>
          <w:rFonts w:ascii="Times New Roman" w:hAnsi="Times New Roman" w:cs="Times New Roman"/>
        </w:rPr>
        <w:t xml:space="preserve"> 13, only 310 (0.0</w:t>
      </w:r>
      <w:r w:rsidR="00A13EAF">
        <w:rPr>
          <w:rFonts w:ascii="Times New Roman" w:hAnsi="Times New Roman" w:cs="Times New Roman"/>
        </w:rPr>
        <w:t>8</w:t>
      </w:r>
      <w:r w:rsidR="000301B6" w:rsidRPr="003D5781">
        <w:rPr>
          <w:rFonts w:ascii="Times New Roman" w:hAnsi="Times New Roman" w:cs="Times New Roman"/>
        </w:rPr>
        <w:t xml:space="preserve">%) were converted to </w:t>
      </w:r>
      <w:r w:rsidR="00AA091B">
        <w:rPr>
          <w:rFonts w:ascii="Times New Roman" w:hAnsi="Times New Roman" w:cs="Times New Roman"/>
        </w:rPr>
        <w:t>chapter</w:t>
      </w:r>
      <w:r w:rsidR="000301B6" w:rsidRPr="003D5781">
        <w:rPr>
          <w:rFonts w:ascii="Times New Roman" w:hAnsi="Times New Roman" w:cs="Times New Roman"/>
        </w:rPr>
        <w:t xml:space="preserve"> 11 while 42,293 (10.</w:t>
      </w:r>
      <w:r w:rsidR="00A13EAF">
        <w:rPr>
          <w:rFonts w:ascii="Times New Roman" w:hAnsi="Times New Roman" w:cs="Times New Roman"/>
        </w:rPr>
        <w:t>55</w:t>
      </w:r>
      <w:r w:rsidR="00042036">
        <w:rPr>
          <w:rFonts w:ascii="Times New Roman" w:hAnsi="Times New Roman" w:cs="Times New Roman"/>
        </w:rPr>
        <w:t>%</w:t>
      </w:r>
      <w:r w:rsidR="000301B6" w:rsidRPr="003D5781">
        <w:rPr>
          <w:rFonts w:ascii="Times New Roman" w:hAnsi="Times New Roman" w:cs="Times New Roman"/>
        </w:rPr>
        <w:t xml:space="preserve">) were converted to </w:t>
      </w:r>
      <w:r w:rsidR="00AA091B">
        <w:rPr>
          <w:rFonts w:ascii="Times New Roman" w:hAnsi="Times New Roman" w:cs="Times New Roman"/>
        </w:rPr>
        <w:t>chapter</w:t>
      </w:r>
      <w:r w:rsidR="000301B6" w:rsidRPr="003D5781">
        <w:rPr>
          <w:rFonts w:ascii="Times New Roman" w:hAnsi="Times New Roman" w:cs="Times New Roman"/>
        </w:rPr>
        <w:t xml:space="preserve"> 7. This means that </w:t>
      </w:r>
      <w:r w:rsidR="00AA091B">
        <w:rPr>
          <w:rFonts w:ascii="Times New Roman" w:hAnsi="Times New Roman" w:cs="Times New Roman"/>
        </w:rPr>
        <w:t>chapter</w:t>
      </w:r>
      <w:r w:rsidR="000301B6" w:rsidRPr="003D5781">
        <w:rPr>
          <w:rFonts w:ascii="Times New Roman" w:hAnsi="Times New Roman" w:cs="Times New Roman"/>
        </w:rPr>
        <w:t xml:space="preserve"> 11 cases are converted to </w:t>
      </w:r>
      <w:r w:rsidR="00AA091B">
        <w:rPr>
          <w:rFonts w:ascii="Times New Roman" w:hAnsi="Times New Roman" w:cs="Times New Roman"/>
        </w:rPr>
        <w:t>chapter</w:t>
      </w:r>
      <w:r w:rsidR="000301B6" w:rsidRPr="003D5781">
        <w:rPr>
          <w:rFonts w:ascii="Times New Roman" w:hAnsi="Times New Roman" w:cs="Times New Roman"/>
        </w:rPr>
        <w:t xml:space="preserve"> 7 at </w:t>
      </w:r>
      <w:r w:rsidR="001A6051">
        <w:rPr>
          <w:rFonts w:ascii="Times New Roman" w:hAnsi="Times New Roman" w:cs="Times New Roman"/>
        </w:rPr>
        <w:t xml:space="preserve">more than </w:t>
      </w:r>
      <w:r w:rsidR="000301B6" w:rsidRPr="003D5781">
        <w:rPr>
          <w:rFonts w:ascii="Times New Roman" w:hAnsi="Times New Roman" w:cs="Times New Roman"/>
        </w:rPr>
        <w:t xml:space="preserve">twice the rate that </w:t>
      </w:r>
      <w:r w:rsidR="00AA091B">
        <w:rPr>
          <w:rFonts w:ascii="Times New Roman" w:hAnsi="Times New Roman" w:cs="Times New Roman"/>
        </w:rPr>
        <w:t>chapter</w:t>
      </w:r>
      <w:r w:rsidR="000301B6" w:rsidRPr="003D5781">
        <w:rPr>
          <w:rFonts w:ascii="Times New Roman" w:hAnsi="Times New Roman" w:cs="Times New Roman"/>
        </w:rPr>
        <w:t xml:space="preserve"> 13 cases are converted to </w:t>
      </w:r>
      <w:r w:rsidR="00AA091B">
        <w:rPr>
          <w:rFonts w:ascii="Times New Roman" w:hAnsi="Times New Roman" w:cs="Times New Roman"/>
        </w:rPr>
        <w:t>chapter</w:t>
      </w:r>
      <w:r w:rsidR="000301B6" w:rsidRPr="003D5781">
        <w:rPr>
          <w:rFonts w:ascii="Times New Roman" w:hAnsi="Times New Roman" w:cs="Times New Roman"/>
        </w:rPr>
        <w:t xml:space="preserve"> 7. We return to this fact when we discuss the “success” rate </w:t>
      </w:r>
      <w:r w:rsidR="0084413D">
        <w:rPr>
          <w:rFonts w:ascii="Times New Roman" w:hAnsi="Times New Roman" w:cs="Times New Roman"/>
        </w:rPr>
        <w:t>in Section IV</w:t>
      </w:r>
      <w:r w:rsidR="000301B6" w:rsidRPr="003D5781">
        <w:rPr>
          <w:rFonts w:ascii="Times New Roman" w:hAnsi="Times New Roman" w:cs="Times New Roman"/>
        </w:rPr>
        <w:t xml:space="preserve"> below.</w:t>
      </w:r>
    </w:p>
    <w:p w14:paraId="5034531C" w14:textId="534E63B7" w:rsidR="00D929F8" w:rsidRPr="000951EC" w:rsidRDefault="00D929F8" w:rsidP="00335C21">
      <w:pPr>
        <w:keepNext/>
        <w:spacing w:line="480" w:lineRule="auto"/>
        <w:rPr>
          <w:rFonts w:ascii="Times New Roman" w:hAnsi="Times New Roman" w:cs="Times New Roman"/>
          <w:i/>
        </w:rPr>
      </w:pPr>
      <w:r>
        <w:rPr>
          <w:rFonts w:ascii="Times New Roman" w:hAnsi="Times New Roman" w:cs="Times New Roman"/>
          <w:i/>
        </w:rPr>
        <w:t>3.</w:t>
      </w:r>
      <w:r>
        <w:rPr>
          <w:rFonts w:ascii="Times New Roman" w:hAnsi="Times New Roman" w:cs="Times New Roman"/>
          <w:i/>
        </w:rPr>
        <w:tab/>
        <w:t>Where Are the Debtors Filing?</w:t>
      </w:r>
    </w:p>
    <w:p w14:paraId="58D7AA7A" w14:textId="5E44C652" w:rsidR="00910805" w:rsidRPr="00D929F8" w:rsidRDefault="00910805" w:rsidP="000951EC">
      <w:pPr>
        <w:spacing w:line="480" w:lineRule="auto"/>
        <w:ind w:firstLine="720"/>
        <w:rPr>
          <w:rFonts w:ascii="Times New Roman" w:hAnsi="Times New Roman" w:cs="Times New Roman"/>
        </w:rPr>
      </w:pPr>
      <w:r w:rsidRPr="00D929F8">
        <w:rPr>
          <w:rFonts w:ascii="Times New Roman" w:hAnsi="Times New Roman" w:cs="Times New Roman"/>
        </w:rPr>
        <w:t xml:space="preserve">As the data in Table </w:t>
      </w:r>
      <w:r w:rsidR="00FB3022">
        <w:rPr>
          <w:rFonts w:ascii="Times New Roman" w:hAnsi="Times New Roman" w:cs="Times New Roman"/>
        </w:rPr>
        <w:t>4</w:t>
      </w:r>
      <w:r w:rsidRPr="00D929F8">
        <w:rPr>
          <w:rFonts w:ascii="Times New Roman" w:hAnsi="Times New Roman" w:cs="Times New Roman"/>
        </w:rPr>
        <w:t xml:space="preserve"> show, there is wide variation among districts in terms of individual </w:t>
      </w:r>
      <w:r w:rsidR="00AA091B">
        <w:rPr>
          <w:rFonts w:ascii="Times New Roman" w:hAnsi="Times New Roman" w:cs="Times New Roman"/>
        </w:rPr>
        <w:t>chapter</w:t>
      </w:r>
      <w:r w:rsidRPr="00D929F8">
        <w:rPr>
          <w:rFonts w:ascii="Times New Roman" w:hAnsi="Times New Roman" w:cs="Times New Roman"/>
        </w:rPr>
        <w:t xml:space="preserve"> 11 filings. Table </w:t>
      </w:r>
      <w:r w:rsidR="00E35ABB">
        <w:rPr>
          <w:rFonts w:ascii="Times New Roman" w:hAnsi="Times New Roman" w:cs="Times New Roman"/>
        </w:rPr>
        <w:t>4</w:t>
      </w:r>
      <w:r w:rsidRPr="00D929F8">
        <w:rPr>
          <w:rFonts w:ascii="Times New Roman" w:hAnsi="Times New Roman" w:cs="Times New Roman"/>
        </w:rPr>
        <w:t xml:space="preserve"> provides data from the five districts with the highest and lowest number of individual </w:t>
      </w:r>
      <w:r w:rsidR="00AA091B">
        <w:rPr>
          <w:rFonts w:ascii="Times New Roman" w:hAnsi="Times New Roman" w:cs="Times New Roman"/>
        </w:rPr>
        <w:t>chapter</w:t>
      </w:r>
      <w:r w:rsidRPr="00D929F8">
        <w:rPr>
          <w:rFonts w:ascii="Times New Roman" w:hAnsi="Times New Roman" w:cs="Times New Roman"/>
        </w:rPr>
        <w:t xml:space="preserve"> 11 filings in 2010 and 2013. </w:t>
      </w:r>
      <w:r w:rsidRPr="00B74262">
        <w:rPr>
          <w:rFonts w:ascii="Times New Roman" w:hAnsi="Times New Roman" w:cs="Times New Roman"/>
        </w:rPr>
        <w:t xml:space="preserve">For data on all 78 judicial districts, </w:t>
      </w:r>
      <w:r w:rsidRPr="00B74262">
        <w:rPr>
          <w:rFonts w:ascii="Times New Roman" w:hAnsi="Times New Roman" w:cs="Times New Roman"/>
          <w:i/>
        </w:rPr>
        <w:t xml:space="preserve">see </w:t>
      </w:r>
      <w:r w:rsidRPr="00B74262">
        <w:rPr>
          <w:rFonts w:ascii="Times New Roman" w:hAnsi="Times New Roman" w:cs="Times New Roman"/>
        </w:rPr>
        <w:t xml:space="preserve">Appendix A, Table </w:t>
      </w:r>
      <w:r w:rsidR="00534A67">
        <w:rPr>
          <w:rFonts w:ascii="Times New Roman" w:hAnsi="Times New Roman" w:cs="Times New Roman"/>
        </w:rPr>
        <w:t>58</w:t>
      </w:r>
      <w:r w:rsidRPr="00B74262">
        <w:rPr>
          <w:rFonts w:ascii="Times New Roman" w:hAnsi="Times New Roman" w:cs="Times New Roman"/>
        </w:rPr>
        <w:t xml:space="preserve">. </w:t>
      </w:r>
      <w:r>
        <w:rPr>
          <w:rFonts w:ascii="Times New Roman" w:hAnsi="Times New Roman" w:cs="Times New Roman"/>
        </w:rPr>
        <w:t xml:space="preserve">Both Tables </w:t>
      </w:r>
      <w:r w:rsidR="00FB3022">
        <w:rPr>
          <w:rFonts w:ascii="Times New Roman" w:hAnsi="Times New Roman" w:cs="Times New Roman"/>
        </w:rPr>
        <w:t>4</w:t>
      </w:r>
      <w:r>
        <w:rPr>
          <w:rFonts w:ascii="Times New Roman" w:hAnsi="Times New Roman" w:cs="Times New Roman"/>
        </w:rPr>
        <w:t xml:space="preserve"> and </w:t>
      </w:r>
      <w:r w:rsidR="00534A67">
        <w:rPr>
          <w:rFonts w:ascii="Times New Roman" w:hAnsi="Times New Roman" w:cs="Times New Roman"/>
        </w:rPr>
        <w:t>58</w:t>
      </w:r>
      <w:r>
        <w:rPr>
          <w:rFonts w:ascii="Times New Roman" w:hAnsi="Times New Roman" w:cs="Times New Roman"/>
        </w:rPr>
        <w:t xml:space="preserve"> provide four</w:t>
      </w:r>
      <w:r w:rsidRPr="00D929F8">
        <w:rPr>
          <w:rFonts w:ascii="Times New Roman" w:hAnsi="Times New Roman" w:cs="Times New Roman"/>
        </w:rPr>
        <w:t xml:space="preserve"> pieces of information: (1) </w:t>
      </w:r>
      <w:r>
        <w:rPr>
          <w:rFonts w:ascii="Times New Roman" w:hAnsi="Times New Roman" w:cs="Times New Roman"/>
        </w:rPr>
        <w:t xml:space="preserve">the jurisdiction in which the case was filed; (2) the number of cases in that jurisdiction; (3) </w:t>
      </w:r>
      <w:r w:rsidRPr="00D929F8">
        <w:rPr>
          <w:rFonts w:ascii="Times New Roman" w:hAnsi="Times New Roman" w:cs="Times New Roman"/>
        </w:rPr>
        <w:t xml:space="preserve">that jurisdiction’s share of our </w:t>
      </w:r>
      <w:r w:rsidR="00556FDD">
        <w:rPr>
          <w:rFonts w:ascii="Times New Roman" w:hAnsi="Times New Roman" w:cs="Times New Roman"/>
        </w:rPr>
        <w:t xml:space="preserve">PACER </w:t>
      </w:r>
      <w:r w:rsidRPr="00D929F8">
        <w:rPr>
          <w:rFonts w:ascii="Times New Roman" w:hAnsi="Times New Roman" w:cs="Times New Roman"/>
        </w:rPr>
        <w:t>total sample; and (</w:t>
      </w:r>
      <w:r>
        <w:rPr>
          <w:rFonts w:ascii="Times New Roman" w:hAnsi="Times New Roman" w:cs="Times New Roman"/>
        </w:rPr>
        <w:t>4</w:t>
      </w:r>
      <w:r w:rsidRPr="00D929F8">
        <w:rPr>
          <w:rFonts w:ascii="Times New Roman" w:hAnsi="Times New Roman" w:cs="Times New Roman"/>
        </w:rPr>
        <w:t xml:space="preserve">) the </w:t>
      </w:r>
      <w:r w:rsidR="00D3165F">
        <w:rPr>
          <w:rFonts w:ascii="Times New Roman" w:hAnsi="Times New Roman" w:cs="Times New Roman"/>
        </w:rPr>
        <w:t>percent</w:t>
      </w:r>
      <w:r w:rsidRPr="00D929F8">
        <w:rPr>
          <w:rFonts w:ascii="Times New Roman" w:hAnsi="Times New Roman" w:cs="Times New Roman"/>
        </w:rPr>
        <w:t xml:space="preserve">age of </w:t>
      </w:r>
      <w:r w:rsidR="002F573D" w:rsidRPr="00D929F8">
        <w:rPr>
          <w:rFonts w:ascii="Times New Roman" w:hAnsi="Times New Roman" w:cs="Times New Roman"/>
        </w:rPr>
        <w:t>individual</w:t>
      </w:r>
      <w:r w:rsidR="002F573D">
        <w:rPr>
          <w:rFonts w:ascii="Times New Roman" w:hAnsi="Times New Roman" w:cs="Times New Roman"/>
        </w:rPr>
        <w:t xml:space="preserve"> </w:t>
      </w:r>
      <w:r w:rsidR="00AA091B">
        <w:rPr>
          <w:rFonts w:ascii="Times New Roman" w:hAnsi="Times New Roman" w:cs="Times New Roman"/>
        </w:rPr>
        <w:t>chapter</w:t>
      </w:r>
      <w:r w:rsidRPr="00D929F8">
        <w:rPr>
          <w:rFonts w:ascii="Times New Roman" w:hAnsi="Times New Roman" w:cs="Times New Roman"/>
        </w:rPr>
        <w:t xml:space="preserve"> 11 cases in that jurisdiction.</w:t>
      </w:r>
    </w:p>
    <w:p w14:paraId="64B3EC79" w14:textId="77777777" w:rsidR="00910805" w:rsidRPr="00D929F8" w:rsidRDefault="00910805" w:rsidP="00910805">
      <w:pPr>
        <w:rPr>
          <w:rFonts w:ascii="Times New Roman" w:hAnsi="Times New Roman" w:cs="Times New Roman"/>
        </w:rPr>
      </w:pP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10805" w:rsidRPr="00910805" w14:paraId="1AABEFBC" w14:textId="77777777" w:rsidTr="00D929F8">
        <w:tc>
          <w:tcPr>
            <w:tcW w:w="8856" w:type="dxa"/>
          </w:tcPr>
          <w:p w14:paraId="1725A808" w14:textId="1A16F03A" w:rsidR="00910805" w:rsidRPr="000951EC" w:rsidRDefault="00910805" w:rsidP="00534A67">
            <w:pPr>
              <w:keepNext/>
              <w:keepLines/>
              <w:spacing w:line="480" w:lineRule="auto"/>
              <w:jc w:val="center"/>
              <w:rPr>
                <w:rFonts w:ascii="Times New Roman" w:hAnsi="Times New Roman" w:cs="Times New Roman"/>
                <w:b/>
              </w:rPr>
            </w:pPr>
            <w:r w:rsidRPr="000951EC">
              <w:rPr>
                <w:rFonts w:ascii="Times New Roman" w:hAnsi="Times New Roman" w:cs="Times New Roman"/>
                <w:b/>
              </w:rPr>
              <w:t xml:space="preserve">Table </w:t>
            </w:r>
            <w:r w:rsidR="00FB3022">
              <w:rPr>
                <w:rFonts w:ascii="Times New Roman" w:hAnsi="Times New Roman" w:cs="Times New Roman"/>
                <w:b/>
              </w:rPr>
              <w:t>4</w:t>
            </w:r>
            <w:r w:rsidRPr="000951EC">
              <w:rPr>
                <w:rFonts w:ascii="Times New Roman" w:hAnsi="Times New Roman" w:cs="Times New Roman"/>
                <w:b/>
              </w:rPr>
              <w:t xml:space="preserve">: Top 5 and Bottom 5 Districts for Individual Chapter 11 Filings </w:t>
            </w:r>
          </w:p>
        </w:tc>
      </w:tr>
      <w:tr w:rsidR="00910805" w:rsidRPr="00910805" w14:paraId="4C1E4716" w14:textId="77777777" w:rsidTr="00D929F8">
        <w:tc>
          <w:tcPr>
            <w:tcW w:w="8856" w:type="dxa"/>
          </w:tcPr>
          <w:tbl>
            <w:tblPr>
              <w:tblW w:w="85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57"/>
              <w:gridCol w:w="1142"/>
              <w:gridCol w:w="1028"/>
              <w:gridCol w:w="1599"/>
              <w:gridCol w:w="1157"/>
              <w:gridCol w:w="1040"/>
              <w:gridCol w:w="1555"/>
            </w:tblGrid>
            <w:tr w:rsidR="00910805" w:rsidRPr="00910805" w14:paraId="3BE283DA" w14:textId="77777777" w:rsidTr="00D929F8">
              <w:trPr>
                <w:trHeight w:val="333"/>
              </w:trPr>
              <w:tc>
                <w:tcPr>
                  <w:tcW w:w="8594"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118B4F2" w14:textId="77777777" w:rsidR="00910805" w:rsidRPr="000951EC" w:rsidRDefault="00910805" w:rsidP="00534A67">
                  <w:pPr>
                    <w:keepNext/>
                    <w:keepLines/>
                    <w:jc w:val="center"/>
                    <w:rPr>
                      <w:rFonts w:ascii="Times New Roman" w:eastAsia="Times New Roman" w:hAnsi="Times New Roman" w:cs="Times New Roman"/>
                      <w:b/>
                      <w:color w:val="000000"/>
                    </w:rPr>
                  </w:pPr>
                  <w:r w:rsidRPr="000951EC">
                    <w:rPr>
                      <w:rFonts w:ascii="Times New Roman" w:eastAsia="Times New Roman" w:hAnsi="Times New Roman" w:cs="Times New Roman"/>
                      <w:b/>
                      <w:color w:val="000000"/>
                    </w:rPr>
                    <w:t>Top Five Districts</w:t>
                  </w:r>
                </w:p>
              </w:tc>
            </w:tr>
            <w:tr w:rsidR="00910805" w:rsidRPr="00673DF2" w14:paraId="10AF5278" w14:textId="77777777" w:rsidTr="00D929F8">
              <w:trPr>
                <w:trHeight w:val="300"/>
              </w:trPr>
              <w:tc>
                <w:tcPr>
                  <w:tcW w:w="876" w:type="dxa"/>
                  <w:tcBorders>
                    <w:top w:val="single" w:sz="18" w:space="0" w:color="auto"/>
                    <w:left w:val="single" w:sz="18" w:space="0" w:color="auto"/>
                    <w:right w:val="single" w:sz="18" w:space="0" w:color="auto"/>
                  </w:tcBorders>
                  <w:shd w:val="clear" w:color="auto" w:fill="auto"/>
                  <w:noWrap/>
                  <w:vAlign w:val="bottom"/>
                </w:tcPr>
                <w:p w14:paraId="7BE91729" w14:textId="77777777" w:rsidR="00910805" w:rsidRPr="00D929F8" w:rsidRDefault="00910805" w:rsidP="00534A67">
                  <w:pPr>
                    <w:keepNext/>
                    <w:keepLines/>
                    <w:rPr>
                      <w:rFonts w:ascii="Times New Roman" w:eastAsia="Times New Roman" w:hAnsi="Times New Roman" w:cs="Times New Roman"/>
                      <w:b/>
                      <w:color w:val="000000"/>
                      <w:sz w:val="20"/>
                      <w:szCs w:val="20"/>
                    </w:rPr>
                  </w:pPr>
                </w:p>
              </w:tc>
              <w:tc>
                <w:tcPr>
                  <w:tcW w:w="3868" w:type="dxa"/>
                  <w:gridSpan w:val="3"/>
                  <w:tcBorders>
                    <w:top w:val="single" w:sz="18" w:space="0" w:color="auto"/>
                    <w:left w:val="single" w:sz="18" w:space="0" w:color="auto"/>
                    <w:right w:val="single" w:sz="18" w:space="0" w:color="auto"/>
                  </w:tcBorders>
                  <w:shd w:val="clear" w:color="auto" w:fill="auto"/>
                  <w:noWrap/>
                  <w:vAlign w:val="bottom"/>
                </w:tcPr>
                <w:p w14:paraId="382A7F59" w14:textId="77777777" w:rsidR="00910805" w:rsidRPr="000951EC" w:rsidRDefault="00910805" w:rsidP="00534A67">
                  <w:pPr>
                    <w:keepNext/>
                    <w:keepLines/>
                    <w:jc w:val="center"/>
                    <w:rPr>
                      <w:rFonts w:ascii="Times New Roman" w:eastAsia="Times New Roman" w:hAnsi="Times New Roman" w:cs="Times New Roman"/>
                      <w:b/>
                      <w:color w:val="000000"/>
                    </w:rPr>
                  </w:pPr>
                  <w:r w:rsidRPr="000951EC">
                    <w:rPr>
                      <w:rFonts w:ascii="Times New Roman" w:eastAsia="Times New Roman" w:hAnsi="Times New Roman" w:cs="Times New Roman"/>
                      <w:b/>
                      <w:color w:val="000000"/>
                    </w:rPr>
                    <w:t>2010</w:t>
                  </w:r>
                </w:p>
              </w:tc>
              <w:tc>
                <w:tcPr>
                  <w:tcW w:w="3850" w:type="dxa"/>
                  <w:gridSpan w:val="3"/>
                  <w:tcBorders>
                    <w:top w:val="single" w:sz="18" w:space="0" w:color="auto"/>
                    <w:left w:val="single" w:sz="18" w:space="0" w:color="auto"/>
                    <w:right w:val="single" w:sz="18" w:space="0" w:color="auto"/>
                  </w:tcBorders>
                  <w:shd w:val="clear" w:color="auto" w:fill="auto"/>
                  <w:noWrap/>
                  <w:vAlign w:val="bottom"/>
                </w:tcPr>
                <w:p w14:paraId="5164521F" w14:textId="77777777" w:rsidR="00910805" w:rsidRPr="000951EC" w:rsidRDefault="00910805" w:rsidP="00534A67">
                  <w:pPr>
                    <w:keepNext/>
                    <w:keepLines/>
                    <w:jc w:val="center"/>
                    <w:rPr>
                      <w:rFonts w:ascii="Times New Roman" w:eastAsia="Times New Roman" w:hAnsi="Times New Roman" w:cs="Times New Roman"/>
                      <w:b/>
                      <w:color w:val="000000"/>
                    </w:rPr>
                  </w:pPr>
                  <w:r w:rsidRPr="000951EC">
                    <w:rPr>
                      <w:rFonts w:ascii="Times New Roman" w:eastAsia="Times New Roman" w:hAnsi="Times New Roman" w:cs="Times New Roman"/>
                      <w:b/>
                      <w:color w:val="000000"/>
                    </w:rPr>
                    <w:t>2013</w:t>
                  </w:r>
                </w:p>
              </w:tc>
            </w:tr>
            <w:tr w:rsidR="00910805" w:rsidRPr="00673DF2" w14:paraId="475BE281" w14:textId="77777777" w:rsidTr="00D929F8">
              <w:trPr>
                <w:trHeight w:val="300"/>
              </w:trPr>
              <w:tc>
                <w:tcPr>
                  <w:tcW w:w="876" w:type="dxa"/>
                  <w:tcBorders>
                    <w:top w:val="single" w:sz="18" w:space="0" w:color="auto"/>
                    <w:right w:val="single" w:sz="18" w:space="0" w:color="auto"/>
                  </w:tcBorders>
                  <w:shd w:val="clear" w:color="auto" w:fill="auto"/>
                  <w:noWrap/>
                  <w:vAlign w:val="bottom"/>
                  <w:hideMark/>
                </w:tcPr>
                <w:p w14:paraId="30FB8BF4" w14:textId="77777777" w:rsidR="00910805" w:rsidRPr="00D929F8" w:rsidRDefault="00910805" w:rsidP="00534A67">
                  <w:pPr>
                    <w:keepNext/>
                    <w:keepLines/>
                    <w:rPr>
                      <w:rFonts w:ascii="Times New Roman" w:eastAsia="Times New Roman" w:hAnsi="Times New Roman" w:cs="Times New Roman"/>
                      <w:b/>
                      <w:color w:val="000000"/>
                      <w:sz w:val="20"/>
                      <w:szCs w:val="20"/>
                    </w:rPr>
                  </w:pPr>
                  <w:r w:rsidRPr="00D929F8">
                    <w:rPr>
                      <w:rFonts w:ascii="Times New Roman" w:eastAsia="Times New Roman" w:hAnsi="Times New Roman" w:cs="Times New Roman"/>
                      <w:b/>
                      <w:color w:val="000000"/>
                      <w:sz w:val="20"/>
                      <w:szCs w:val="20"/>
                    </w:rPr>
                    <w:t>District</w:t>
                  </w:r>
                </w:p>
              </w:tc>
              <w:tc>
                <w:tcPr>
                  <w:tcW w:w="1171" w:type="dxa"/>
                  <w:tcBorders>
                    <w:top w:val="single" w:sz="18" w:space="0" w:color="auto"/>
                    <w:left w:val="single" w:sz="18" w:space="0" w:color="auto"/>
                  </w:tcBorders>
                  <w:shd w:val="clear" w:color="auto" w:fill="auto"/>
                  <w:noWrap/>
                  <w:vAlign w:val="bottom"/>
                  <w:hideMark/>
                </w:tcPr>
                <w:p w14:paraId="3D34D89F" w14:textId="77777777" w:rsidR="00910805" w:rsidRPr="00D929F8" w:rsidRDefault="00910805" w:rsidP="00534A67">
                  <w:pPr>
                    <w:keepNext/>
                    <w:keepLines/>
                    <w:rPr>
                      <w:rFonts w:ascii="Times New Roman" w:eastAsia="Times New Roman" w:hAnsi="Times New Roman" w:cs="Times New Roman"/>
                      <w:b/>
                      <w:color w:val="000000"/>
                      <w:sz w:val="20"/>
                      <w:szCs w:val="20"/>
                    </w:rPr>
                  </w:pPr>
                  <w:r w:rsidRPr="00D929F8">
                    <w:rPr>
                      <w:rFonts w:ascii="Times New Roman" w:eastAsia="Times New Roman" w:hAnsi="Times New Roman" w:cs="Times New Roman"/>
                      <w:b/>
                      <w:color w:val="000000"/>
                      <w:sz w:val="20"/>
                      <w:szCs w:val="20"/>
                    </w:rPr>
                    <w:t>Individual Ch. 11</w:t>
                  </w:r>
                </w:p>
              </w:tc>
              <w:tc>
                <w:tcPr>
                  <w:tcW w:w="1054" w:type="dxa"/>
                  <w:tcBorders>
                    <w:top w:val="single" w:sz="18" w:space="0" w:color="auto"/>
                  </w:tcBorders>
                  <w:shd w:val="clear" w:color="auto" w:fill="auto"/>
                  <w:noWrap/>
                  <w:vAlign w:val="bottom"/>
                  <w:hideMark/>
                </w:tcPr>
                <w:p w14:paraId="2F672275" w14:textId="77777777" w:rsidR="00910805" w:rsidRPr="00D929F8" w:rsidRDefault="00910805" w:rsidP="00534A67">
                  <w:pPr>
                    <w:keepNext/>
                    <w:keepLines/>
                    <w:jc w:val="center"/>
                    <w:rPr>
                      <w:rFonts w:ascii="Times New Roman" w:eastAsia="Times New Roman" w:hAnsi="Times New Roman" w:cs="Times New Roman"/>
                      <w:b/>
                      <w:color w:val="000000"/>
                      <w:sz w:val="20"/>
                      <w:szCs w:val="20"/>
                    </w:rPr>
                  </w:pPr>
                  <w:r w:rsidRPr="00D929F8">
                    <w:rPr>
                      <w:rFonts w:ascii="Times New Roman" w:eastAsia="Times New Roman" w:hAnsi="Times New Roman" w:cs="Times New Roman"/>
                      <w:b/>
                      <w:color w:val="000000"/>
                      <w:sz w:val="20"/>
                      <w:szCs w:val="20"/>
                    </w:rPr>
                    <w:t>% Whole Sample</w:t>
                  </w:r>
                </w:p>
              </w:tc>
              <w:tc>
                <w:tcPr>
                  <w:tcW w:w="1643" w:type="dxa"/>
                  <w:tcBorders>
                    <w:top w:val="single" w:sz="18" w:space="0" w:color="auto"/>
                    <w:right w:val="single" w:sz="18" w:space="0" w:color="auto"/>
                  </w:tcBorders>
                  <w:shd w:val="clear" w:color="auto" w:fill="auto"/>
                  <w:noWrap/>
                  <w:vAlign w:val="bottom"/>
                  <w:hideMark/>
                </w:tcPr>
                <w:p w14:paraId="22A19C0D" w14:textId="2DA87445" w:rsidR="00910805" w:rsidRPr="00D929F8" w:rsidRDefault="00910805" w:rsidP="00534A67">
                  <w:pPr>
                    <w:keepNext/>
                    <w:keepLines/>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Pr="00D929F8">
                    <w:rPr>
                      <w:rFonts w:ascii="Times New Roman" w:eastAsia="Times New Roman" w:hAnsi="Times New Roman" w:cs="Times New Roman"/>
                      <w:b/>
                      <w:color w:val="000000"/>
                      <w:sz w:val="20"/>
                      <w:szCs w:val="20"/>
                    </w:rPr>
                    <w:t>Individual</w:t>
                  </w:r>
                  <w:r>
                    <w:rPr>
                      <w:rFonts w:ascii="Times New Roman" w:eastAsia="Times New Roman" w:hAnsi="Times New Roman" w:cs="Times New Roman"/>
                      <w:b/>
                      <w:color w:val="000000"/>
                      <w:sz w:val="20"/>
                      <w:szCs w:val="20"/>
                    </w:rPr>
                    <w:t xml:space="preserve"> </w:t>
                  </w:r>
                  <w:r w:rsidRPr="00D929F8">
                    <w:rPr>
                      <w:rFonts w:ascii="Times New Roman" w:eastAsia="Times New Roman" w:hAnsi="Times New Roman" w:cs="Times New Roman"/>
                      <w:b/>
                      <w:color w:val="000000"/>
                      <w:sz w:val="20"/>
                      <w:szCs w:val="20"/>
                    </w:rPr>
                    <w:t>of District Ch. 11</w:t>
                  </w:r>
                </w:p>
              </w:tc>
              <w:tc>
                <w:tcPr>
                  <w:tcW w:w="1187" w:type="dxa"/>
                  <w:tcBorders>
                    <w:top w:val="single" w:sz="18" w:space="0" w:color="auto"/>
                    <w:left w:val="single" w:sz="18" w:space="0" w:color="auto"/>
                  </w:tcBorders>
                  <w:shd w:val="clear" w:color="auto" w:fill="auto"/>
                  <w:noWrap/>
                  <w:vAlign w:val="bottom"/>
                  <w:hideMark/>
                </w:tcPr>
                <w:p w14:paraId="2CEC6562" w14:textId="77777777" w:rsidR="00910805" w:rsidRPr="00D929F8" w:rsidRDefault="00910805" w:rsidP="00534A67">
                  <w:pPr>
                    <w:keepNext/>
                    <w:keepLines/>
                    <w:rPr>
                      <w:rFonts w:ascii="Times New Roman" w:eastAsia="Times New Roman" w:hAnsi="Times New Roman" w:cs="Times New Roman"/>
                      <w:b/>
                      <w:color w:val="000000"/>
                      <w:sz w:val="20"/>
                      <w:szCs w:val="20"/>
                    </w:rPr>
                  </w:pPr>
                  <w:r w:rsidRPr="00D929F8">
                    <w:rPr>
                      <w:rFonts w:ascii="Times New Roman" w:eastAsia="Times New Roman" w:hAnsi="Times New Roman" w:cs="Times New Roman"/>
                      <w:b/>
                      <w:color w:val="000000"/>
                      <w:sz w:val="20"/>
                      <w:szCs w:val="20"/>
                    </w:rPr>
                    <w:t>Individual Ch. 11</w:t>
                  </w:r>
                </w:p>
              </w:tc>
              <w:tc>
                <w:tcPr>
                  <w:tcW w:w="1066" w:type="dxa"/>
                  <w:tcBorders>
                    <w:top w:val="single" w:sz="18" w:space="0" w:color="auto"/>
                  </w:tcBorders>
                  <w:shd w:val="clear" w:color="auto" w:fill="auto"/>
                  <w:noWrap/>
                  <w:vAlign w:val="bottom"/>
                  <w:hideMark/>
                </w:tcPr>
                <w:p w14:paraId="03FA1F19" w14:textId="77777777" w:rsidR="00910805" w:rsidRPr="00D929F8" w:rsidRDefault="00910805" w:rsidP="00534A67">
                  <w:pPr>
                    <w:keepNext/>
                    <w:keepLines/>
                    <w:rPr>
                      <w:rFonts w:ascii="Times New Roman" w:eastAsia="Times New Roman" w:hAnsi="Times New Roman" w:cs="Times New Roman"/>
                      <w:b/>
                      <w:color w:val="000000"/>
                      <w:sz w:val="20"/>
                      <w:szCs w:val="20"/>
                    </w:rPr>
                  </w:pPr>
                  <w:r w:rsidRPr="00D929F8">
                    <w:rPr>
                      <w:rFonts w:ascii="Times New Roman" w:eastAsia="Times New Roman" w:hAnsi="Times New Roman" w:cs="Times New Roman"/>
                      <w:b/>
                      <w:color w:val="000000"/>
                      <w:sz w:val="20"/>
                      <w:szCs w:val="20"/>
                    </w:rPr>
                    <w:t>% Whole Sample</w:t>
                  </w:r>
                </w:p>
              </w:tc>
              <w:tc>
                <w:tcPr>
                  <w:tcW w:w="1597" w:type="dxa"/>
                  <w:tcBorders>
                    <w:top w:val="single" w:sz="18" w:space="0" w:color="auto"/>
                  </w:tcBorders>
                  <w:shd w:val="clear" w:color="auto" w:fill="auto"/>
                  <w:noWrap/>
                  <w:vAlign w:val="bottom"/>
                  <w:hideMark/>
                </w:tcPr>
                <w:p w14:paraId="2D87A1EE" w14:textId="70142C07" w:rsidR="00910805" w:rsidRPr="00D929F8" w:rsidRDefault="00910805" w:rsidP="00534A67">
                  <w:pPr>
                    <w:keepNext/>
                    <w:keepLine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Pr="00D929F8">
                    <w:rPr>
                      <w:rFonts w:ascii="Times New Roman" w:eastAsia="Times New Roman" w:hAnsi="Times New Roman" w:cs="Times New Roman"/>
                      <w:b/>
                      <w:color w:val="000000"/>
                      <w:sz w:val="20"/>
                      <w:szCs w:val="20"/>
                    </w:rPr>
                    <w:t xml:space="preserve">Individual </w:t>
                  </w:r>
                  <w:r>
                    <w:rPr>
                      <w:rFonts w:ascii="Times New Roman" w:eastAsia="Times New Roman" w:hAnsi="Times New Roman" w:cs="Times New Roman"/>
                      <w:b/>
                      <w:color w:val="000000"/>
                      <w:sz w:val="20"/>
                      <w:szCs w:val="20"/>
                    </w:rPr>
                    <w:t>o</w:t>
                  </w:r>
                  <w:r w:rsidRPr="00D929F8">
                    <w:rPr>
                      <w:rFonts w:ascii="Times New Roman" w:eastAsia="Times New Roman" w:hAnsi="Times New Roman" w:cs="Times New Roman"/>
                      <w:b/>
                      <w:color w:val="000000"/>
                      <w:sz w:val="20"/>
                      <w:szCs w:val="20"/>
                    </w:rPr>
                    <w:t>f District Ch. 11</w:t>
                  </w:r>
                </w:p>
              </w:tc>
            </w:tr>
            <w:tr w:rsidR="00910805" w:rsidRPr="00673DF2" w14:paraId="19A09EF2" w14:textId="77777777" w:rsidTr="003C3103">
              <w:trPr>
                <w:trHeight w:val="300"/>
              </w:trPr>
              <w:tc>
                <w:tcPr>
                  <w:tcW w:w="876" w:type="dxa"/>
                  <w:tcBorders>
                    <w:right w:val="single" w:sz="18" w:space="0" w:color="auto"/>
                  </w:tcBorders>
                  <w:shd w:val="clear" w:color="auto" w:fill="auto"/>
                  <w:noWrap/>
                  <w:vAlign w:val="bottom"/>
                  <w:hideMark/>
                </w:tcPr>
                <w:p w14:paraId="2B0D4DCD" w14:textId="77777777" w:rsidR="00910805" w:rsidRPr="00D929F8" w:rsidRDefault="00910805" w:rsidP="00534A67">
                  <w:pPr>
                    <w:keepNext/>
                    <w:keepLines/>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CACD</w:t>
                  </w:r>
                </w:p>
              </w:tc>
              <w:tc>
                <w:tcPr>
                  <w:tcW w:w="1171" w:type="dxa"/>
                  <w:tcBorders>
                    <w:left w:val="single" w:sz="18" w:space="0" w:color="auto"/>
                  </w:tcBorders>
                  <w:shd w:val="clear" w:color="auto" w:fill="auto"/>
                  <w:noWrap/>
                  <w:hideMark/>
                </w:tcPr>
                <w:p w14:paraId="386E6A45"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581</w:t>
                  </w:r>
                </w:p>
              </w:tc>
              <w:tc>
                <w:tcPr>
                  <w:tcW w:w="1054" w:type="dxa"/>
                  <w:shd w:val="clear" w:color="auto" w:fill="auto"/>
                  <w:noWrap/>
                  <w:hideMark/>
                </w:tcPr>
                <w:p w14:paraId="7EEFA6C3"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14%</w:t>
                  </w:r>
                </w:p>
              </w:tc>
              <w:tc>
                <w:tcPr>
                  <w:tcW w:w="1643" w:type="dxa"/>
                  <w:tcBorders>
                    <w:right w:val="single" w:sz="18" w:space="0" w:color="auto"/>
                  </w:tcBorders>
                  <w:shd w:val="clear" w:color="auto" w:fill="auto"/>
                  <w:noWrap/>
                  <w:hideMark/>
                </w:tcPr>
                <w:p w14:paraId="4ADD94E7"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47%</w:t>
                  </w:r>
                </w:p>
              </w:tc>
              <w:tc>
                <w:tcPr>
                  <w:tcW w:w="1187" w:type="dxa"/>
                  <w:tcBorders>
                    <w:left w:val="single" w:sz="18" w:space="0" w:color="auto"/>
                  </w:tcBorders>
                  <w:shd w:val="clear" w:color="auto" w:fill="auto"/>
                  <w:noWrap/>
                  <w:hideMark/>
                </w:tcPr>
                <w:p w14:paraId="31A64ABE"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349</w:t>
                  </w:r>
                </w:p>
              </w:tc>
              <w:tc>
                <w:tcPr>
                  <w:tcW w:w="1066" w:type="dxa"/>
                  <w:shd w:val="clear" w:color="auto" w:fill="auto"/>
                  <w:noWrap/>
                  <w:hideMark/>
                </w:tcPr>
                <w:p w14:paraId="538E3948"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13%</w:t>
                  </w:r>
                </w:p>
              </w:tc>
              <w:tc>
                <w:tcPr>
                  <w:tcW w:w="1597" w:type="dxa"/>
                  <w:shd w:val="clear" w:color="auto" w:fill="auto"/>
                  <w:noWrap/>
                  <w:hideMark/>
                </w:tcPr>
                <w:p w14:paraId="12386C54"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47%</w:t>
                  </w:r>
                </w:p>
              </w:tc>
            </w:tr>
            <w:tr w:rsidR="00910805" w:rsidRPr="00673DF2" w14:paraId="053243D9" w14:textId="77777777" w:rsidTr="003C3103">
              <w:trPr>
                <w:trHeight w:val="300"/>
              </w:trPr>
              <w:tc>
                <w:tcPr>
                  <w:tcW w:w="876" w:type="dxa"/>
                  <w:tcBorders>
                    <w:right w:val="single" w:sz="18" w:space="0" w:color="auto"/>
                  </w:tcBorders>
                  <w:shd w:val="clear" w:color="auto" w:fill="auto"/>
                  <w:noWrap/>
                  <w:vAlign w:val="bottom"/>
                  <w:hideMark/>
                </w:tcPr>
                <w:p w14:paraId="41FE67E1" w14:textId="77777777" w:rsidR="00910805" w:rsidRPr="00D929F8" w:rsidRDefault="00910805" w:rsidP="00534A67">
                  <w:pPr>
                    <w:keepNext/>
                    <w:keepLines/>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CAND</w:t>
                  </w:r>
                </w:p>
              </w:tc>
              <w:tc>
                <w:tcPr>
                  <w:tcW w:w="1171" w:type="dxa"/>
                  <w:tcBorders>
                    <w:left w:val="single" w:sz="18" w:space="0" w:color="auto"/>
                  </w:tcBorders>
                  <w:shd w:val="clear" w:color="auto" w:fill="auto"/>
                  <w:noWrap/>
                  <w:hideMark/>
                </w:tcPr>
                <w:p w14:paraId="57E404E5"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312</w:t>
                  </w:r>
                </w:p>
              </w:tc>
              <w:tc>
                <w:tcPr>
                  <w:tcW w:w="1054" w:type="dxa"/>
                  <w:shd w:val="clear" w:color="auto" w:fill="auto"/>
                  <w:noWrap/>
                  <w:hideMark/>
                </w:tcPr>
                <w:p w14:paraId="619C9D15"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8%</w:t>
                  </w:r>
                </w:p>
              </w:tc>
              <w:tc>
                <w:tcPr>
                  <w:tcW w:w="1643" w:type="dxa"/>
                  <w:tcBorders>
                    <w:right w:val="single" w:sz="18" w:space="0" w:color="auto"/>
                  </w:tcBorders>
                  <w:shd w:val="clear" w:color="auto" w:fill="auto"/>
                  <w:noWrap/>
                  <w:hideMark/>
                </w:tcPr>
                <w:p w14:paraId="50430AF1"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65%</w:t>
                  </w:r>
                </w:p>
              </w:tc>
              <w:tc>
                <w:tcPr>
                  <w:tcW w:w="1187" w:type="dxa"/>
                  <w:tcBorders>
                    <w:left w:val="single" w:sz="18" w:space="0" w:color="auto"/>
                  </w:tcBorders>
                  <w:shd w:val="clear" w:color="auto" w:fill="auto"/>
                  <w:noWrap/>
                  <w:hideMark/>
                </w:tcPr>
                <w:p w14:paraId="37079100"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127</w:t>
                  </w:r>
                </w:p>
              </w:tc>
              <w:tc>
                <w:tcPr>
                  <w:tcW w:w="1066" w:type="dxa"/>
                  <w:shd w:val="clear" w:color="auto" w:fill="auto"/>
                  <w:noWrap/>
                  <w:hideMark/>
                </w:tcPr>
                <w:p w14:paraId="3852717C"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5%</w:t>
                  </w:r>
                </w:p>
              </w:tc>
              <w:tc>
                <w:tcPr>
                  <w:tcW w:w="1597" w:type="dxa"/>
                  <w:shd w:val="clear" w:color="auto" w:fill="auto"/>
                  <w:noWrap/>
                  <w:hideMark/>
                </w:tcPr>
                <w:p w14:paraId="4DD87CA2"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61%</w:t>
                  </w:r>
                </w:p>
              </w:tc>
            </w:tr>
            <w:tr w:rsidR="00910805" w:rsidRPr="00673DF2" w14:paraId="79C51D14" w14:textId="77777777" w:rsidTr="003C3103">
              <w:trPr>
                <w:trHeight w:val="300"/>
              </w:trPr>
              <w:tc>
                <w:tcPr>
                  <w:tcW w:w="876" w:type="dxa"/>
                  <w:tcBorders>
                    <w:right w:val="single" w:sz="18" w:space="0" w:color="auto"/>
                  </w:tcBorders>
                  <w:shd w:val="clear" w:color="auto" w:fill="auto"/>
                  <w:noWrap/>
                  <w:vAlign w:val="bottom"/>
                  <w:hideMark/>
                </w:tcPr>
                <w:p w14:paraId="74618C02" w14:textId="77777777" w:rsidR="00910805" w:rsidRPr="00D929F8" w:rsidRDefault="00910805" w:rsidP="00534A67">
                  <w:pPr>
                    <w:keepNext/>
                    <w:keepLines/>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AZ</w:t>
                  </w:r>
                </w:p>
              </w:tc>
              <w:tc>
                <w:tcPr>
                  <w:tcW w:w="1171" w:type="dxa"/>
                  <w:tcBorders>
                    <w:left w:val="single" w:sz="18" w:space="0" w:color="auto"/>
                  </w:tcBorders>
                  <w:shd w:val="clear" w:color="auto" w:fill="auto"/>
                  <w:noWrap/>
                  <w:hideMark/>
                </w:tcPr>
                <w:p w14:paraId="5D45210F"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294</w:t>
                  </w:r>
                </w:p>
              </w:tc>
              <w:tc>
                <w:tcPr>
                  <w:tcW w:w="1054" w:type="dxa"/>
                  <w:shd w:val="clear" w:color="auto" w:fill="auto"/>
                  <w:noWrap/>
                  <w:hideMark/>
                </w:tcPr>
                <w:p w14:paraId="401231DD"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7%</w:t>
                  </w:r>
                </w:p>
              </w:tc>
              <w:tc>
                <w:tcPr>
                  <w:tcW w:w="1643" w:type="dxa"/>
                  <w:tcBorders>
                    <w:right w:val="single" w:sz="18" w:space="0" w:color="auto"/>
                  </w:tcBorders>
                  <w:shd w:val="clear" w:color="auto" w:fill="auto"/>
                  <w:noWrap/>
                  <w:hideMark/>
                </w:tcPr>
                <w:p w14:paraId="150FB6F7"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42%</w:t>
                  </w:r>
                </w:p>
              </w:tc>
              <w:tc>
                <w:tcPr>
                  <w:tcW w:w="1187" w:type="dxa"/>
                  <w:tcBorders>
                    <w:left w:val="single" w:sz="18" w:space="0" w:color="auto"/>
                  </w:tcBorders>
                  <w:shd w:val="clear" w:color="auto" w:fill="auto"/>
                  <w:noWrap/>
                  <w:hideMark/>
                </w:tcPr>
                <w:p w14:paraId="16EAE6BE"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117</w:t>
                  </w:r>
                </w:p>
              </w:tc>
              <w:tc>
                <w:tcPr>
                  <w:tcW w:w="1066" w:type="dxa"/>
                  <w:shd w:val="clear" w:color="auto" w:fill="auto"/>
                  <w:noWrap/>
                  <w:hideMark/>
                </w:tcPr>
                <w:p w14:paraId="4CA2C5AA"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4%</w:t>
                  </w:r>
                </w:p>
              </w:tc>
              <w:tc>
                <w:tcPr>
                  <w:tcW w:w="1597" w:type="dxa"/>
                  <w:shd w:val="clear" w:color="auto" w:fill="auto"/>
                  <w:noWrap/>
                  <w:hideMark/>
                </w:tcPr>
                <w:p w14:paraId="1B85DEE8"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41%</w:t>
                  </w:r>
                </w:p>
              </w:tc>
            </w:tr>
            <w:tr w:rsidR="00910805" w:rsidRPr="00673DF2" w14:paraId="4A60D768" w14:textId="77777777" w:rsidTr="003C3103">
              <w:trPr>
                <w:trHeight w:val="300"/>
              </w:trPr>
              <w:tc>
                <w:tcPr>
                  <w:tcW w:w="876" w:type="dxa"/>
                  <w:tcBorders>
                    <w:right w:val="single" w:sz="18" w:space="0" w:color="auto"/>
                  </w:tcBorders>
                  <w:shd w:val="clear" w:color="auto" w:fill="auto"/>
                  <w:noWrap/>
                  <w:vAlign w:val="bottom"/>
                  <w:hideMark/>
                </w:tcPr>
                <w:p w14:paraId="19F98E51" w14:textId="77777777" w:rsidR="00910805" w:rsidRPr="00D929F8" w:rsidRDefault="00910805" w:rsidP="00534A67">
                  <w:pPr>
                    <w:keepNext/>
                    <w:keepLines/>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FLMD</w:t>
                  </w:r>
                </w:p>
              </w:tc>
              <w:tc>
                <w:tcPr>
                  <w:tcW w:w="1171" w:type="dxa"/>
                  <w:tcBorders>
                    <w:left w:val="single" w:sz="18" w:space="0" w:color="auto"/>
                  </w:tcBorders>
                  <w:shd w:val="clear" w:color="auto" w:fill="auto"/>
                  <w:noWrap/>
                  <w:hideMark/>
                </w:tcPr>
                <w:p w14:paraId="15D56B42"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232</w:t>
                  </w:r>
                </w:p>
              </w:tc>
              <w:tc>
                <w:tcPr>
                  <w:tcW w:w="1054" w:type="dxa"/>
                  <w:shd w:val="clear" w:color="auto" w:fill="auto"/>
                  <w:noWrap/>
                  <w:hideMark/>
                </w:tcPr>
                <w:p w14:paraId="37806E70"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6%</w:t>
                  </w:r>
                </w:p>
              </w:tc>
              <w:tc>
                <w:tcPr>
                  <w:tcW w:w="1643" w:type="dxa"/>
                  <w:tcBorders>
                    <w:right w:val="single" w:sz="18" w:space="0" w:color="auto"/>
                  </w:tcBorders>
                  <w:shd w:val="clear" w:color="auto" w:fill="auto"/>
                  <w:noWrap/>
                  <w:hideMark/>
                </w:tcPr>
                <w:p w14:paraId="55197FA6"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29%</w:t>
                  </w:r>
                </w:p>
              </w:tc>
              <w:tc>
                <w:tcPr>
                  <w:tcW w:w="1187" w:type="dxa"/>
                  <w:tcBorders>
                    <w:left w:val="single" w:sz="18" w:space="0" w:color="auto"/>
                  </w:tcBorders>
                  <w:shd w:val="clear" w:color="auto" w:fill="auto"/>
                  <w:noWrap/>
                  <w:hideMark/>
                </w:tcPr>
                <w:p w14:paraId="4E42EFA7"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146</w:t>
                  </w:r>
                </w:p>
              </w:tc>
              <w:tc>
                <w:tcPr>
                  <w:tcW w:w="1066" w:type="dxa"/>
                  <w:shd w:val="clear" w:color="auto" w:fill="auto"/>
                  <w:noWrap/>
                  <w:hideMark/>
                </w:tcPr>
                <w:p w14:paraId="78F0A62B"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6%</w:t>
                  </w:r>
                </w:p>
              </w:tc>
              <w:tc>
                <w:tcPr>
                  <w:tcW w:w="1597" w:type="dxa"/>
                  <w:shd w:val="clear" w:color="auto" w:fill="auto"/>
                  <w:noWrap/>
                  <w:hideMark/>
                </w:tcPr>
                <w:p w14:paraId="4323AAEB"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35%</w:t>
                  </w:r>
                </w:p>
              </w:tc>
            </w:tr>
            <w:tr w:rsidR="00910805" w:rsidRPr="00673DF2" w14:paraId="2BE1D4DC" w14:textId="77777777" w:rsidTr="003C3103">
              <w:trPr>
                <w:trHeight w:val="300"/>
              </w:trPr>
              <w:tc>
                <w:tcPr>
                  <w:tcW w:w="876" w:type="dxa"/>
                  <w:tcBorders>
                    <w:bottom w:val="single" w:sz="18" w:space="0" w:color="auto"/>
                    <w:right w:val="single" w:sz="18" w:space="0" w:color="auto"/>
                  </w:tcBorders>
                  <w:shd w:val="clear" w:color="auto" w:fill="auto"/>
                  <w:noWrap/>
                  <w:vAlign w:val="bottom"/>
                  <w:hideMark/>
                </w:tcPr>
                <w:p w14:paraId="0034890D" w14:textId="77777777" w:rsidR="00910805" w:rsidRPr="00D929F8" w:rsidRDefault="00910805" w:rsidP="00534A67">
                  <w:pPr>
                    <w:keepNext/>
                    <w:keepLines/>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NV</w:t>
                  </w:r>
                </w:p>
              </w:tc>
              <w:tc>
                <w:tcPr>
                  <w:tcW w:w="1171" w:type="dxa"/>
                  <w:tcBorders>
                    <w:left w:val="single" w:sz="18" w:space="0" w:color="auto"/>
                    <w:bottom w:val="single" w:sz="18" w:space="0" w:color="auto"/>
                  </w:tcBorders>
                  <w:shd w:val="clear" w:color="auto" w:fill="auto"/>
                  <w:noWrap/>
                  <w:hideMark/>
                </w:tcPr>
                <w:p w14:paraId="7A7A6A25"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200</w:t>
                  </w:r>
                </w:p>
              </w:tc>
              <w:tc>
                <w:tcPr>
                  <w:tcW w:w="1054" w:type="dxa"/>
                  <w:tcBorders>
                    <w:bottom w:val="single" w:sz="18" w:space="0" w:color="auto"/>
                  </w:tcBorders>
                  <w:shd w:val="clear" w:color="auto" w:fill="auto"/>
                  <w:noWrap/>
                  <w:hideMark/>
                </w:tcPr>
                <w:p w14:paraId="45471703"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5%</w:t>
                  </w:r>
                </w:p>
              </w:tc>
              <w:tc>
                <w:tcPr>
                  <w:tcW w:w="1643" w:type="dxa"/>
                  <w:tcBorders>
                    <w:bottom w:val="single" w:sz="18" w:space="0" w:color="auto"/>
                    <w:right w:val="single" w:sz="18" w:space="0" w:color="auto"/>
                  </w:tcBorders>
                  <w:shd w:val="clear" w:color="auto" w:fill="auto"/>
                  <w:noWrap/>
                  <w:hideMark/>
                </w:tcPr>
                <w:p w14:paraId="534AA2D5"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40%</w:t>
                  </w:r>
                </w:p>
              </w:tc>
              <w:tc>
                <w:tcPr>
                  <w:tcW w:w="1187" w:type="dxa"/>
                  <w:tcBorders>
                    <w:left w:val="single" w:sz="18" w:space="0" w:color="auto"/>
                    <w:bottom w:val="single" w:sz="18" w:space="0" w:color="auto"/>
                  </w:tcBorders>
                  <w:shd w:val="clear" w:color="auto" w:fill="auto"/>
                  <w:noWrap/>
                  <w:hideMark/>
                </w:tcPr>
                <w:p w14:paraId="7155AFED"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125</w:t>
                  </w:r>
                </w:p>
              </w:tc>
              <w:tc>
                <w:tcPr>
                  <w:tcW w:w="1066" w:type="dxa"/>
                  <w:tcBorders>
                    <w:bottom w:val="single" w:sz="18" w:space="0" w:color="auto"/>
                  </w:tcBorders>
                  <w:shd w:val="clear" w:color="auto" w:fill="auto"/>
                  <w:noWrap/>
                  <w:hideMark/>
                </w:tcPr>
                <w:p w14:paraId="7F4AFC2C"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5%</w:t>
                  </w:r>
                </w:p>
              </w:tc>
              <w:tc>
                <w:tcPr>
                  <w:tcW w:w="1597" w:type="dxa"/>
                  <w:tcBorders>
                    <w:bottom w:val="single" w:sz="18" w:space="0" w:color="auto"/>
                  </w:tcBorders>
                  <w:shd w:val="clear" w:color="auto" w:fill="auto"/>
                  <w:noWrap/>
                  <w:hideMark/>
                </w:tcPr>
                <w:p w14:paraId="7AB92588"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47%</w:t>
                  </w:r>
                </w:p>
              </w:tc>
            </w:tr>
            <w:tr w:rsidR="00910805" w:rsidRPr="00910805" w14:paraId="1D475DF4" w14:textId="77777777" w:rsidTr="00D929F8">
              <w:trPr>
                <w:trHeight w:val="300"/>
              </w:trPr>
              <w:tc>
                <w:tcPr>
                  <w:tcW w:w="8594"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tcPr>
                <w:p w14:paraId="11AFB88B" w14:textId="77777777" w:rsidR="00910805" w:rsidRPr="000951EC" w:rsidRDefault="00910805" w:rsidP="00534A67">
                  <w:pPr>
                    <w:keepNext/>
                    <w:keepLines/>
                    <w:jc w:val="center"/>
                    <w:rPr>
                      <w:rFonts w:ascii="Times New Roman" w:eastAsia="Times New Roman" w:hAnsi="Times New Roman" w:cs="Times New Roman"/>
                      <w:color w:val="000000"/>
                      <w:highlight w:val="green"/>
                    </w:rPr>
                  </w:pPr>
                  <w:r w:rsidRPr="000951EC">
                    <w:rPr>
                      <w:rFonts w:ascii="Times New Roman" w:eastAsia="Times New Roman" w:hAnsi="Times New Roman" w:cs="Times New Roman"/>
                      <w:b/>
                      <w:color w:val="000000"/>
                    </w:rPr>
                    <w:t>Bottom Five Districts</w:t>
                  </w:r>
                </w:p>
              </w:tc>
            </w:tr>
            <w:tr w:rsidR="00910805" w:rsidRPr="00673DF2" w14:paraId="5FE02105" w14:textId="77777777" w:rsidTr="00D929F8">
              <w:trPr>
                <w:trHeight w:val="300"/>
              </w:trPr>
              <w:tc>
                <w:tcPr>
                  <w:tcW w:w="876" w:type="dxa"/>
                  <w:tcBorders>
                    <w:right w:val="single" w:sz="18" w:space="0" w:color="auto"/>
                  </w:tcBorders>
                  <w:shd w:val="clear" w:color="auto" w:fill="auto"/>
                  <w:noWrap/>
                  <w:vAlign w:val="bottom"/>
                </w:tcPr>
                <w:p w14:paraId="55EC089F" w14:textId="77777777" w:rsidR="00910805" w:rsidRPr="00D929F8" w:rsidRDefault="00910805" w:rsidP="00534A67">
                  <w:pPr>
                    <w:keepNext/>
                    <w:keepLines/>
                    <w:rPr>
                      <w:rFonts w:ascii="Times New Roman" w:eastAsia="Times New Roman" w:hAnsi="Times New Roman" w:cs="Times New Roman"/>
                      <w:color w:val="000000"/>
                      <w:sz w:val="20"/>
                      <w:szCs w:val="20"/>
                    </w:rPr>
                  </w:pPr>
                </w:p>
              </w:tc>
              <w:tc>
                <w:tcPr>
                  <w:tcW w:w="3868" w:type="dxa"/>
                  <w:gridSpan w:val="3"/>
                  <w:tcBorders>
                    <w:left w:val="single" w:sz="18" w:space="0" w:color="auto"/>
                    <w:right w:val="single" w:sz="18" w:space="0" w:color="auto"/>
                  </w:tcBorders>
                  <w:shd w:val="clear" w:color="auto" w:fill="auto"/>
                  <w:noWrap/>
                  <w:vAlign w:val="bottom"/>
                </w:tcPr>
                <w:p w14:paraId="5B139154" w14:textId="77777777" w:rsidR="00910805" w:rsidRPr="000951EC" w:rsidRDefault="00910805" w:rsidP="00534A67">
                  <w:pPr>
                    <w:keepNext/>
                    <w:keepLines/>
                    <w:jc w:val="center"/>
                    <w:rPr>
                      <w:rFonts w:ascii="Times New Roman" w:eastAsia="Times New Roman" w:hAnsi="Times New Roman" w:cs="Times New Roman"/>
                      <w:color w:val="000000"/>
                    </w:rPr>
                  </w:pPr>
                  <w:r w:rsidRPr="000951EC">
                    <w:rPr>
                      <w:rFonts w:ascii="Times New Roman" w:eastAsia="Times New Roman" w:hAnsi="Times New Roman" w:cs="Times New Roman"/>
                      <w:b/>
                      <w:color w:val="000000"/>
                    </w:rPr>
                    <w:t>2010</w:t>
                  </w:r>
                </w:p>
              </w:tc>
              <w:tc>
                <w:tcPr>
                  <w:tcW w:w="3850" w:type="dxa"/>
                  <w:gridSpan w:val="3"/>
                  <w:tcBorders>
                    <w:left w:val="single" w:sz="18" w:space="0" w:color="auto"/>
                  </w:tcBorders>
                  <w:shd w:val="clear" w:color="auto" w:fill="auto"/>
                  <w:noWrap/>
                  <w:vAlign w:val="bottom"/>
                </w:tcPr>
                <w:p w14:paraId="18BB2DFE" w14:textId="77777777" w:rsidR="00910805" w:rsidRPr="000951EC" w:rsidRDefault="00910805" w:rsidP="00534A67">
                  <w:pPr>
                    <w:keepNext/>
                    <w:keepLines/>
                    <w:jc w:val="center"/>
                    <w:rPr>
                      <w:rFonts w:ascii="Times New Roman" w:eastAsia="Times New Roman" w:hAnsi="Times New Roman" w:cs="Times New Roman"/>
                      <w:color w:val="000000"/>
                    </w:rPr>
                  </w:pPr>
                  <w:r w:rsidRPr="000951EC">
                    <w:rPr>
                      <w:rFonts w:ascii="Times New Roman" w:eastAsia="Times New Roman" w:hAnsi="Times New Roman" w:cs="Times New Roman"/>
                      <w:b/>
                      <w:color w:val="000000"/>
                    </w:rPr>
                    <w:t>2013</w:t>
                  </w:r>
                </w:p>
              </w:tc>
            </w:tr>
            <w:tr w:rsidR="00910805" w:rsidRPr="00673DF2" w14:paraId="7DAE03B9" w14:textId="77777777" w:rsidTr="00D929F8">
              <w:trPr>
                <w:trHeight w:val="300"/>
              </w:trPr>
              <w:tc>
                <w:tcPr>
                  <w:tcW w:w="876" w:type="dxa"/>
                  <w:tcBorders>
                    <w:right w:val="single" w:sz="18" w:space="0" w:color="auto"/>
                  </w:tcBorders>
                  <w:shd w:val="clear" w:color="auto" w:fill="auto"/>
                  <w:noWrap/>
                  <w:vAlign w:val="bottom"/>
                </w:tcPr>
                <w:p w14:paraId="345F9C0D" w14:textId="77777777" w:rsidR="00910805" w:rsidRPr="00D929F8" w:rsidRDefault="00910805" w:rsidP="00534A67">
                  <w:pPr>
                    <w:keepNext/>
                    <w:keepLines/>
                    <w:jc w:val="center"/>
                    <w:rPr>
                      <w:rFonts w:ascii="Times New Roman" w:eastAsia="Times New Roman" w:hAnsi="Times New Roman" w:cs="Times New Roman"/>
                      <w:color w:val="000000"/>
                      <w:sz w:val="20"/>
                      <w:szCs w:val="20"/>
                    </w:rPr>
                  </w:pPr>
                  <w:r w:rsidRPr="00D929F8">
                    <w:rPr>
                      <w:rFonts w:ascii="Times New Roman" w:eastAsia="Times New Roman" w:hAnsi="Times New Roman" w:cs="Times New Roman"/>
                      <w:b/>
                      <w:color w:val="000000"/>
                      <w:sz w:val="20"/>
                      <w:szCs w:val="20"/>
                    </w:rPr>
                    <w:t>District</w:t>
                  </w:r>
                </w:p>
              </w:tc>
              <w:tc>
                <w:tcPr>
                  <w:tcW w:w="1171" w:type="dxa"/>
                  <w:tcBorders>
                    <w:left w:val="single" w:sz="18" w:space="0" w:color="auto"/>
                  </w:tcBorders>
                  <w:shd w:val="clear" w:color="auto" w:fill="auto"/>
                  <w:noWrap/>
                  <w:vAlign w:val="bottom"/>
                </w:tcPr>
                <w:p w14:paraId="52F27364" w14:textId="77777777" w:rsidR="00910805" w:rsidRPr="00D929F8" w:rsidRDefault="00910805" w:rsidP="00534A67">
                  <w:pPr>
                    <w:keepNext/>
                    <w:keepLines/>
                    <w:jc w:val="center"/>
                    <w:rPr>
                      <w:rFonts w:ascii="Times New Roman" w:eastAsia="Times New Roman" w:hAnsi="Times New Roman" w:cs="Times New Roman"/>
                      <w:color w:val="000000"/>
                      <w:sz w:val="20"/>
                      <w:szCs w:val="20"/>
                    </w:rPr>
                  </w:pPr>
                  <w:r w:rsidRPr="00D929F8">
                    <w:rPr>
                      <w:rFonts w:ascii="Times New Roman" w:eastAsia="Times New Roman" w:hAnsi="Times New Roman" w:cs="Times New Roman"/>
                      <w:b/>
                      <w:color w:val="000000"/>
                      <w:sz w:val="20"/>
                      <w:szCs w:val="20"/>
                    </w:rPr>
                    <w:t>Individual Ch. 11</w:t>
                  </w:r>
                </w:p>
              </w:tc>
              <w:tc>
                <w:tcPr>
                  <w:tcW w:w="1054" w:type="dxa"/>
                  <w:shd w:val="clear" w:color="auto" w:fill="auto"/>
                  <w:noWrap/>
                  <w:vAlign w:val="bottom"/>
                </w:tcPr>
                <w:p w14:paraId="3A41A6E9" w14:textId="77777777" w:rsidR="00910805" w:rsidRPr="00D929F8" w:rsidRDefault="00910805" w:rsidP="00534A67">
                  <w:pPr>
                    <w:keepNext/>
                    <w:keepLines/>
                    <w:jc w:val="center"/>
                    <w:rPr>
                      <w:rFonts w:ascii="Times New Roman" w:eastAsia="Times New Roman" w:hAnsi="Times New Roman" w:cs="Times New Roman"/>
                      <w:color w:val="000000"/>
                      <w:sz w:val="20"/>
                      <w:szCs w:val="20"/>
                    </w:rPr>
                  </w:pPr>
                  <w:r w:rsidRPr="00D929F8">
                    <w:rPr>
                      <w:rFonts w:ascii="Times New Roman" w:eastAsia="Times New Roman" w:hAnsi="Times New Roman" w:cs="Times New Roman"/>
                      <w:b/>
                      <w:color w:val="000000"/>
                      <w:sz w:val="20"/>
                      <w:szCs w:val="20"/>
                    </w:rPr>
                    <w:t>% Whole Sample</w:t>
                  </w:r>
                </w:p>
              </w:tc>
              <w:tc>
                <w:tcPr>
                  <w:tcW w:w="1643" w:type="dxa"/>
                  <w:tcBorders>
                    <w:right w:val="single" w:sz="18" w:space="0" w:color="auto"/>
                  </w:tcBorders>
                  <w:shd w:val="clear" w:color="auto" w:fill="auto"/>
                  <w:noWrap/>
                  <w:vAlign w:val="bottom"/>
                </w:tcPr>
                <w:p w14:paraId="03ACFB7C" w14:textId="1ECEF1A6" w:rsidR="00910805" w:rsidRPr="00D929F8" w:rsidRDefault="00910805" w:rsidP="00534A67">
                  <w:pPr>
                    <w:keepNext/>
                    <w:keepLines/>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sidRPr="00D929F8">
                    <w:rPr>
                      <w:rFonts w:ascii="Times New Roman" w:eastAsia="Times New Roman" w:hAnsi="Times New Roman" w:cs="Times New Roman"/>
                      <w:b/>
                      <w:color w:val="000000"/>
                      <w:sz w:val="20"/>
                      <w:szCs w:val="20"/>
                    </w:rPr>
                    <w:t>Individual of District Ch. 11</w:t>
                  </w:r>
                </w:p>
              </w:tc>
              <w:tc>
                <w:tcPr>
                  <w:tcW w:w="1187" w:type="dxa"/>
                  <w:tcBorders>
                    <w:left w:val="single" w:sz="18" w:space="0" w:color="auto"/>
                  </w:tcBorders>
                  <w:shd w:val="clear" w:color="auto" w:fill="auto"/>
                  <w:noWrap/>
                  <w:vAlign w:val="bottom"/>
                </w:tcPr>
                <w:p w14:paraId="1E38786D" w14:textId="77777777" w:rsidR="00910805" w:rsidRPr="00D929F8" w:rsidRDefault="00910805" w:rsidP="00534A67">
                  <w:pPr>
                    <w:keepNext/>
                    <w:keepLines/>
                    <w:jc w:val="center"/>
                    <w:rPr>
                      <w:rFonts w:ascii="Times New Roman" w:eastAsia="Times New Roman" w:hAnsi="Times New Roman" w:cs="Times New Roman"/>
                      <w:color w:val="000000"/>
                      <w:sz w:val="20"/>
                      <w:szCs w:val="20"/>
                    </w:rPr>
                  </w:pPr>
                  <w:r w:rsidRPr="00D929F8">
                    <w:rPr>
                      <w:rFonts w:ascii="Times New Roman" w:eastAsia="Times New Roman" w:hAnsi="Times New Roman" w:cs="Times New Roman"/>
                      <w:b/>
                      <w:color w:val="000000"/>
                      <w:sz w:val="20"/>
                      <w:szCs w:val="20"/>
                    </w:rPr>
                    <w:t>Individual Ch. 11</w:t>
                  </w:r>
                </w:p>
              </w:tc>
              <w:tc>
                <w:tcPr>
                  <w:tcW w:w="1066" w:type="dxa"/>
                  <w:shd w:val="clear" w:color="auto" w:fill="auto"/>
                  <w:noWrap/>
                  <w:vAlign w:val="bottom"/>
                </w:tcPr>
                <w:p w14:paraId="77709FCC" w14:textId="77777777" w:rsidR="00910805" w:rsidRPr="00D929F8" w:rsidRDefault="00910805" w:rsidP="00534A67">
                  <w:pPr>
                    <w:keepNext/>
                    <w:keepLines/>
                    <w:jc w:val="center"/>
                    <w:rPr>
                      <w:rFonts w:ascii="Times New Roman" w:eastAsia="Times New Roman" w:hAnsi="Times New Roman" w:cs="Times New Roman"/>
                      <w:color w:val="000000"/>
                      <w:sz w:val="20"/>
                      <w:szCs w:val="20"/>
                    </w:rPr>
                  </w:pPr>
                  <w:r w:rsidRPr="00D929F8">
                    <w:rPr>
                      <w:rFonts w:ascii="Times New Roman" w:eastAsia="Times New Roman" w:hAnsi="Times New Roman" w:cs="Times New Roman"/>
                      <w:b/>
                      <w:color w:val="000000"/>
                      <w:sz w:val="20"/>
                      <w:szCs w:val="20"/>
                    </w:rPr>
                    <w:t>% Whole Sample</w:t>
                  </w:r>
                </w:p>
              </w:tc>
              <w:tc>
                <w:tcPr>
                  <w:tcW w:w="1597" w:type="dxa"/>
                  <w:shd w:val="clear" w:color="auto" w:fill="auto"/>
                  <w:noWrap/>
                  <w:vAlign w:val="bottom"/>
                </w:tcPr>
                <w:p w14:paraId="36AF49C6" w14:textId="2CE5BC7D" w:rsidR="00910805" w:rsidRPr="00D929F8" w:rsidRDefault="00910805" w:rsidP="00534A67">
                  <w:pPr>
                    <w:keepNext/>
                    <w:keepLines/>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sidRPr="00D929F8">
                    <w:rPr>
                      <w:rFonts w:ascii="Times New Roman" w:eastAsia="Times New Roman" w:hAnsi="Times New Roman" w:cs="Times New Roman"/>
                      <w:b/>
                      <w:color w:val="000000"/>
                      <w:sz w:val="20"/>
                      <w:szCs w:val="20"/>
                    </w:rPr>
                    <w:t xml:space="preserve">Individual </w:t>
                  </w:r>
                  <w:r>
                    <w:rPr>
                      <w:rFonts w:ascii="Times New Roman" w:eastAsia="Times New Roman" w:hAnsi="Times New Roman" w:cs="Times New Roman"/>
                      <w:b/>
                      <w:color w:val="000000"/>
                      <w:sz w:val="20"/>
                      <w:szCs w:val="20"/>
                    </w:rPr>
                    <w:t>o</w:t>
                  </w:r>
                  <w:r w:rsidRPr="00D929F8">
                    <w:rPr>
                      <w:rFonts w:ascii="Times New Roman" w:eastAsia="Times New Roman" w:hAnsi="Times New Roman" w:cs="Times New Roman"/>
                      <w:b/>
                      <w:color w:val="000000"/>
                      <w:sz w:val="20"/>
                      <w:szCs w:val="20"/>
                    </w:rPr>
                    <w:t>f District Ch. 11</w:t>
                  </w:r>
                </w:p>
              </w:tc>
            </w:tr>
            <w:tr w:rsidR="00910805" w:rsidRPr="00673DF2" w14:paraId="78F66152" w14:textId="77777777" w:rsidTr="003C3103">
              <w:trPr>
                <w:trHeight w:val="300"/>
              </w:trPr>
              <w:tc>
                <w:tcPr>
                  <w:tcW w:w="876" w:type="dxa"/>
                  <w:tcBorders>
                    <w:right w:val="single" w:sz="18" w:space="0" w:color="auto"/>
                  </w:tcBorders>
                  <w:shd w:val="clear" w:color="auto" w:fill="auto"/>
                  <w:noWrap/>
                  <w:vAlign w:val="bottom"/>
                </w:tcPr>
                <w:p w14:paraId="17D1C566" w14:textId="77777777" w:rsidR="00910805" w:rsidRPr="00D929F8" w:rsidRDefault="00910805" w:rsidP="00534A67">
                  <w:pPr>
                    <w:keepNext/>
                    <w:keepLines/>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LAMD</w:t>
                  </w:r>
                </w:p>
              </w:tc>
              <w:tc>
                <w:tcPr>
                  <w:tcW w:w="1171" w:type="dxa"/>
                  <w:tcBorders>
                    <w:left w:val="single" w:sz="18" w:space="0" w:color="auto"/>
                  </w:tcBorders>
                  <w:shd w:val="clear" w:color="auto" w:fill="auto"/>
                  <w:noWrap/>
                </w:tcPr>
                <w:p w14:paraId="658E90D3"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1</w:t>
                  </w:r>
                </w:p>
              </w:tc>
              <w:tc>
                <w:tcPr>
                  <w:tcW w:w="1054" w:type="dxa"/>
                  <w:shd w:val="clear" w:color="auto" w:fill="auto"/>
                  <w:noWrap/>
                </w:tcPr>
                <w:p w14:paraId="2956E664"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0%</w:t>
                  </w:r>
                </w:p>
              </w:tc>
              <w:tc>
                <w:tcPr>
                  <w:tcW w:w="1643" w:type="dxa"/>
                  <w:tcBorders>
                    <w:right w:val="single" w:sz="18" w:space="0" w:color="auto"/>
                  </w:tcBorders>
                  <w:shd w:val="clear" w:color="auto" w:fill="auto"/>
                  <w:noWrap/>
                </w:tcPr>
                <w:p w14:paraId="05D147D9"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6%</w:t>
                  </w:r>
                </w:p>
              </w:tc>
              <w:tc>
                <w:tcPr>
                  <w:tcW w:w="1187" w:type="dxa"/>
                  <w:tcBorders>
                    <w:left w:val="single" w:sz="18" w:space="0" w:color="auto"/>
                  </w:tcBorders>
                  <w:shd w:val="clear" w:color="auto" w:fill="auto"/>
                  <w:noWrap/>
                </w:tcPr>
                <w:p w14:paraId="48BE082E"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1</w:t>
                  </w:r>
                </w:p>
              </w:tc>
              <w:tc>
                <w:tcPr>
                  <w:tcW w:w="1066" w:type="dxa"/>
                  <w:shd w:val="clear" w:color="auto" w:fill="auto"/>
                  <w:noWrap/>
                </w:tcPr>
                <w:p w14:paraId="3D4C96F7"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0%</w:t>
                  </w:r>
                </w:p>
              </w:tc>
              <w:tc>
                <w:tcPr>
                  <w:tcW w:w="1597" w:type="dxa"/>
                  <w:shd w:val="clear" w:color="auto" w:fill="auto"/>
                  <w:noWrap/>
                </w:tcPr>
                <w:p w14:paraId="3E485BCB"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10%</w:t>
                  </w:r>
                </w:p>
              </w:tc>
            </w:tr>
            <w:tr w:rsidR="00910805" w:rsidRPr="00673DF2" w14:paraId="256CCF22" w14:textId="77777777" w:rsidTr="003C3103">
              <w:trPr>
                <w:trHeight w:val="300"/>
              </w:trPr>
              <w:tc>
                <w:tcPr>
                  <w:tcW w:w="876" w:type="dxa"/>
                  <w:tcBorders>
                    <w:right w:val="single" w:sz="18" w:space="0" w:color="auto"/>
                  </w:tcBorders>
                  <w:shd w:val="clear" w:color="auto" w:fill="auto"/>
                  <w:noWrap/>
                  <w:vAlign w:val="bottom"/>
                </w:tcPr>
                <w:p w14:paraId="1F007A2E" w14:textId="77777777" w:rsidR="00910805" w:rsidRPr="00D929F8" w:rsidRDefault="00910805" w:rsidP="00534A67">
                  <w:pPr>
                    <w:keepNext/>
                    <w:keepLines/>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IAND</w:t>
                  </w:r>
                </w:p>
              </w:tc>
              <w:tc>
                <w:tcPr>
                  <w:tcW w:w="1171" w:type="dxa"/>
                  <w:tcBorders>
                    <w:left w:val="single" w:sz="18" w:space="0" w:color="auto"/>
                  </w:tcBorders>
                  <w:shd w:val="clear" w:color="auto" w:fill="auto"/>
                  <w:noWrap/>
                </w:tcPr>
                <w:p w14:paraId="705C060F"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3</w:t>
                  </w:r>
                </w:p>
              </w:tc>
              <w:tc>
                <w:tcPr>
                  <w:tcW w:w="1054" w:type="dxa"/>
                  <w:shd w:val="clear" w:color="auto" w:fill="auto"/>
                  <w:noWrap/>
                </w:tcPr>
                <w:p w14:paraId="15615501"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0%</w:t>
                  </w:r>
                </w:p>
              </w:tc>
              <w:tc>
                <w:tcPr>
                  <w:tcW w:w="1643" w:type="dxa"/>
                  <w:tcBorders>
                    <w:right w:val="single" w:sz="18" w:space="0" w:color="auto"/>
                  </w:tcBorders>
                  <w:shd w:val="clear" w:color="auto" w:fill="auto"/>
                  <w:noWrap/>
                </w:tcPr>
                <w:p w14:paraId="5206BC09"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43%</w:t>
                  </w:r>
                </w:p>
              </w:tc>
              <w:tc>
                <w:tcPr>
                  <w:tcW w:w="1187" w:type="dxa"/>
                  <w:tcBorders>
                    <w:left w:val="single" w:sz="18" w:space="0" w:color="auto"/>
                  </w:tcBorders>
                  <w:shd w:val="clear" w:color="auto" w:fill="auto"/>
                  <w:noWrap/>
                </w:tcPr>
                <w:p w14:paraId="676899B5"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0</w:t>
                  </w:r>
                </w:p>
              </w:tc>
              <w:tc>
                <w:tcPr>
                  <w:tcW w:w="1066" w:type="dxa"/>
                  <w:shd w:val="clear" w:color="auto" w:fill="auto"/>
                  <w:noWrap/>
                </w:tcPr>
                <w:p w14:paraId="32DD98EF"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0%</w:t>
                  </w:r>
                </w:p>
              </w:tc>
              <w:tc>
                <w:tcPr>
                  <w:tcW w:w="1597" w:type="dxa"/>
                  <w:shd w:val="clear" w:color="auto" w:fill="auto"/>
                  <w:noWrap/>
                </w:tcPr>
                <w:p w14:paraId="7A40DD0A"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0%</w:t>
                  </w:r>
                </w:p>
              </w:tc>
            </w:tr>
            <w:tr w:rsidR="00910805" w:rsidRPr="00673DF2" w14:paraId="46DAB6F3" w14:textId="77777777" w:rsidTr="003C3103">
              <w:trPr>
                <w:trHeight w:val="300"/>
              </w:trPr>
              <w:tc>
                <w:tcPr>
                  <w:tcW w:w="876" w:type="dxa"/>
                  <w:tcBorders>
                    <w:right w:val="single" w:sz="18" w:space="0" w:color="auto"/>
                  </w:tcBorders>
                  <w:shd w:val="clear" w:color="auto" w:fill="auto"/>
                  <w:noWrap/>
                  <w:vAlign w:val="bottom"/>
                  <w:hideMark/>
                </w:tcPr>
                <w:p w14:paraId="5A5300A0" w14:textId="77777777" w:rsidR="00910805" w:rsidRPr="00D929F8" w:rsidRDefault="00910805" w:rsidP="00534A67">
                  <w:pPr>
                    <w:keepNext/>
                    <w:keepLines/>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ND</w:t>
                  </w:r>
                </w:p>
              </w:tc>
              <w:tc>
                <w:tcPr>
                  <w:tcW w:w="1171" w:type="dxa"/>
                  <w:tcBorders>
                    <w:left w:val="single" w:sz="18" w:space="0" w:color="auto"/>
                  </w:tcBorders>
                  <w:shd w:val="clear" w:color="auto" w:fill="auto"/>
                  <w:noWrap/>
                  <w:hideMark/>
                </w:tcPr>
                <w:p w14:paraId="3D4BD996"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3</w:t>
                  </w:r>
                </w:p>
              </w:tc>
              <w:tc>
                <w:tcPr>
                  <w:tcW w:w="1054" w:type="dxa"/>
                  <w:shd w:val="clear" w:color="auto" w:fill="auto"/>
                  <w:noWrap/>
                  <w:hideMark/>
                </w:tcPr>
                <w:p w14:paraId="21E712B4"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0%</w:t>
                  </w:r>
                </w:p>
              </w:tc>
              <w:tc>
                <w:tcPr>
                  <w:tcW w:w="1643" w:type="dxa"/>
                  <w:tcBorders>
                    <w:right w:val="single" w:sz="18" w:space="0" w:color="auto"/>
                  </w:tcBorders>
                  <w:shd w:val="clear" w:color="auto" w:fill="auto"/>
                  <w:noWrap/>
                  <w:hideMark/>
                </w:tcPr>
                <w:p w14:paraId="38C55A9C"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38%</w:t>
                  </w:r>
                </w:p>
              </w:tc>
              <w:tc>
                <w:tcPr>
                  <w:tcW w:w="1187" w:type="dxa"/>
                  <w:tcBorders>
                    <w:left w:val="single" w:sz="18" w:space="0" w:color="auto"/>
                  </w:tcBorders>
                  <w:shd w:val="clear" w:color="auto" w:fill="auto"/>
                  <w:noWrap/>
                  <w:hideMark/>
                </w:tcPr>
                <w:p w14:paraId="0631D6A3"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0</w:t>
                  </w:r>
                </w:p>
              </w:tc>
              <w:tc>
                <w:tcPr>
                  <w:tcW w:w="1066" w:type="dxa"/>
                  <w:shd w:val="clear" w:color="auto" w:fill="auto"/>
                  <w:noWrap/>
                  <w:hideMark/>
                </w:tcPr>
                <w:p w14:paraId="4103D506"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0%</w:t>
                  </w:r>
                </w:p>
              </w:tc>
              <w:tc>
                <w:tcPr>
                  <w:tcW w:w="1597" w:type="dxa"/>
                  <w:shd w:val="clear" w:color="auto" w:fill="auto"/>
                  <w:noWrap/>
                  <w:hideMark/>
                </w:tcPr>
                <w:p w14:paraId="4B102EA8"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0%</w:t>
                  </w:r>
                </w:p>
              </w:tc>
            </w:tr>
            <w:tr w:rsidR="00910805" w:rsidRPr="00673DF2" w14:paraId="32D3CAA5" w14:textId="77777777" w:rsidTr="003C3103">
              <w:trPr>
                <w:trHeight w:val="300"/>
              </w:trPr>
              <w:tc>
                <w:tcPr>
                  <w:tcW w:w="876" w:type="dxa"/>
                  <w:tcBorders>
                    <w:right w:val="single" w:sz="18" w:space="0" w:color="auto"/>
                  </w:tcBorders>
                  <w:shd w:val="clear" w:color="auto" w:fill="auto"/>
                  <w:noWrap/>
                  <w:vAlign w:val="bottom"/>
                  <w:hideMark/>
                </w:tcPr>
                <w:p w14:paraId="4FA972E6" w14:textId="77777777" w:rsidR="00910805" w:rsidRPr="00D929F8" w:rsidRDefault="00910805" w:rsidP="00534A67">
                  <w:pPr>
                    <w:keepNext/>
                    <w:keepLines/>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OKND</w:t>
                  </w:r>
                </w:p>
              </w:tc>
              <w:tc>
                <w:tcPr>
                  <w:tcW w:w="1171" w:type="dxa"/>
                  <w:tcBorders>
                    <w:left w:val="single" w:sz="18" w:space="0" w:color="auto"/>
                  </w:tcBorders>
                  <w:shd w:val="clear" w:color="auto" w:fill="auto"/>
                  <w:noWrap/>
                  <w:hideMark/>
                </w:tcPr>
                <w:p w14:paraId="32A9CD9A"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2</w:t>
                  </w:r>
                </w:p>
              </w:tc>
              <w:tc>
                <w:tcPr>
                  <w:tcW w:w="1054" w:type="dxa"/>
                  <w:shd w:val="clear" w:color="auto" w:fill="auto"/>
                  <w:noWrap/>
                  <w:hideMark/>
                </w:tcPr>
                <w:p w14:paraId="374163F0"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0%</w:t>
                  </w:r>
                </w:p>
              </w:tc>
              <w:tc>
                <w:tcPr>
                  <w:tcW w:w="1643" w:type="dxa"/>
                  <w:tcBorders>
                    <w:right w:val="single" w:sz="18" w:space="0" w:color="auto"/>
                  </w:tcBorders>
                  <w:shd w:val="clear" w:color="auto" w:fill="auto"/>
                  <w:noWrap/>
                  <w:hideMark/>
                </w:tcPr>
                <w:p w14:paraId="62A3C39B"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8%</w:t>
                  </w:r>
                </w:p>
              </w:tc>
              <w:tc>
                <w:tcPr>
                  <w:tcW w:w="1187" w:type="dxa"/>
                  <w:tcBorders>
                    <w:left w:val="single" w:sz="18" w:space="0" w:color="auto"/>
                  </w:tcBorders>
                  <w:shd w:val="clear" w:color="auto" w:fill="auto"/>
                  <w:noWrap/>
                  <w:hideMark/>
                </w:tcPr>
                <w:p w14:paraId="3F93EDD8"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1</w:t>
                  </w:r>
                </w:p>
              </w:tc>
              <w:tc>
                <w:tcPr>
                  <w:tcW w:w="1066" w:type="dxa"/>
                  <w:shd w:val="clear" w:color="auto" w:fill="auto"/>
                  <w:noWrap/>
                  <w:hideMark/>
                </w:tcPr>
                <w:p w14:paraId="29185DD3"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0%</w:t>
                  </w:r>
                </w:p>
              </w:tc>
              <w:tc>
                <w:tcPr>
                  <w:tcW w:w="1597" w:type="dxa"/>
                  <w:shd w:val="clear" w:color="auto" w:fill="auto"/>
                  <w:noWrap/>
                  <w:hideMark/>
                </w:tcPr>
                <w:p w14:paraId="26D41FC7"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17%</w:t>
                  </w:r>
                </w:p>
              </w:tc>
            </w:tr>
            <w:tr w:rsidR="00910805" w:rsidRPr="00673DF2" w14:paraId="290BB20D" w14:textId="77777777" w:rsidTr="003C3103">
              <w:trPr>
                <w:trHeight w:val="300"/>
              </w:trPr>
              <w:tc>
                <w:tcPr>
                  <w:tcW w:w="876" w:type="dxa"/>
                  <w:tcBorders>
                    <w:right w:val="single" w:sz="18" w:space="0" w:color="auto"/>
                  </w:tcBorders>
                  <w:shd w:val="clear" w:color="auto" w:fill="auto"/>
                  <w:noWrap/>
                  <w:vAlign w:val="bottom"/>
                  <w:hideMark/>
                </w:tcPr>
                <w:p w14:paraId="0211DC02" w14:textId="77777777" w:rsidR="00910805" w:rsidRPr="00D929F8" w:rsidRDefault="00910805" w:rsidP="00534A67">
                  <w:pPr>
                    <w:keepNext/>
                    <w:keepLines/>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VT</w:t>
                  </w:r>
                </w:p>
              </w:tc>
              <w:tc>
                <w:tcPr>
                  <w:tcW w:w="1171" w:type="dxa"/>
                  <w:tcBorders>
                    <w:left w:val="single" w:sz="18" w:space="0" w:color="auto"/>
                  </w:tcBorders>
                  <w:shd w:val="clear" w:color="auto" w:fill="auto"/>
                  <w:noWrap/>
                  <w:hideMark/>
                </w:tcPr>
                <w:p w14:paraId="0231F7D2"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3</w:t>
                  </w:r>
                </w:p>
              </w:tc>
              <w:tc>
                <w:tcPr>
                  <w:tcW w:w="1054" w:type="dxa"/>
                  <w:shd w:val="clear" w:color="auto" w:fill="auto"/>
                  <w:noWrap/>
                  <w:hideMark/>
                </w:tcPr>
                <w:p w14:paraId="51FCE485"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0%</w:t>
                  </w:r>
                </w:p>
              </w:tc>
              <w:tc>
                <w:tcPr>
                  <w:tcW w:w="1643" w:type="dxa"/>
                  <w:tcBorders>
                    <w:right w:val="single" w:sz="18" w:space="0" w:color="auto"/>
                  </w:tcBorders>
                  <w:shd w:val="clear" w:color="auto" w:fill="auto"/>
                  <w:noWrap/>
                  <w:hideMark/>
                </w:tcPr>
                <w:p w14:paraId="6DD799C0"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33%</w:t>
                  </w:r>
                </w:p>
              </w:tc>
              <w:tc>
                <w:tcPr>
                  <w:tcW w:w="1187" w:type="dxa"/>
                  <w:tcBorders>
                    <w:left w:val="single" w:sz="18" w:space="0" w:color="auto"/>
                  </w:tcBorders>
                  <w:shd w:val="clear" w:color="auto" w:fill="auto"/>
                  <w:noWrap/>
                  <w:hideMark/>
                </w:tcPr>
                <w:p w14:paraId="03325257"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0</w:t>
                  </w:r>
                </w:p>
              </w:tc>
              <w:tc>
                <w:tcPr>
                  <w:tcW w:w="1066" w:type="dxa"/>
                  <w:shd w:val="clear" w:color="auto" w:fill="auto"/>
                  <w:noWrap/>
                  <w:hideMark/>
                </w:tcPr>
                <w:p w14:paraId="3C8D832F"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0%</w:t>
                  </w:r>
                </w:p>
              </w:tc>
              <w:tc>
                <w:tcPr>
                  <w:tcW w:w="1597" w:type="dxa"/>
                  <w:shd w:val="clear" w:color="auto" w:fill="auto"/>
                  <w:noWrap/>
                  <w:hideMark/>
                </w:tcPr>
                <w:p w14:paraId="1BEE8908" w14:textId="77777777" w:rsidR="00910805" w:rsidRPr="00D929F8" w:rsidRDefault="00910805" w:rsidP="00534A67">
                  <w:pPr>
                    <w:keepNext/>
                    <w:keepLines/>
                    <w:jc w:val="right"/>
                    <w:rPr>
                      <w:rFonts w:ascii="Times New Roman" w:eastAsia="Times New Roman" w:hAnsi="Times New Roman" w:cs="Times New Roman"/>
                      <w:color w:val="000000"/>
                      <w:sz w:val="20"/>
                      <w:szCs w:val="20"/>
                    </w:rPr>
                  </w:pPr>
                  <w:r w:rsidRPr="00D929F8">
                    <w:rPr>
                      <w:rFonts w:ascii="Times New Roman" w:eastAsia="Times New Roman" w:hAnsi="Times New Roman" w:cs="Times New Roman"/>
                      <w:color w:val="000000"/>
                      <w:sz w:val="20"/>
                      <w:szCs w:val="20"/>
                    </w:rPr>
                    <w:t>0%</w:t>
                  </w:r>
                </w:p>
              </w:tc>
            </w:tr>
          </w:tbl>
          <w:p w14:paraId="40BA74C4" w14:textId="77777777" w:rsidR="00910805" w:rsidRPr="00D929F8" w:rsidRDefault="00910805" w:rsidP="00534A67">
            <w:pPr>
              <w:keepNext/>
              <w:keepLines/>
              <w:rPr>
                <w:rFonts w:ascii="Times New Roman" w:hAnsi="Times New Roman" w:cs="Times New Roman"/>
                <w:sz w:val="20"/>
                <w:szCs w:val="20"/>
              </w:rPr>
            </w:pPr>
          </w:p>
        </w:tc>
      </w:tr>
    </w:tbl>
    <w:p w14:paraId="409A0690" w14:textId="77777777" w:rsidR="00910805" w:rsidRPr="00D929F8" w:rsidRDefault="00910805" w:rsidP="00910805">
      <w:pPr>
        <w:spacing w:line="360" w:lineRule="auto"/>
        <w:rPr>
          <w:rFonts w:ascii="Times New Roman" w:hAnsi="Times New Roman" w:cs="Times New Roman"/>
        </w:rPr>
      </w:pPr>
    </w:p>
    <w:p w14:paraId="114DAF31" w14:textId="0F791D52" w:rsidR="000301B6" w:rsidRPr="00EA3EBA" w:rsidRDefault="00910805" w:rsidP="00D779FA">
      <w:pPr>
        <w:spacing w:line="480" w:lineRule="auto"/>
        <w:rPr>
          <w:rFonts w:ascii="Times New Roman" w:hAnsi="Times New Roman" w:cs="Times New Roman"/>
        </w:rPr>
      </w:pPr>
      <w:r w:rsidRPr="00D929F8">
        <w:rPr>
          <w:rFonts w:ascii="Times New Roman" w:hAnsi="Times New Roman" w:cs="Times New Roman"/>
        </w:rPr>
        <w:t xml:space="preserve">As the data in Tables </w:t>
      </w:r>
      <w:r w:rsidR="00FB3022">
        <w:rPr>
          <w:rFonts w:ascii="Times New Roman" w:hAnsi="Times New Roman" w:cs="Times New Roman"/>
        </w:rPr>
        <w:t>4</w:t>
      </w:r>
      <w:r w:rsidRPr="00D929F8">
        <w:rPr>
          <w:rFonts w:ascii="Times New Roman" w:hAnsi="Times New Roman" w:cs="Times New Roman"/>
        </w:rPr>
        <w:t xml:space="preserve"> and </w:t>
      </w:r>
      <w:r w:rsidR="00534A67">
        <w:rPr>
          <w:rFonts w:ascii="Times New Roman" w:hAnsi="Times New Roman" w:cs="Times New Roman"/>
        </w:rPr>
        <w:t>58</w:t>
      </w:r>
      <w:r w:rsidRPr="00D929F8">
        <w:rPr>
          <w:rFonts w:ascii="Times New Roman" w:hAnsi="Times New Roman" w:cs="Times New Roman"/>
        </w:rPr>
        <w:t xml:space="preserve"> demonstrate, the number of individual chapter 11 filings varies greatly by district: from a low of </w:t>
      </w:r>
      <w:r w:rsidR="00132831">
        <w:rPr>
          <w:rFonts w:ascii="Times New Roman" w:hAnsi="Times New Roman" w:cs="Times New Roman"/>
        </w:rPr>
        <w:t>one</w:t>
      </w:r>
      <w:r w:rsidRPr="00D929F8">
        <w:rPr>
          <w:rFonts w:ascii="Times New Roman" w:hAnsi="Times New Roman" w:cs="Times New Roman"/>
        </w:rPr>
        <w:t xml:space="preserve"> case each in 2010 and 2013, respectively, for the Middle District of Louisiana to a high of 581 and 349 for 2010 and 2013, respectively, for the Central District of Cali</w:t>
      </w:r>
      <w:r w:rsidRPr="00910805">
        <w:rPr>
          <w:rFonts w:ascii="Times New Roman" w:hAnsi="Times New Roman" w:cs="Times New Roman"/>
        </w:rPr>
        <w:t xml:space="preserve">fornia. </w:t>
      </w:r>
      <w:r w:rsidR="00083B34">
        <w:rPr>
          <w:rFonts w:ascii="Times New Roman" w:hAnsi="Times New Roman" w:cs="Times New Roman"/>
        </w:rPr>
        <w:t>While</w:t>
      </w:r>
      <w:r w:rsidR="00DC012D">
        <w:rPr>
          <w:rFonts w:ascii="Times New Roman" w:hAnsi="Times New Roman" w:cs="Times New Roman"/>
        </w:rPr>
        <w:t xml:space="preserve"> </w:t>
      </w:r>
      <w:r w:rsidR="00833FEF">
        <w:rPr>
          <w:rFonts w:ascii="Times New Roman" w:hAnsi="Times New Roman" w:cs="Times New Roman"/>
        </w:rPr>
        <w:t>four</w:t>
      </w:r>
      <w:r w:rsidRPr="00D929F8">
        <w:rPr>
          <w:rFonts w:ascii="Times New Roman" w:hAnsi="Times New Roman" w:cs="Times New Roman"/>
        </w:rPr>
        <w:t xml:space="preserve"> western districts (</w:t>
      </w:r>
      <w:r w:rsidR="00083B34">
        <w:rPr>
          <w:rFonts w:ascii="Times New Roman" w:hAnsi="Times New Roman" w:cs="Times New Roman"/>
        </w:rPr>
        <w:t xml:space="preserve">the </w:t>
      </w:r>
      <w:r w:rsidRPr="00D929F8">
        <w:rPr>
          <w:rFonts w:ascii="Times New Roman" w:hAnsi="Times New Roman" w:cs="Times New Roman"/>
        </w:rPr>
        <w:t xml:space="preserve">Central District of California, </w:t>
      </w:r>
      <w:r w:rsidR="00083B34">
        <w:rPr>
          <w:rFonts w:ascii="Times New Roman" w:hAnsi="Times New Roman" w:cs="Times New Roman"/>
        </w:rPr>
        <w:t xml:space="preserve">the </w:t>
      </w:r>
      <w:r w:rsidRPr="00D929F8">
        <w:rPr>
          <w:rFonts w:ascii="Times New Roman" w:hAnsi="Times New Roman" w:cs="Times New Roman"/>
        </w:rPr>
        <w:t xml:space="preserve">Northern District of California, </w:t>
      </w:r>
      <w:r w:rsidR="00833FEF">
        <w:rPr>
          <w:rFonts w:ascii="Times New Roman" w:hAnsi="Times New Roman" w:cs="Times New Roman"/>
        </w:rPr>
        <w:t xml:space="preserve">the District of Nevada, </w:t>
      </w:r>
      <w:r w:rsidRPr="00D929F8">
        <w:rPr>
          <w:rFonts w:ascii="Times New Roman" w:hAnsi="Times New Roman" w:cs="Times New Roman"/>
        </w:rPr>
        <w:t xml:space="preserve">and </w:t>
      </w:r>
      <w:r w:rsidR="00083B34">
        <w:rPr>
          <w:rFonts w:ascii="Times New Roman" w:hAnsi="Times New Roman" w:cs="Times New Roman"/>
        </w:rPr>
        <w:t xml:space="preserve">the </w:t>
      </w:r>
      <w:r w:rsidRPr="00D929F8">
        <w:rPr>
          <w:rFonts w:ascii="Times New Roman" w:hAnsi="Times New Roman" w:cs="Times New Roman"/>
        </w:rPr>
        <w:t xml:space="preserve">District of Arizona) account for </w:t>
      </w:r>
      <w:r w:rsidR="00833FEF">
        <w:rPr>
          <w:rFonts w:ascii="Times New Roman" w:hAnsi="Times New Roman" w:cs="Times New Roman"/>
        </w:rPr>
        <w:t>34</w:t>
      </w:r>
      <w:r w:rsidR="00042036">
        <w:rPr>
          <w:rFonts w:ascii="Times New Roman" w:hAnsi="Times New Roman" w:cs="Times New Roman"/>
        </w:rPr>
        <w:t>%</w:t>
      </w:r>
      <w:r w:rsidRPr="00D929F8">
        <w:rPr>
          <w:rFonts w:ascii="Times New Roman" w:hAnsi="Times New Roman" w:cs="Times New Roman"/>
        </w:rPr>
        <w:t xml:space="preserve"> and 2</w:t>
      </w:r>
      <w:r w:rsidR="00833FEF">
        <w:rPr>
          <w:rFonts w:ascii="Times New Roman" w:hAnsi="Times New Roman" w:cs="Times New Roman"/>
        </w:rPr>
        <w:t>7</w:t>
      </w:r>
      <w:r w:rsidR="00042036">
        <w:rPr>
          <w:rFonts w:ascii="Times New Roman" w:hAnsi="Times New Roman" w:cs="Times New Roman"/>
        </w:rPr>
        <w:t>%</w:t>
      </w:r>
      <w:r w:rsidRPr="00D929F8">
        <w:rPr>
          <w:rFonts w:ascii="Times New Roman" w:hAnsi="Times New Roman" w:cs="Times New Roman"/>
        </w:rPr>
        <w:t xml:space="preserve"> of our sample in 2010 and 2013, respectively, there are significant numbers of individual </w:t>
      </w:r>
      <w:r w:rsidR="00AA091B">
        <w:rPr>
          <w:rFonts w:ascii="Times New Roman" w:hAnsi="Times New Roman" w:cs="Times New Roman"/>
        </w:rPr>
        <w:t>chapter</w:t>
      </w:r>
      <w:r w:rsidRPr="00D929F8">
        <w:rPr>
          <w:rFonts w:ascii="Times New Roman" w:hAnsi="Times New Roman" w:cs="Times New Roman"/>
        </w:rPr>
        <w:t xml:space="preserve"> 11 filings in other areas of the country, such as the Middle District of Florida</w:t>
      </w:r>
      <w:r w:rsidR="00833FEF">
        <w:rPr>
          <w:rFonts w:ascii="Times New Roman" w:hAnsi="Times New Roman" w:cs="Times New Roman"/>
        </w:rPr>
        <w:t>.</w:t>
      </w:r>
      <w:r w:rsidRPr="00910805">
        <w:rPr>
          <w:rFonts w:ascii="Times New Roman" w:hAnsi="Times New Roman" w:cs="Times New Roman"/>
        </w:rPr>
        <w:t xml:space="preserve"> </w:t>
      </w:r>
      <w:r w:rsidRPr="00D929F8">
        <w:rPr>
          <w:rFonts w:ascii="Times New Roman" w:hAnsi="Times New Roman" w:cs="Times New Roman"/>
        </w:rPr>
        <w:t xml:space="preserve">There also is dramatic variation in the </w:t>
      </w:r>
      <w:r w:rsidR="002F13CF">
        <w:rPr>
          <w:rFonts w:ascii="Times New Roman" w:hAnsi="Times New Roman" w:cs="Times New Roman"/>
        </w:rPr>
        <w:t>percentage</w:t>
      </w:r>
      <w:r w:rsidRPr="00D929F8">
        <w:rPr>
          <w:rFonts w:ascii="Times New Roman" w:hAnsi="Times New Roman" w:cs="Times New Roman"/>
        </w:rPr>
        <w:t xml:space="preserve"> of </w:t>
      </w:r>
      <w:r w:rsidR="00AA091B">
        <w:rPr>
          <w:rFonts w:ascii="Times New Roman" w:hAnsi="Times New Roman" w:cs="Times New Roman"/>
        </w:rPr>
        <w:t>chapter</w:t>
      </w:r>
      <w:r w:rsidRPr="00D929F8">
        <w:rPr>
          <w:rFonts w:ascii="Times New Roman" w:hAnsi="Times New Roman" w:cs="Times New Roman"/>
        </w:rPr>
        <w:t xml:space="preserve"> 11 </w:t>
      </w:r>
      <w:r w:rsidR="00833FEF">
        <w:rPr>
          <w:rFonts w:ascii="Times New Roman" w:hAnsi="Times New Roman" w:cs="Times New Roman"/>
        </w:rPr>
        <w:t xml:space="preserve">cases in each district that are filed by </w:t>
      </w:r>
      <w:r w:rsidRPr="00D929F8">
        <w:rPr>
          <w:rFonts w:ascii="Times New Roman" w:hAnsi="Times New Roman" w:cs="Times New Roman"/>
        </w:rPr>
        <w:t xml:space="preserve"> individual</w:t>
      </w:r>
      <w:r w:rsidR="00833FEF">
        <w:rPr>
          <w:rFonts w:ascii="Times New Roman" w:hAnsi="Times New Roman" w:cs="Times New Roman"/>
        </w:rPr>
        <w:t>s</w:t>
      </w:r>
      <w:r w:rsidRPr="00D929F8">
        <w:rPr>
          <w:rFonts w:ascii="Times New Roman" w:hAnsi="Times New Roman" w:cs="Times New Roman"/>
        </w:rPr>
        <w:t xml:space="preserve">, from a low of less than </w:t>
      </w:r>
      <w:r w:rsidR="00DB15DD">
        <w:rPr>
          <w:rFonts w:ascii="Times New Roman" w:hAnsi="Times New Roman" w:cs="Times New Roman"/>
        </w:rPr>
        <w:t>1%</w:t>
      </w:r>
      <w:r w:rsidRPr="00D929F8">
        <w:rPr>
          <w:rFonts w:ascii="Times New Roman" w:hAnsi="Times New Roman" w:cs="Times New Roman"/>
        </w:rPr>
        <w:t xml:space="preserve"> in Delaware (see Table </w:t>
      </w:r>
      <w:r w:rsidR="00534A67">
        <w:rPr>
          <w:rFonts w:ascii="Times New Roman" w:hAnsi="Times New Roman" w:cs="Times New Roman"/>
        </w:rPr>
        <w:t>58</w:t>
      </w:r>
      <w:r w:rsidRPr="00D929F8">
        <w:rPr>
          <w:rFonts w:ascii="Times New Roman" w:hAnsi="Times New Roman" w:cs="Times New Roman"/>
        </w:rPr>
        <w:t>) to more than 60</w:t>
      </w:r>
      <w:r w:rsidR="00042036">
        <w:rPr>
          <w:rFonts w:ascii="Times New Roman" w:hAnsi="Times New Roman" w:cs="Times New Roman"/>
        </w:rPr>
        <w:t>%</w:t>
      </w:r>
      <w:r w:rsidRPr="00D929F8">
        <w:rPr>
          <w:rFonts w:ascii="Times New Roman" w:hAnsi="Times New Roman" w:cs="Times New Roman"/>
        </w:rPr>
        <w:t xml:space="preserve"> in the Northern District of California.</w:t>
      </w:r>
      <w:r w:rsidRPr="00D929F8">
        <w:rPr>
          <w:rStyle w:val="FootnoteReference"/>
          <w:rFonts w:ascii="Times New Roman" w:hAnsi="Times New Roman" w:cs="Times New Roman"/>
        </w:rPr>
        <w:footnoteReference w:id="59"/>
      </w:r>
    </w:p>
    <w:p w14:paraId="68EC4AC7" w14:textId="48B07C26" w:rsidR="0043727C" w:rsidRDefault="00EA3EBA" w:rsidP="00EA3EBA">
      <w:pPr>
        <w:spacing w:line="480" w:lineRule="auto"/>
        <w:rPr>
          <w:rFonts w:ascii="Times New Roman" w:hAnsi="Times New Roman" w:cs="Times New Roman"/>
          <w:i/>
        </w:rPr>
      </w:pPr>
      <w:r>
        <w:rPr>
          <w:rFonts w:ascii="Times New Roman" w:hAnsi="Times New Roman" w:cs="Times New Roman"/>
          <w:i/>
        </w:rPr>
        <w:t>4</w:t>
      </w:r>
      <w:r w:rsidR="0043727C">
        <w:rPr>
          <w:rFonts w:ascii="Times New Roman" w:hAnsi="Times New Roman" w:cs="Times New Roman"/>
          <w:i/>
        </w:rPr>
        <w:t>.</w:t>
      </w:r>
      <w:r w:rsidR="0043727C">
        <w:rPr>
          <w:rFonts w:ascii="Times New Roman" w:hAnsi="Times New Roman" w:cs="Times New Roman"/>
          <w:i/>
        </w:rPr>
        <w:tab/>
        <w:t>Primary Nature of Debt and Small Business Status</w:t>
      </w:r>
    </w:p>
    <w:p w14:paraId="000EE89B" w14:textId="12F5F850" w:rsidR="00C32241" w:rsidRPr="00EA3EBA" w:rsidRDefault="00083B34" w:rsidP="0043727C">
      <w:pPr>
        <w:spacing w:line="480" w:lineRule="auto"/>
        <w:ind w:firstLine="720"/>
        <w:rPr>
          <w:rFonts w:ascii="Times New Roman" w:hAnsi="Times New Roman" w:cs="Times New Roman"/>
        </w:rPr>
      </w:pPr>
      <w:r>
        <w:rPr>
          <w:rFonts w:ascii="Times New Roman" w:hAnsi="Times New Roman" w:cs="Times New Roman"/>
        </w:rPr>
        <w:t>The voluntary petition</w:t>
      </w:r>
      <w:r w:rsidR="00315FCA">
        <w:rPr>
          <w:rFonts w:ascii="Times New Roman" w:hAnsi="Times New Roman" w:cs="Times New Roman"/>
        </w:rPr>
        <w:t xml:space="preserve"> </w:t>
      </w:r>
      <w:r w:rsidR="000301B6" w:rsidRPr="00EA3EBA">
        <w:rPr>
          <w:rFonts w:ascii="Times New Roman" w:hAnsi="Times New Roman" w:cs="Times New Roman"/>
        </w:rPr>
        <w:t>ask</w:t>
      </w:r>
      <w:r>
        <w:rPr>
          <w:rFonts w:ascii="Times New Roman" w:hAnsi="Times New Roman" w:cs="Times New Roman"/>
        </w:rPr>
        <w:t>s</w:t>
      </w:r>
      <w:r w:rsidR="000301B6" w:rsidRPr="00EA3EBA">
        <w:rPr>
          <w:rFonts w:ascii="Times New Roman" w:hAnsi="Times New Roman" w:cs="Times New Roman"/>
        </w:rPr>
        <w:t xml:space="preserve"> </w:t>
      </w:r>
      <w:r w:rsidR="00DC012D">
        <w:rPr>
          <w:rFonts w:ascii="Times New Roman" w:hAnsi="Times New Roman" w:cs="Times New Roman"/>
        </w:rPr>
        <w:t>debtors</w:t>
      </w:r>
      <w:r w:rsidR="000301B6" w:rsidRPr="00EA3EBA">
        <w:rPr>
          <w:rFonts w:ascii="Times New Roman" w:hAnsi="Times New Roman" w:cs="Times New Roman"/>
        </w:rPr>
        <w:t xml:space="preserve"> to disclose whether </w:t>
      </w:r>
      <w:r w:rsidR="007B7086">
        <w:rPr>
          <w:rFonts w:ascii="Times New Roman" w:hAnsi="Times New Roman" w:cs="Times New Roman"/>
        </w:rPr>
        <w:t>their</w:t>
      </w:r>
      <w:r w:rsidR="000301B6" w:rsidRPr="00EA3EBA">
        <w:rPr>
          <w:rFonts w:ascii="Times New Roman" w:hAnsi="Times New Roman" w:cs="Times New Roman"/>
        </w:rPr>
        <w:t xml:space="preserve"> debts are “primarily business debts” or “primarily consumer debts,” and the A</w:t>
      </w:r>
      <w:r>
        <w:rPr>
          <w:rFonts w:ascii="Times New Roman" w:hAnsi="Times New Roman" w:cs="Times New Roman"/>
        </w:rPr>
        <w:t>O</w:t>
      </w:r>
      <w:r w:rsidR="000301B6" w:rsidRPr="00EA3EBA">
        <w:rPr>
          <w:rFonts w:ascii="Times New Roman" w:hAnsi="Times New Roman" w:cs="Times New Roman"/>
        </w:rPr>
        <w:t xml:space="preserve"> reports bankruptcy statistics by the debtor’s choice. According to the A</w:t>
      </w:r>
      <w:r>
        <w:rPr>
          <w:rFonts w:ascii="Times New Roman" w:hAnsi="Times New Roman" w:cs="Times New Roman"/>
        </w:rPr>
        <w:t>O</w:t>
      </w:r>
      <w:r w:rsidR="000301B6" w:rsidRPr="00EA3EBA">
        <w:rPr>
          <w:rFonts w:ascii="Times New Roman" w:hAnsi="Times New Roman" w:cs="Times New Roman"/>
        </w:rPr>
        <w:t>, about 86</w:t>
      </w:r>
      <w:r w:rsidR="00042036">
        <w:rPr>
          <w:rFonts w:ascii="Times New Roman" w:hAnsi="Times New Roman" w:cs="Times New Roman"/>
        </w:rPr>
        <w:t>%</w:t>
      </w:r>
      <w:r w:rsidR="000301B6" w:rsidRPr="00EA3EBA">
        <w:rPr>
          <w:rFonts w:ascii="Times New Roman" w:hAnsi="Times New Roman" w:cs="Times New Roman"/>
        </w:rPr>
        <w:t xml:space="preserve"> of </w:t>
      </w:r>
      <w:r w:rsidR="008D2949" w:rsidRPr="00EA3EBA">
        <w:rPr>
          <w:rFonts w:ascii="Times New Roman" w:hAnsi="Times New Roman" w:cs="Times New Roman"/>
        </w:rPr>
        <w:t xml:space="preserve">all </w:t>
      </w:r>
      <w:r w:rsidR="00AA091B">
        <w:rPr>
          <w:rFonts w:ascii="Times New Roman" w:hAnsi="Times New Roman" w:cs="Times New Roman"/>
        </w:rPr>
        <w:t>chapter</w:t>
      </w:r>
      <w:r w:rsidR="000301B6" w:rsidRPr="00EA3EBA">
        <w:rPr>
          <w:rFonts w:ascii="Times New Roman" w:hAnsi="Times New Roman" w:cs="Times New Roman"/>
        </w:rPr>
        <w:t xml:space="preserve"> 11 </w:t>
      </w:r>
      <w:r w:rsidR="0044766C">
        <w:rPr>
          <w:rFonts w:ascii="Times New Roman" w:hAnsi="Times New Roman" w:cs="Times New Roman"/>
        </w:rPr>
        <w:t>cases</w:t>
      </w:r>
      <w:r w:rsidR="000301B6" w:rsidRPr="00EA3EBA">
        <w:rPr>
          <w:rFonts w:ascii="Times New Roman" w:hAnsi="Times New Roman" w:cs="Times New Roman"/>
        </w:rPr>
        <w:t xml:space="preserve"> </w:t>
      </w:r>
      <w:r w:rsidR="0044766C">
        <w:rPr>
          <w:rFonts w:ascii="Times New Roman" w:hAnsi="Times New Roman" w:cs="Times New Roman"/>
        </w:rPr>
        <w:t>filed</w:t>
      </w:r>
      <w:r w:rsidR="000301B6" w:rsidRPr="00EA3EBA">
        <w:rPr>
          <w:rFonts w:ascii="Times New Roman" w:hAnsi="Times New Roman" w:cs="Times New Roman"/>
        </w:rPr>
        <w:t xml:space="preserve"> in 2010 (11,774 of 13,713) were business filings</w:t>
      </w:r>
      <w:r w:rsidR="00534A67">
        <w:rPr>
          <w:rFonts w:ascii="Times New Roman" w:hAnsi="Times New Roman" w:cs="Times New Roman"/>
        </w:rPr>
        <w:t>,</w:t>
      </w:r>
      <w:r w:rsidR="000301B6" w:rsidRPr="00EA3EBA">
        <w:rPr>
          <w:rFonts w:ascii="Times New Roman" w:hAnsi="Times New Roman" w:cs="Times New Roman"/>
        </w:rPr>
        <w:t xml:space="preserve"> while less than </w:t>
      </w:r>
      <w:r w:rsidR="00DB15DD">
        <w:rPr>
          <w:rFonts w:ascii="Times New Roman" w:hAnsi="Times New Roman" w:cs="Times New Roman"/>
        </w:rPr>
        <w:t>1%</w:t>
      </w:r>
      <w:r w:rsidR="004F2CFC">
        <w:rPr>
          <w:rFonts w:ascii="Times New Roman" w:hAnsi="Times New Roman" w:cs="Times New Roman"/>
        </w:rPr>
        <w:t xml:space="preserve"> </w:t>
      </w:r>
      <w:r w:rsidR="000301B6" w:rsidRPr="00EA3EBA">
        <w:rPr>
          <w:rFonts w:ascii="Times New Roman" w:hAnsi="Times New Roman" w:cs="Times New Roman"/>
        </w:rPr>
        <w:t xml:space="preserve">of </w:t>
      </w:r>
      <w:r w:rsidR="00AA091B">
        <w:rPr>
          <w:rFonts w:ascii="Times New Roman" w:hAnsi="Times New Roman" w:cs="Times New Roman"/>
        </w:rPr>
        <w:t>chapter</w:t>
      </w:r>
      <w:r w:rsidR="000301B6" w:rsidRPr="00EA3EBA">
        <w:rPr>
          <w:rFonts w:ascii="Times New Roman" w:hAnsi="Times New Roman" w:cs="Times New Roman"/>
        </w:rPr>
        <w:t xml:space="preserve"> 13 filings (4,174 of 438,913) were business filings.</w:t>
      </w:r>
      <w:r w:rsidR="000301B6" w:rsidRPr="00EA3EBA">
        <w:rPr>
          <w:rStyle w:val="FootnoteReference"/>
          <w:rFonts w:ascii="Times New Roman" w:hAnsi="Times New Roman" w:cs="Times New Roman"/>
        </w:rPr>
        <w:footnoteReference w:id="60"/>
      </w:r>
      <w:r w:rsidR="000301B6" w:rsidRPr="00EA3EBA">
        <w:rPr>
          <w:rFonts w:ascii="Times New Roman" w:hAnsi="Times New Roman" w:cs="Times New Roman"/>
        </w:rPr>
        <w:t xml:space="preserve"> These commonly</w:t>
      </w:r>
      <w:r w:rsidR="00534A67">
        <w:rPr>
          <w:rFonts w:ascii="Times New Roman" w:hAnsi="Times New Roman" w:cs="Times New Roman"/>
        </w:rPr>
        <w:t>-</w:t>
      </w:r>
      <w:r w:rsidR="000301B6" w:rsidRPr="00EA3EBA">
        <w:rPr>
          <w:rFonts w:ascii="Times New Roman" w:hAnsi="Times New Roman" w:cs="Times New Roman"/>
        </w:rPr>
        <w:t xml:space="preserve">reported statistics </w:t>
      </w:r>
      <w:r w:rsidR="00DF7E24">
        <w:rPr>
          <w:rFonts w:ascii="Times New Roman" w:hAnsi="Times New Roman" w:cs="Times New Roman"/>
        </w:rPr>
        <w:t>lead</w:t>
      </w:r>
      <w:r w:rsidR="00DF7E24" w:rsidRPr="00EA3EBA">
        <w:rPr>
          <w:rFonts w:ascii="Times New Roman" w:hAnsi="Times New Roman" w:cs="Times New Roman"/>
        </w:rPr>
        <w:t xml:space="preserve"> </w:t>
      </w:r>
      <w:r w:rsidR="00EA3EBA">
        <w:rPr>
          <w:rFonts w:ascii="Times New Roman" w:hAnsi="Times New Roman" w:cs="Times New Roman"/>
        </w:rPr>
        <w:t>most people</w:t>
      </w:r>
      <w:r w:rsidR="000301B6" w:rsidRPr="00EA3EBA">
        <w:rPr>
          <w:rFonts w:ascii="Times New Roman" w:hAnsi="Times New Roman" w:cs="Times New Roman"/>
        </w:rPr>
        <w:t xml:space="preserve"> to think of </w:t>
      </w:r>
      <w:r w:rsidR="00AA091B">
        <w:rPr>
          <w:rFonts w:ascii="Times New Roman" w:hAnsi="Times New Roman" w:cs="Times New Roman"/>
        </w:rPr>
        <w:t>chapter</w:t>
      </w:r>
      <w:r w:rsidR="000301B6" w:rsidRPr="00EA3EBA">
        <w:rPr>
          <w:rFonts w:ascii="Times New Roman" w:hAnsi="Times New Roman" w:cs="Times New Roman"/>
        </w:rPr>
        <w:t xml:space="preserve"> 11 as business bankruptcy and </w:t>
      </w:r>
      <w:r w:rsidR="00AA091B">
        <w:rPr>
          <w:rFonts w:ascii="Times New Roman" w:hAnsi="Times New Roman" w:cs="Times New Roman"/>
        </w:rPr>
        <w:t>chapter</w:t>
      </w:r>
      <w:r w:rsidR="000301B6" w:rsidRPr="00EA3EBA">
        <w:rPr>
          <w:rFonts w:ascii="Times New Roman" w:hAnsi="Times New Roman" w:cs="Times New Roman"/>
        </w:rPr>
        <w:t xml:space="preserve"> 13 as consumer or non-business bankruptcy.</w:t>
      </w:r>
      <w:r w:rsidR="008B47DC">
        <w:rPr>
          <w:rStyle w:val="FootnoteReference"/>
          <w:rFonts w:ascii="Times New Roman" w:hAnsi="Times New Roman" w:cs="Times New Roman"/>
        </w:rPr>
        <w:footnoteReference w:id="61"/>
      </w:r>
      <w:r w:rsidR="000301B6" w:rsidRPr="00EA3EBA">
        <w:rPr>
          <w:rFonts w:ascii="Times New Roman" w:hAnsi="Times New Roman" w:cs="Times New Roman"/>
        </w:rPr>
        <w:t xml:space="preserve"> The </w:t>
      </w:r>
      <w:r w:rsidR="0043727C">
        <w:rPr>
          <w:rFonts w:ascii="Times New Roman" w:hAnsi="Times New Roman" w:cs="Times New Roman"/>
        </w:rPr>
        <w:t>A</w:t>
      </w:r>
      <w:r>
        <w:rPr>
          <w:rFonts w:ascii="Times New Roman" w:hAnsi="Times New Roman" w:cs="Times New Roman"/>
        </w:rPr>
        <w:t>O</w:t>
      </w:r>
      <w:r w:rsidR="0043727C">
        <w:rPr>
          <w:rFonts w:ascii="Times New Roman" w:hAnsi="Times New Roman" w:cs="Times New Roman"/>
        </w:rPr>
        <w:t xml:space="preserve">’s </w:t>
      </w:r>
      <w:r w:rsidR="000301B6" w:rsidRPr="00EA3EBA">
        <w:rPr>
          <w:rFonts w:ascii="Times New Roman" w:hAnsi="Times New Roman" w:cs="Times New Roman"/>
        </w:rPr>
        <w:t>statistics</w:t>
      </w:r>
      <w:r w:rsidR="00EA3EBA">
        <w:rPr>
          <w:rFonts w:ascii="Times New Roman" w:hAnsi="Times New Roman" w:cs="Times New Roman"/>
        </w:rPr>
        <w:t xml:space="preserve"> </w:t>
      </w:r>
      <w:r w:rsidR="000301B6" w:rsidRPr="00EA3EBA">
        <w:rPr>
          <w:rFonts w:ascii="Times New Roman" w:hAnsi="Times New Roman" w:cs="Times New Roman"/>
        </w:rPr>
        <w:t xml:space="preserve">are for all </w:t>
      </w:r>
      <w:r w:rsidR="00AA091B">
        <w:rPr>
          <w:rFonts w:ascii="Times New Roman" w:hAnsi="Times New Roman" w:cs="Times New Roman"/>
        </w:rPr>
        <w:t>chapter</w:t>
      </w:r>
      <w:r w:rsidR="000301B6" w:rsidRPr="00EA3EBA">
        <w:rPr>
          <w:rFonts w:ascii="Times New Roman" w:hAnsi="Times New Roman" w:cs="Times New Roman"/>
        </w:rPr>
        <w:t xml:space="preserve"> 11 filings, however, not </w:t>
      </w:r>
      <w:r w:rsidR="00F83091">
        <w:rPr>
          <w:rFonts w:ascii="Times New Roman" w:hAnsi="Times New Roman" w:cs="Times New Roman"/>
        </w:rPr>
        <w:t xml:space="preserve">just </w:t>
      </w:r>
      <w:r w:rsidR="000301B6" w:rsidRPr="00EA3EBA">
        <w:rPr>
          <w:rFonts w:ascii="Times New Roman" w:hAnsi="Times New Roman" w:cs="Times New Roman"/>
        </w:rPr>
        <w:t xml:space="preserve">those made by individuals.  </w:t>
      </w:r>
    </w:p>
    <w:p w14:paraId="2CC685F5" w14:textId="0143D91A" w:rsidR="008D2949" w:rsidRPr="00EA3EBA" w:rsidRDefault="00F83091" w:rsidP="00BE1E07">
      <w:pPr>
        <w:spacing w:line="480" w:lineRule="auto"/>
        <w:ind w:firstLine="720"/>
        <w:rPr>
          <w:rFonts w:ascii="Times New Roman" w:hAnsi="Times New Roman" w:cs="Times New Roman"/>
        </w:rPr>
      </w:pPr>
      <w:r>
        <w:rPr>
          <w:rFonts w:ascii="Times New Roman" w:hAnsi="Times New Roman" w:cs="Times New Roman"/>
        </w:rPr>
        <w:t>R</w:t>
      </w:r>
      <w:r w:rsidR="000301B6" w:rsidRPr="00EA3EBA">
        <w:rPr>
          <w:rFonts w:ascii="Times New Roman" w:hAnsi="Times New Roman" w:cs="Times New Roman"/>
        </w:rPr>
        <w:t xml:space="preserve">oughly </w:t>
      </w:r>
      <w:r>
        <w:rPr>
          <w:rFonts w:ascii="Times New Roman" w:hAnsi="Times New Roman" w:cs="Times New Roman"/>
        </w:rPr>
        <w:t>45</w:t>
      </w:r>
      <w:r w:rsidR="00042036">
        <w:rPr>
          <w:rFonts w:ascii="Times New Roman" w:hAnsi="Times New Roman" w:cs="Times New Roman"/>
        </w:rPr>
        <w:t>%</w:t>
      </w:r>
      <w:r w:rsidR="006547A1">
        <w:rPr>
          <w:rFonts w:ascii="Times New Roman" w:hAnsi="Times New Roman" w:cs="Times New Roman"/>
        </w:rPr>
        <w:t xml:space="preserve"> </w:t>
      </w:r>
      <w:r w:rsidR="000301B6" w:rsidRPr="00EA3EBA">
        <w:rPr>
          <w:rFonts w:ascii="Times New Roman" w:hAnsi="Times New Roman" w:cs="Times New Roman"/>
        </w:rPr>
        <w:t xml:space="preserve">of </w:t>
      </w:r>
      <w:r>
        <w:rPr>
          <w:rFonts w:ascii="Times New Roman" w:hAnsi="Times New Roman" w:cs="Times New Roman"/>
        </w:rPr>
        <w:t xml:space="preserve">the </w:t>
      </w:r>
      <w:r w:rsidR="000301B6" w:rsidRPr="00EA3EBA">
        <w:rPr>
          <w:rFonts w:ascii="Times New Roman" w:hAnsi="Times New Roman" w:cs="Times New Roman"/>
        </w:rPr>
        <w:t xml:space="preserve">individuals in our </w:t>
      </w:r>
      <w:r>
        <w:rPr>
          <w:rFonts w:ascii="Times New Roman" w:hAnsi="Times New Roman" w:cs="Times New Roman"/>
        </w:rPr>
        <w:t>PACER data</w:t>
      </w:r>
      <w:r w:rsidR="000301B6" w:rsidRPr="00EA3EBA">
        <w:rPr>
          <w:rFonts w:ascii="Times New Roman" w:hAnsi="Times New Roman" w:cs="Times New Roman"/>
        </w:rPr>
        <w:t xml:space="preserve"> sample report</w:t>
      </w:r>
      <w:r w:rsidR="00534A67">
        <w:rPr>
          <w:rFonts w:ascii="Times New Roman" w:hAnsi="Times New Roman" w:cs="Times New Roman"/>
        </w:rPr>
        <w:t>ed that their debts we</w:t>
      </w:r>
      <w:r w:rsidR="000301B6" w:rsidRPr="00EA3EBA">
        <w:rPr>
          <w:rFonts w:ascii="Times New Roman" w:hAnsi="Times New Roman" w:cs="Times New Roman"/>
        </w:rPr>
        <w:t>re primarily business-related</w:t>
      </w:r>
      <w:r>
        <w:rPr>
          <w:rFonts w:ascii="Times New Roman" w:hAnsi="Times New Roman" w:cs="Times New Roman"/>
        </w:rPr>
        <w:t xml:space="preserve">. </w:t>
      </w:r>
      <w:r>
        <w:rPr>
          <w:rFonts w:ascii="Times New Roman" w:hAnsi="Times New Roman" w:cs="Times New Roman"/>
          <w:i/>
        </w:rPr>
        <w:t>See</w:t>
      </w:r>
      <w:r w:rsidR="000301B6" w:rsidRPr="00EA3EBA">
        <w:rPr>
          <w:rFonts w:ascii="Times New Roman" w:hAnsi="Times New Roman" w:cs="Times New Roman"/>
        </w:rPr>
        <w:t xml:space="preserve"> Table </w:t>
      </w:r>
      <w:r w:rsidR="00E35ABB">
        <w:rPr>
          <w:rFonts w:ascii="Times New Roman" w:hAnsi="Times New Roman" w:cs="Times New Roman"/>
        </w:rPr>
        <w:t>5</w:t>
      </w:r>
      <w:r w:rsidR="000301B6" w:rsidRPr="00EA3EBA">
        <w:rPr>
          <w:rFonts w:ascii="Times New Roman" w:hAnsi="Times New Roman" w:cs="Times New Roman"/>
        </w:rPr>
        <w:t xml:space="preserve">. While this </w:t>
      </w:r>
      <w:r w:rsidR="00217B80">
        <w:rPr>
          <w:rFonts w:ascii="Times New Roman" w:hAnsi="Times New Roman" w:cs="Times New Roman"/>
        </w:rPr>
        <w:t>45% figure is</w:t>
      </w:r>
      <w:r w:rsidR="000301B6" w:rsidRPr="00EA3EBA">
        <w:rPr>
          <w:rFonts w:ascii="Times New Roman" w:hAnsi="Times New Roman" w:cs="Times New Roman"/>
        </w:rPr>
        <w:t xml:space="preserve"> less than the overall proportion of business filings in </w:t>
      </w:r>
      <w:r w:rsidR="00AA091B">
        <w:rPr>
          <w:rFonts w:ascii="Times New Roman" w:hAnsi="Times New Roman" w:cs="Times New Roman"/>
        </w:rPr>
        <w:t>chapter</w:t>
      </w:r>
      <w:r w:rsidR="000301B6" w:rsidRPr="00EA3EBA">
        <w:rPr>
          <w:rFonts w:ascii="Times New Roman" w:hAnsi="Times New Roman" w:cs="Times New Roman"/>
        </w:rPr>
        <w:t xml:space="preserve"> 11, it is still dramatically higher than the </w:t>
      </w:r>
      <w:r w:rsidR="00D3165F">
        <w:rPr>
          <w:rFonts w:ascii="Times New Roman" w:hAnsi="Times New Roman" w:cs="Times New Roman"/>
        </w:rPr>
        <w:t xml:space="preserve">percentage </w:t>
      </w:r>
      <w:r w:rsidR="000301B6" w:rsidRPr="00EA3EBA">
        <w:rPr>
          <w:rFonts w:ascii="Times New Roman" w:hAnsi="Times New Roman" w:cs="Times New Roman"/>
        </w:rPr>
        <w:t xml:space="preserve">of </w:t>
      </w:r>
      <w:r w:rsidR="00AA091B">
        <w:rPr>
          <w:rFonts w:ascii="Times New Roman" w:hAnsi="Times New Roman" w:cs="Times New Roman"/>
        </w:rPr>
        <w:t>chapter</w:t>
      </w:r>
      <w:r w:rsidR="000301B6" w:rsidRPr="00EA3EBA">
        <w:rPr>
          <w:rFonts w:ascii="Times New Roman" w:hAnsi="Times New Roman" w:cs="Times New Roman"/>
        </w:rPr>
        <w:t xml:space="preserve"> 13 filers who claim that their debts are primarily business-related; </w:t>
      </w:r>
      <w:r w:rsidR="00217B80">
        <w:rPr>
          <w:rFonts w:ascii="Times New Roman" w:hAnsi="Times New Roman" w:cs="Times New Roman"/>
        </w:rPr>
        <w:t xml:space="preserve">the AO reports this figure as less than 1% and our findings are similar, as the data in Table </w:t>
      </w:r>
      <w:r w:rsidR="00534A67">
        <w:rPr>
          <w:rFonts w:ascii="Times New Roman" w:hAnsi="Times New Roman" w:cs="Times New Roman"/>
        </w:rPr>
        <w:t>5</w:t>
      </w:r>
      <w:r w:rsidR="00217B80">
        <w:rPr>
          <w:rFonts w:ascii="Times New Roman" w:hAnsi="Times New Roman" w:cs="Times New Roman"/>
        </w:rPr>
        <w:t xml:space="preserve"> show. </w:t>
      </w:r>
      <w:r w:rsidR="008D2949" w:rsidRPr="00EA3EBA">
        <w:rPr>
          <w:rFonts w:ascii="Times New Roman" w:hAnsi="Times New Roman" w:cs="Times New Roman"/>
        </w:rPr>
        <w:t>It</w:t>
      </w:r>
      <w:r w:rsidR="009F4F24">
        <w:rPr>
          <w:rFonts w:ascii="Times New Roman" w:hAnsi="Times New Roman" w:cs="Times New Roman"/>
        </w:rPr>
        <w:t xml:space="preserve"> i</w:t>
      </w:r>
      <w:r w:rsidR="008D2949" w:rsidRPr="00EA3EBA">
        <w:rPr>
          <w:rFonts w:ascii="Times New Roman" w:hAnsi="Times New Roman" w:cs="Times New Roman"/>
        </w:rPr>
        <w:t>s worth noting that the proportion</w:t>
      </w:r>
      <w:r w:rsidR="00083B34">
        <w:rPr>
          <w:rFonts w:ascii="Times New Roman" w:hAnsi="Times New Roman" w:cs="Times New Roman"/>
        </w:rPr>
        <w:t xml:space="preserve"> of debtors</w:t>
      </w:r>
      <w:r w:rsidR="008D2949" w:rsidRPr="00EA3EBA">
        <w:rPr>
          <w:rFonts w:ascii="Times New Roman" w:hAnsi="Times New Roman" w:cs="Times New Roman"/>
        </w:rPr>
        <w:t xml:space="preserve"> claiming that their debts are primarily business</w:t>
      </w:r>
      <w:r w:rsidR="00083B34">
        <w:rPr>
          <w:rFonts w:ascii="Times New Roman" w:hAnsi="Times New Roman" w:cs="Times New Roman"/>
        </w:rPr>
        <w:t>-</w:t>
      </w:r>
      <w:r w:rsidR="008D2949" w:rsidRPr="00EA3EBA">
        <w:rPr>
          <w:rFonts w:ascii="Times New Roman" w:hAnsi="Times New Roman" w:cs="Times New Roman"/>
        </w:rPr>
        <w:t>related is remarkably stable between 2010 and 2013</w:t>
      </w:r>
      <w:r w:rsidR="00083B34">
        <w:rPr>
          <w:rFonts w:ascii="Times New Roman" w:hAnsi="Times New Roman" w:cs="Times New Roman"/>
        </w:rPr>
        <w:t>,</w:t>
      </w:r>
      <w:r w:rsidR="008D2949" w:rsidRPr="00EA3EBA">
        <w:rPr>
          <w:rFonts w:ascii="Times New Roman" w:hAnsi="Times New Roman" w:cs="Times New Roman"/>
        </w:rPr>
        <w:t xml:space="preserve"> despite the fairly dramatic drop in the total number of </w:t>
      </w:r>
      <w:r w:rsidR="009F4F24">
        <w:rPr>
          <w:rFonts w:ascii="Times New Roman" w:hAnsi="Times New Roman" w:cs="Times New Roman"/>
        </w:rPr>
        <w:t>i</w:t>
      </w:r>
      <w:r w:rsidR="008D2949" w:rsidRPr="00EA3EBA">
        <w:rPr>
          <w:rFonts w:ascii="Times New Roman" w:hAnsi="Times New Roman" w:cs="Times New Roman"/>
        </w:rPr>
        <w:t xml:space="preserve">ndividual </w:t>
      </w:r>
      <w:r w:rsidR="002F573D">
        <w:rPr>
          <w:rFonts w:ascii="Times New Roman" w:hAnsi="Times New Roman" w:cs="Times New Roman"/>
        </w:rPr>
        <w:t>c</w:t>
      </w:r>
      <w:r w:rsidR="008D2949" w:rsidRPr="00EA3EBA">
        <w:rPr>
          <w:rFonts w:ascii="Times New Roman" w:hAnsi="Times New Roman" w:cs="Times New Roman"/>
        </w:rPr>
        <w:t xml:space="preserve">hapter </w:t>
      </w:r>
      <w:r w:rsidR="002B1DBA">
        <w:rPr>
          <w:rFonts w:ascii="Times New Roman" w:hAnsi="Times New Roman" w:cs="Times New Roman"/>
        </w:rPr>
        <w:t xml:space="preserve">11 cases </w:t>
      </w:r>
      <w:r w:rsidR="00083B34">
        <w:rPr>
          <w:rFonts w:ascii="Times New Roman" w:hAnsi="Times New Roman" w:cs="Times New Roman"/>
        </w:rPr>
        <w:t xml:space="preserve">filed </w:t>
      </w:r>
      <w:r w:rsidR="009F4F24">
        <w:rPr>
          <w:rFonts w:ascii="Times New Roman" w:hAnsi="Times New Roman" w:cs="Times New Roman"/>
        </w:rPr>
        <w:t>during that period</w:t>
      </w:r>
      <w:r w:rsidR="008D2949" w:rsidRPr="00EA3EBA">
        <w:rPr>
          <w:rFonts w:ascii="Times New Roman" w:hAnsi="Times New Roman" w:cs="Times New Roman"/>
        </w:rPr>
        <w:t>.</w:t>
      </w:r>
      <w:r w:rsidR="008805A5" w:rsidRPr="00EA3EBA">
        <w:rPr>
          <w:rStyle w:val="FootnoteReference"/>
          <w:rFonts w:ascii="Times New Roman" w:hAnsi="Times New Roman" w:cs="Times New Roman"/>
        </w:rPr>
        <w:footnoteReference w:id="62"/>
      </w:r>
    </w:p>
    <w:p w14:paraId="570DCB70" w14:textId="7E213DE6" w:rsidR="008D2949" w:rsidRPr="000951EC" w:rsidRDefault="008D2949" w:rsidP="0062217A">
      <w:pPr>
        <w:keepNext/>
        <w:keepLines/>
        <w:spacing w:line="480" w:lineRule="auto"/>
        <w:jc w:val="center"/>
        <w:rPr>
          <w:rFonts w:ascii="Times New Roman" w:hAnsi="Times New Roman" w:cs="Times New Roman"/>
          <w:b/>
        </w:rPr>
      </w:pPr>
      <w:r w:rsidRPr="000951EC">
        <w:rPr>
          <w:rFonts w:ascii="Times New Roman" w:hAnsi="Times New Roman" w:cs="Times New Roman"/>
          <w:b/>
        </w:rPr>
        <w:t xml:space="preserve">Table </w:t>
      </w:r>
      <w:r w:rsidR="00315FCA">
        <w:rPr>
          <w:rFonts w:ascii="Times New Roman" w:hAnsi="Times New Roman" w:cs="Times New Roman"/>
          <w:b/>
        </w:rPr>
        <w:t>5</w:t>
      </w:r>
      <w:r w:rsidRPr="000951EC">
        <w:rPr>
          <w:rFonts w:ascii="Times New Roman" w:hAnsi="Times New Roman" w:cs="Times New Roman"/>
          <w:b/>
        </w:rPr>
        <w:t>: Primary Nature of Debt</w:t>
      </w:r>
    </w:p>
    <w:tbl>
      <w:tblPr>
        <w:tblStyle w:val="TableGrid"/>
        <w:tblW w:w="0" w:type="auto"/>
        <w:tblLayout w:type="fixed"/>
        <w:tblLook w:val="04A0" w:firstRow="1" w:lastRow="0" w:firstColumn="1" w:lastColumn="0" w:noHBand="0" w:noVBand="1"/>
      </w:tblPr>
      <w:tblGrid>
        <w:gridCol w:w="2898"/>
        <w:gridCol w:w="1620"/>
        <w:gridCol w:w="1620"/>
        <w:gridCol w:w="1530"/>
        <w:gridCol w:w="1188"/>
      </w:tblGrid>
      <w:tr w:rsidR="009F3AB0" w:rsidRPr="00F83091" w14:paraId="71AC0CB6" w14:textId="77777777" w:rsidTr="002F13CF">
        <w:tc>
          <w:tcPr>
            <w:tcW w:w="2898" w:type="dxa"/>
            <w:vMerge w:val="restart"/>
            <w:tcBorders>
              <w:top w:val="single" w:sz="12" w:space="0" w:color="auto"/>
              <w:left w:val="single" w:sz="12" w:space="0" w:color="auto"/>
              <w:right w:val="single" w:sz="18" w:space="0" w:color="auto"/>
            </w:tcBorders>
          </w:tcPr>
          <w:p w14:paraId="474273CF" w14:textId="77777777" w:rsidR="009F3AB0" w:rsidRPr="00EA3EBA" w:rsidRDefault="009F3AB0" w:rsidP="0062217A">
            <w:pPr>
              <w:keepNext/>
              <w:keepLines/>
              <w:rPr>
                <w:rFonts w:ascii="Times New Roman" w:hAnsi="Times New Roman" w:cs="Times New Roman"/>
                <w:sz w:val="20"/>
                <w:szCs w:val="20"/>
              </w:rPr>
            </w:pPr>
          </w:p>
        </w:tc>
        <w:tc>
          <w:tcPr>
            <w:tcW w:w="3240" w:type="dxa"/>
            <w:gridSpan w:val="2"/>
            <w:tcBorders>
              <w:top w:val="single" w:sz="12" w:space="0" w:color="auto"/>
              <w:left w:val="single" w:sz="18" w:space="0" w:color="auto"/>
              <w:bottom w:val="single" w:sz="12" w:space="0" w:color="auto"/>
              <w:right w:val="single" w:sz="18" w:space="0" w:color="auto"/>
            </w:tcBorders>
          </w:tcPr>
          <w:p w14:paraId="5B61AA28" w14:textId="77777777" w:rsidR="009F3AB0" w:rsidRPr="006547A1" w:rsidRDefault="009F3AB0" w:rsidP="0062217A">
            <w:pPr>
              <w:keepNext/>
              <w:keepLines/>
              <w:jc w:val="center"/>
              <w:rPr>
                <w:rFonts w:ascii="Times New Roman" w:hAnsi="Times New Roman" w:cs="Times New Roman"/>
                <w:b/>
              </w:rPr>
            </w:pPr>
            <w:r w:rsidRPr="006547A1">
              <w:rPr>
                <w:rFonts w:ascii="Times New Roman" w:hAnsi="Times New Roman" w:cs="Times New Roman"/>
                <w:b/>
              </w:rPr>
              <w:t>Individual Chapter 11</w:t>
            </w:r>
          </w:p>
        </w:tc>
        <w:tc>
          <w:tcPr>
            <w:tcW w:w="2718" w:type="dxa"/>
            <w:gridSpan w:val="2"/>
            <w:tcBorders>
              <w:top w:val="single" w:sz="12" w:space="0" w:color="auto"/>
              <w:left w:val="single" w:sz="18" w:space="0" w:color="auto"/>
              <w:bottom w:val="single" w:sz="12" w:space="0" w:color="auto"/>
              <w:right w:val="single" w:sz="12" w:space="0" w:color="auto"/>
            </w:tcBorders>
          </w:tcPr>
          <w:p w14:paraId="4CC9B831" w14:textId="77777777" w:rsidR="009F3AB0" w:rsidRPr="006547A1" w:rsidRDefault="009F3AB0" w:rsidP="0062217A">
            <w:pPr>
              <w:keepNext/>
              <w:keepLines/>
              <w:jc w:val="center"/>
              <w:rPr>
                <w:rFonts w:ascii="Times New Roman" w:hAnsi="Times New Roman" w:cs="Times New Roman"/>
                <w:b/>
              </w:rPr>
            </w:pPr>
            <w:r w:rsidRPr="006547A1">
              <w:rPr>
                <w:rFonts w:ascii="Times New Roman" w:hAnsi="Times New Roman" w:cs="Times New Roman"/>
                <w:b/>
              </w:rPr>
              <w:t>Chapter 13</w:t>
            </w:r>
          </w:p>
        </w:tc>
      </w:tr>
      <w:tr w:rsidR="006547A1" w:rsidRPr="00673DF2" w14:paraId="7FE9272A" w14:textId="07E5C34C" w:rsidTr="002F13CF">
        <w:tc>
          <w:tcPr>
            <w:tcW w:w="2898" w:type="dxa"/>
            <w:vMerge/>
            <w:tcBorders>
              <w:left w:val="single" w:sz="12" w:space="0" w:color="auto"/>
              <w:right w:val="single" w:sz="18" w:space="0" w:color="auto"/>
            </w:tcBorders>
          </w:tcPr>
          <w:p w14:paraId="707084F2" w14:textId="77777777" w:rsidR="006547A1" w:rsidRPr="00EA3EBA" w:rsidRDefault="006547A1" w:rsidP="0062217A">
            <w:pPr>
              <w:keepNext/>
              <w:keepLines/>
              <w:rPr>
                <w:rFonts w:ascii="Times New Roman" w:hAnsi="Times New Roman" w:cs="Times New Roman"/>
                <w:b/>
                <w:sz w:val="20"/>
                <w:szCs w:val="20"/>
              </w:rPr>
            </w:pPr>
          </w:p>
        </w:tc>
        <w:tc>
          <w:tcPr>
            <w:tcW w:w="1620" w:type="dxa"/>
            <w:tcBorders>
              <w:top w:val="single" w:sz="12" w:space="0" w:color="auto"/>
              <w:left w:val="single" w:sz="18" w:space="0" w:color="auto"/>
              <w:right w:val="single" w:sz="12" w:space="0" w:color="auto"/>
            </w:tcBorders>
          </w:tcPr>
          <w:p w14:paraId="27A9283C" w14:textId="77777777" w:rsidR="006547A1" w:rsidRPr="006547A1" w:rsidRDefault="006547A1" w:rsidP="0062217A">
            <w:pPr>
              <w:keepNext/>
              <w:keepLines/>
              <w:jc w:val="center"/>
              <w:rPr>
                <w:rFonts w:ascii="Times New Roman" w:hAnsi="Times New Roman" w:cs="Times New Roman"/>
                <w:b/>
              </w:rPr>
            </w:pPr>
            <w:r w:rsidRPr="006547A1">
              <w:rPr>
                <w:rFonts w:ascii="Times New Roman" w:hAnsi="Times New Roman" w:cs="Times New Roman"/>
                <w:b/>
              </w:rPr>
              <w:t>2010</w:t>
            </w:r>
          </w:p>
        </w:tc>
        <w:tc>
          <w:tcPr>
            <w:tcW w:w="1620" w:type="dxa"/>
            <w:tcBorders>
              <w:top w:val="single" w:sz="12" w:space="0" w:color="auto"/>
              <w:left w:val="single" w:sz="12" w:space="0" w:color="auto"/>
              <w:right w:val="single" w:sz="18" w:space="0" w:color="auto"/>
            </w:tcBorders>
          </w:tcPr>
          <w:p w14:paraId="1F794411" w14:textId="77777777" w:rsidR="006547A1" w:rsidRPr="006547A1" w:rsidRDefault="006547A1" w:rsidP="0062217A">
            <w:pPr>
              <w:keepNext/>
              <w:keepLines/>
              <w:jc w:val="center"/>
              <w:rPr>
                <w:rFonts w:ascii="Times New Roman" w:hAnsi="Times New Roman" w:cs="Times New Roman"/>
                <w:b/>
              </w:rPr>
            </w:pPr>
            <w:r w:rsidRPr="006547A1">
              <w:rPr>
                <w:rFonts w:ascii="Times New Roman" w:hAnsi="Times New Roman" w:cs="Times New Roman"/>
                <w:b/>
              </w:rPr>
              <w:t>2013</w:t>
            </w:r>
          </w:p>
        </w:tc>
        <w:tc>
          <w:tcPr>
            <w:tcW w:w="1530" w:type="dxa"/>
            <w:tcBorders>
              <w:top w:val="single" w:sz="12" w:space="0" w:color="auto"/>
              <w:left w:val="single" w:sz="18" w:space="0" w:color="auto"/>
              <w:right w:val="single" w:sz="12" w:space="0" w:color="auto"/>
            </w:tcBorders>
          </w:tcPr>
          <w:p w14:paraId="0A34F17B" w14:textId="77777777" w:rsidR="006547A1" w:rsidRPr="006547A1" w:rsidRDefault="006547A1" w:rsidP="0062217A">
            <w:pPr>
              <w:keepNext/>
              <w:keepLines/>
              <w:jc w:val="center"/>
              <w:rPr>
                <w:rFonts w:ascii="Times New Roman" w:hAnsi="Times New Roman" w:cs="Times New Roman"/>
                <w:b/>
              </w:rPr>
            </w:pPr>
            <w:r w:rsidRPr="006547A1">
              <w:rPr>
                <w:rFonts w:ascii="Times New Roman" w:hAnsi="Times New Roman" w:cs="Times New Roman"/>
                <w:b/>
              </w:rPr>
              <w:t>2010</w:t>
            </w:r>
          </w:p>
        </w:tc>
        <w:tc>
          <w:tcPr>
            <w:tcW w:w="1188" w:type="dxa"/>
            <w:tcBorders>
              <w:top w:val="single" w:sz="12" w:space="0" w:color="auto"/>
              <w:left w:val="single" w:sz="12" w:space="0" w:color="auto"/>
              <w:right w:val="single" w:sz="12" w:space="0" w:color="auto"/>
            </w:tcBorders>
          </w:tcPr>
          <w:p w14:paraId="1481F2A9" w14:textId="5741D4BD" w:rsidR="006547A1" w:rsidRPr="006547A1" w:rsidRDefault="006547A1" w:rsidP="0062217A">
            <w:pPr>
              <w:keepNext/>
              <w:keepLines/>
              <w:jc w:val="center"/>
              <w:rPr>
                <w:rFonts w:ascii="Times New Roman" w:hAnsi="Times New Roman" w:cs="Times New Roman"/>
                <w:b/>
              </w:rPr>
            </w:pPr>
            <w:r w:rsidRPr="006547A1">
              <w:rPr>
                <w:rFonts w:ascii="Times New Roman" w:hAnsi="Times New Roman" w:cs="Times New Roman"/>
                <w:b/>
              </w:rPr>
              <w:t>2013</w:t>
            </w:r>
          </w:p>
        </w:tc>
      </w:tr>
      <w:tr w:rsidR="00FD1BFB" w:rsidRPr="00833FEF" w14:paraId="15A3A279" w14:textId="7965CD9E" w:rsidTr="002F13CF">
        <w:tc>
          <w:tcPr>
            <w:tcW w:w="2898" w:type="dxa"/>
            <w:tcBorders>
              <w:top w:val="single" w:sz="18" w:space="0" w:color="auto"/>
              <w:left w:val="single" w:sz="12" w:space="0" w:color="auto"/>
              <w:right w:val="single" w:sz="18" w:space="0" w:color="auto"/>
            </w:tcBorders>
          </w:tcPr>
          <w:p w14:paraId="2E905FFC" w14:textId="77777777" w:rsidR="00FD1BFB" w:rsidRPr="002F13CF" w:rsidRDefault="00FD1BFB" w:rsidP="00003007">
            <w:pPr>
              <w:keepNext/>
              <w:keepLines/>
              <w:rPr>
                <w:rFonts w:ascii="Times New Roman" w:hAnsi="Times New Roman" w:cs="Times New Roman"/>
                <w:b/>
              </w:rPr>
            </w:pPr>
            <w:r w:rsidRPr="002F13CF">
              <w:rPr>
                <w:rFonts w:ascii="Times New Roman" w:hAnsi="Times New Roman" w:cs="Times New Roman"/>
                <w:b/>
              </w:rPr>
              <w:t>Business</w:t>
            </w:r>
          </w:p>
        </w:tc>
        <w:tc>
          <w:tcPr>
            <w:tcW w:w="1620" w:type="dxa"/>
            <w:tcBorders>
              <w:top w:val="single" w:sz="18" w:space="0" w:color="auto"/>
              <w:left w:val="single" w:sz="18" w:space="0" w:color="auto"/>
              <w:right w:val="single" w:sz="12" w:space="0" w:color="auto"/>
            </w:tcBorders>
          </w:tcPr>
          <w:p w14:paraId="6FCFC00E" w14:textId="1F077AEF" w:rsidR="00FD1BFB" w:rsidRPr="002F13CF" w:rsidRDefault="00FD1BFB" w:rsidP="00FD1BFB">
            <w:pPr>
              <w:keepNext/>
              <w:keepLines/>
              <w:jc w:val="right"/>
              <w:rPr>
                <w:rFonts w:ascii="Times New Roman" w:hAnsi="Times New Roman" w:cs="Times New Roman"/>
              </w:rPr>
            </w:pPr>
            <w:r w:rsidRPr="002F13CF">
              <w:rPr>
                <w:rFonts w:ascii="Times New Roman" w:hAnsi="Times New Roman" w:cs="Times New Roman"/>
              </w:rPr>
              <w:t>45%</w:t>
            </w:r>
          </w:p>
        </w:tc>
        <w:tc>
          <w:tcPr>
            <w:tcW w:w="1620" w:type="dxa"/>
            <w:tcBorders>
              <w:top w:val="single" w:sz="18" w:space="0" w:color="auto"/>
              <w:left w:val="single" w:sz="12" w:space="0" w:color="auto"/>
              <w:right w:val="single" w:sz="18" w:space="0" w:color="auto"/>
            </w:tcBorders>
          </w:tcPr>
          <w:p w14:paraId="0900C8C0" w14:textId="617C666E" w:rsidR="00FD1BFB" w:rsidRPr="002F13CF" w:rsidRDefault="00FD1BFB" w:rsidP="0062217A">
            <w:pPr>
              <w:keepNext/>
              <w:keepLines/>
              <w:jc w:val="right"/>
              <w:rPr>
                <w:rFonts w:ascii="Times New Roman" w:hAnsi="Times New Roman" w:cs="Times New Roman"/>
              </w:rPr>
            </w:pPr>
            <w:r w:rsidRPr="002F13CF">
              <w:rPr>
                <w:rFonts w:ascii="Times New Roman" w:hAnsi="Times New Roman" w:cs="Times New Roman"/>
              </w:rPr>
              <w:t>46%</w:t>
            </w:r>
          </w:p>
        </w:tc>
        <w:tc>
          <w:tcPr>
            <w:tcW w:w="1530" w:type="dxa"/>
            <w:tcBorders>
              <w:top w:val="single" w:sz="18" w:space="0" w:color="auto"/>
              <w:left w:val="single" w:sz="18" w:space="0" w:color="auto"/>
              <w:right w:val="single" w:sz="12" w:space="0" w:color="auto"/>
            </w:tcBorders>
          </w:tcPr>
          <w:p w14:paraId="4863A7B2" w14:textId="53270631" w:rsidR="00FD1BFB" w:rsidRPr="002F13CF" w:rsidRDefault="00FD1BFB" w:rsidP="0062217A">
            <w:pPr>
              <w:keepNext/>
              <w:keepLines/>
              <w:jc w:val="right"/>
              <w:rPr>
                <w:rFonts w:ascii="Times New Roman" w:hAnsi="Times New Roman" w:cs="Times New Roman"/>
              </w:rPr>
            </w:pPr>
            <w:r w:rsidRPr="002F13CF">
              <w:rPr>
                <w:rFonts w:ascii="Times New Roman" w:hAnsi="Times New Roman" w:cs="Times New Roman"/>
              </w:rPr>
              <w:t>1%</w:t>
            </w:r>
          </w:p>
        </w:tc>
        <w:tc>
          <w:tcPr>
            <w:tcW w:w="1188" w:type="dxa"/>
            <w:tcBorders>
              <w:top w:val="single" w:sz="18" w:space="0" w:color="auto"/>
              <w:left w:val="single" w:sz="12" w:space="0" w:color="auto"/>
              <w:right w:val="single" w:sz="12" w:space="0" w:color="auto"/>
            </w:tcBorders>
          </w:tcPr>
          <w:p w14:paraId="518E2CD2" w14:textId="3C72DCAE" w:rsidR="00FD1BFB" w:rsidRPr="002F13CF" w:rsidRDefault="00FD1BFB" w:rsidP="0062217A">
            <w:pPr>
              <w:keepNext/>
              <w:keepLines/>
              <w:jc w:val="right"/>
              <w:rPr>
                <w:rFonts w:ascii="Times New Roman" w:hAnsi="Times New Roman" w:cs="Times New Roman"/>
              </w:rPr>
            </w:pPr>
            <w:r w:rsidRPr="002F13CF">
              <w:rPr>
                <w:rFonts w:ascii="Times New Roman" w:hAnsi="Times New Roman" w:cs="Times New Roman"/>
              </w:rPr>
              <w:t>1%</w:t>
            </w:r>
          </w:p>
        </w:tc>
      </w:tr>
      <w:tr w:rsidR="00FD1BFB" w:rsidRPr="00833FEF" w14:paraId="6BF49D3E" w14:textId="1F64298D" w:rsidTr="002F13CF">
        <w:tc>
          <w:tcPr>
            <w:tcW w:w="2898" w:type="dxa"/>
            <w:tcBorders>
              <w:left w:val="single" w:sz="12" w:space="0" w:color="auto"/>
              <w:bottom w:val="thinThickSmallGap" w:sz="24" w:space="0" w:color="auto"/>
              <w:right w:val="single" w:sz="18" w:space="0" w:color="auto"/>
            </w:tcBorders>
          </w:tcPr>
          <w:p w14:paraId="419CA70B" w14:textId="77777777" w:rsidR="00FD1BFB" w:rsidRPr="002F13CF" w:rsidRDefault="00FD1BFB" w:rsidP="00003007">
            <w:pPr>
              <w:keepNext/>
              <w:keepLines/>
              <w:rPr>
                <w:rFonts w:ascii="Times New Roman" w:hAnsi="Times New Roman" w:cs="Times New Roman"/>
                <w:b/>
              </w:rPr>
            </w:pPr>
            <w:r w:rsidRPr="002F13CF">
              <w:rPr>
                <w:rFonts w:ascii="Times New Roman" w:hAnsi="Times New Roman" w:cs="Times New Roman"/>
                <w:b/>
              </w:rPr>
              <w:t>Consumer/Non-business</w:t>
            </w:r>
          </w:p>
        </w:tc>
        <w:tc>
          <w:tcPr>
            <w:tcW w:w="1620" w:type="dxa"/>
            <w:tcBorders>
              <w:left w:val="single" w:sz="18" w:space="0" w:color="auto"/>
              <w:bottom w:val="thinThickSmallGap" w:sz="24" w:space="0" w:color="auto"/>
              <w:right w:val="single" w:sz="12" w:space="0" w:color="auto"/>
            </w:tcBorders>
          </w:tcPr>
          <w:p w14:paraId="7FAFDA52" w14:textId="29FA497D" w:rsidR="00FD1BFB" w:rsidRPr="002F13CF" w:rsidRDefault="00FD1BFB" w:rsidP="0062217A">
            <w:pPr>
              <w:keepNext/>
              <w:keepLines/>
              <w:jc w:val="right"/>
              <w:rPr>
                <w:rFonts w:ascii="Times New Roman" w:hAnsi="Times New Roman" w:cs="Times New Roman"/>
              </w:rPr>
            </w:pPr>
            <w:r w:rsidRPr="002F13CF">
              <w:rPr>
                <w:rFonts w:ascii="Times New Roman" w:hAnsi="Times New Roman" w:cs="Times New Roman"/>
              </w:rPr>
              <w:t>55%</w:t>
            </w:r>
          </w:p>
        </w:tc>
        <w:tc>
          <w:tcPr>
            <w:tcW w:w="1620" w:type="dxa"/>
            <w:tcBorders>
              <w:left w:val="single" w:sz="12" w:space="0" w:color="auto"/>
              <w:bottom w:val="thinThickSmallGap" w:sz="24" w:space="0" w:color="auto"/>
              <w:right w:val="single" w:sz="18" w:space="0" w:color="auto"/>
            </w:tcBorders>
          </w:tcPr>
          <w:p w14:paraId="3C046A1E" w14:textId="53DA28F5" w:rsidR="00FD1BFB" w:rsidRPr="002F13CF" w:rsidRDefault="00FD1BFB" w:rsidP="0062217A">
            <w:pPr>
              <w:keepNext/>
              <w:keepLines/>
              <w:jc w:val="right"/>
              <w:rPr>
                <w:rFonts w:ascii="Times New Roman" w:hAnsi="Times New Roman" w:cs="Times New Roman"/>
              </w:rPr>
            </w:pPr>
            <w:r w:rsidRPr="002F13CF">
              <w:rPr>
                <w:rFonts w:ascii="Times New Roman" w:hAnsi="Times New Roman" w:cs="Times New Roman"/>
              </w:rPr>
              <w:t>54%</w:t>
            </w:r>
          </w:p>
        </w:tc>
        <w:tc>
          <w:tcPr>
            <w:tcW w:w="1530" w:type="dxa"/>
            <w:tcBorders>
              <w:left w:val="single" w:sz="18" w:space="0" w:color="auto"/>
              <w:bottom w:val="thinThickSmallGap" w:sz="24" w:space="0" w:color="auto"/>
              <w:right w:val="single" w:sz="12" w:space="0" w:color="auto"/>
            </w:tcBorders>
          </w:tcPr>
          <w:p w14:paraId="2080ABA0" w14:textId="2B5CB232" w:rsidR="00FD1BFB" w:rsidRPr="002F13CF" w:rsidRDefault="00FD1BFB" w:rsidP="0062217A">
            <w:pPr>
              <w:keepNext/>
              <w:keepLines/>
              <w:jc w:val="right"/>
              <w:rPr>
                <w:rFonts w:ascii="Times New Roman" w:hAnsi="Times New Roman" w:cs="Times New Roman"/>
              </w:rPr>
            </w:pPr>
            <w:r w:rsidRPr="002F13CF">
              <w:rPr>
                <w:rFonts w:ascii="Times New Roman" w:hAnsi="Times New Roman" w:cs="Times New Roman"/>
              </w:rPr>
              <w:t>99%</w:t>
            </w:r>
          </w:p>
        </w:tc>
        <w:tc>
          <w:tcPr>
            <w:tcW w:w="1188" w:type="dxa"/>
            <w:tcBorders>
              <w:left w:val="single" w:sz="12" w:space="0" w:color="auto"/>
              <w:bottom w:val="thinThickSmallGap" w:sz="24" w:space="0" w:color="auto"/>
              <w:right w:val="single" w:sz="12" w:space="0" w:color="auto"/>
            </w:tcBorders>
          </w:tcPr>
          <w:p w14:paraId="609ABFEA" w14:textId="45165ACA" w:rsidR="00FD1BFB" w:rsidRPr="002F13CF" w:rsidRDefault="00FD1BFB" w:rsidP="0062217A">
            <w:pPr>
              <w:keepNext/>
              <w:keepLines/>
              <w:jc w:val="right"/>
              <w:rPr>
                <w:rFonts w:ascii="Times New Roman" w:hAnsi="Times New Roman" w:cs="Times New Roman"/>
              </w:rPr>
            </w:pPr>
            <w:r w:rsidRPr="002F13CF">
              <w:rPr>
                <w:rFonts w:ascii="Times New Roman" w:hAnsi="Times New Roman" w:cs="Times New Roman"/>
              </w:rPr>
              <w:t>99%</w:t>
            </w:r>
          </w:p>
        </w:tc>
      </w:tr>
      <w:tr w:rsidR="00FD1BFB" w:rsidRPr="00833FEF" w14:paraId="6C0DBF3A" w14:textId="10CB04F5" w:rsidTr="002F13CF">
        <w:tc>
          <w:tcPr>
            <w:tcW w:w="2898" w:type="dxa"/>
            <w:tcBorders>
              <w:top w:val="thinThickSmallGap" w:sz="24" w:space="0" w:color="auto"/>
              <w:left w:val="single" w:sz="12" w:space="0" w:color="auto"/>
              <w:right w:val="single" w:sz="18" w:space="0" w:color="auto"/>
            </w:tcBorders>
          </w:tcPr>
          <w:p w14:paraId="224148CA" w14:textId="1C21E4D2" w:rsidR="00FD1BFB" w:rsidRPr="002F13CF" w:rsidRDefault="00FD1BFB" w:rsidP="00003007">
            <w:pPr>
              <w:keepLines/>
              <w:rPr>
                <w:rFonts w:ascii="Times New Roman" w:hAnsi="Times New Roman" w:cs="Times New Roman"/>
                <w:b/>
              </w:rPr>
            </w:pPr>
            <w:r w:rsidRPr="002F13CF">
              <w:rPr>
                <w:rFonts w:ascii="Times New Roman" w:hAnsi="Times New Roman" w:cs="Times New Roman"/>
                <w:b/>
              </w:rPr>
              <w:t xml:space="preserve">Total Number </w:t>
            </w:r>
          </w:p>
        </w:tc>
        <w:tc>
          <w:tcPr>
            <w:tcW w:w="1620" w:type="dxa"/>
            <w:tcBorders>
              <w:top w:val="thinThickSmallGap" w:sz="24" w:space="0" w:color="auto"/>
              <w:left w:val="single" w:sz="18" w:space="0" w:color="auto"/>
              <w:right w:val="single" w:sz="12" w:space="0" w:color="auto"/>
            </w:tcBorders>
          </w:tcPr>
          <w:p w14:paraId="438543FE" w14:textId="39B42770" w:rsidR="00FD1BFB" w:rsidRPr="002F13CF" w:rsidRDefault="00FD1BFB" w:rsidP="0062217A">
            <w:pPr>
              <w:keepLines/>
              <w:jc w:val="right"/>
              <w:rPr>
                <w:rFonts w:ascii="Times New Roman" w:hAnsi="Times New Roman" w:cs="Times New Roman"/>
                <w:b/>
              </w:rPr>
            </w:pPr>
            <w:r w:rsidRPr="002F13CF">
              <w:rPr>
                <w:rFonts w:ascii="Times New Roman" w:hAnsi="Times New Roman" w:cs="Times New Roman"/>
                <w:b/>
              </w:rPr>
              <w:t>4,409</w:t>
            </w:r>
          </w:p>
        </w:tc>
        <w:tc>
          <w:tcPr>
            <w:tcW w:w="1620" w:type="dxa"/>
            <w:tcBorders>
              <w:top w:val="thinThickSmallGap" w:sz="24" w:space="0" w:color="auto"/>
              <w:left w:val="single" w:sz="12" w:space="0" w:color="auto"/>
              <w:right w:val="single" w:sz="18" w:space="0" w:color="auto"/>
            </w:tcBorders>
          </w:tcPr>
          <w:p w14:paraId="6F88F7C8" w14:textId="0480AA1B" w:rsidR="00FD1BFB" w:rsidRPr="002F13CF" w:rsidRDefault="00FD1BFB" w:rsidP="0062217A">
            <w:pPr>
              <w:keepLines/>
              <w:jc w:val="right"/>
              <w:rPr>
                <w:rFonts w:ascii="Times New Roman" w:hAnsi="Times New Roman" w:cs="Times New Roman"/>
                <w:b/>
              </w:rPr>
            </w:pPr>
            <w:r w:rsidRPr="002F13CF">
              <w:rPr>
                <w:rFonts w:ascii="Times New Roman" w:hAnsi="Times New Roman" w:cs="Times New Roman"/>
                <w:b/>
              </w:rPr>
              <w:t>2,617</w:t>
            </w:r>
          </w:p>
        </w:tc>
        <w:tc>
          <w:tcPr>
            <w:tcW w:w="1530" w:type="dxa"/>
            <w:tcBorders>
              <w:top w:val="thinThickSmallGap" w:sz="24" w:space="0" w:color="auto"/>
              <w:left w:val="single" w:sz="18" w:space="0" w:color="auto"/>
              <w:right w:val="single" w:sz="12" w:space="0" w:color="auto"/>
            </w:tcBorders>
          </w:tcPr>
          <w:p w14:paraId="11A4802E" w14:textId="20572413" w:rsidR="00FD1BFB" w:rsidRPr="002F13CF" w:rsidRDefault="00FD1BFB" w:rsidP="0062217A">
            <w:pPr>
              <w:keepLines/>
              <w:jc w:val="right"/>
              <w:rPr>
                <w:rFonts w:ascii="Times New Roman" w:hAnsi="Times New Roman" w:cs="Times New Roman"/>
                <w:b/>
              </w:rPr>
            </w:pPr>
            <w:r w:rsidRPr="002F13CF">
              <w:rPr>
                <w:rFonts w:ascii="Times New Roman" w:hAnsi="Times New Roman" w:cs="Times New Roman"/>
                <w:b/>
              </w:rPr>
              <w:t>406,407</w:t>
            </w:r>
          </w:p>
        </w:tc>
        <w:tc>
          <w:tcPr>
            <w:tcW w:w="1188" w:type="dxa"/>
            <w:tcBorders>
              <w:top w:val="thinThickSmallGap" w:sz="24" w:space="0" w:color="auto"/>
              <w:left w:val="single" w:sz="12" w:space="0" w:color="auto"/>
              <w:right w:val="single" w:sz="12" w:space="0" w:color="auto"/>
            </w:tcBorders>
          </w:tcPr>
          <w:p w14:paraId="5789E78B" w14:textId="21B75482" w:rsidR="00FD1BFB" w:rsidRPr="002F13CF" w:rsidRDefault="00FD1BFB" w:rsidP="0062217A">
            <w:pPr>
              <w:keepLines/>
              <w:jc w:val="right"/>
              <w:rPr>
                <w:rFonts w:ascii="Times New Roman" w:hAnsi="Times New Roman" w:cs="Times New Roman"/>
              </w:rPr>
            </w:pPr>
            <w:r w:rsidRPr="002F13CF">
              <w:rPr>
                <w:rFonts w:ascii="Times New Roman" w:hAnsi="Times New Roman" w:cs="Times New Roman"/>
                <w:b/>
              </w:rPr>
              <w:t>298,191</w:t>
            </w:r>
          </w:p>
        </w:tc>
      </w:tr>
    </w:tbl>
    <w:p w14:paraId="2CDF2EB8" w14:textId="77777777" w:rsidR="0084413D" w:rsidRPr="00833FEF" w:rsidRDefault="0084413D" w:rsidP="00BE1E07">
      <w:pPr>
        <w:spacing w:line="480" w:lineRule="auto"/>
        <w:ind w:firstLine="720"/>
        <w:rPr>
          <w:rFonts w:ascii="Times New Roman" w:hAnsi="Times New Roman" w:cs="Times New Roman"/>
        </w:rPr>
      </w:pPr>
    </w:p>
    <w:p w14:paraId="31D2EC8B" w14:textId="22EC6B3A" w:rsidR="000301B6" w:rsidRPr="0083775A" w:rsidRDefault="000301B6" w:rsidP="00BE1E07">
      <w:pPr>
        <w:spacing w:line="480" w:lineRule="auto"/>
        <w:ind w:firstLine="720"/>
        <w:rPr>
          <w:rFonts w:ascii="Times New Roman" w:hAnsi="Times New Roman" w:cs="Times New Roman"/>
        </w:rPr>
      </w:pPr>
      <w:r w:rsidRPr="0083775A">
        <w:rPr>
          <w:rFonts w:ascii="Times New Roman" w:hAnsi="Times New Roman" w:cs="Times New Roman"/>
        </w:rPr>
        <w:t xml:space="preserve">Prior research has shown that consumers check the box claiming primarily </w:t>
      </w:r>
      <w:r w:rsidR="00811C49" w:rsidRPr="0083775A">
        <w:rPr>
          <w:rFonts w:ascii="Times New Roman" w:hAnsi="Times New Roman" w:cs="Times New Roman"/>
        </w:rPr>
        <w:t>non-business</w:t>
      </w:r>
      <w:r w:rsidRPr="0083775A">
        <w:rPr>
          <w:rFonts w:ascii="Times New Roman" w:hAnsi="Times New Roman" w:cs="Times New Roman"/>
        </w:rPr>
        <w:t xml:space="preserve"> debts with little or no thought, and that almost </w:t>
      </w:r>
      <w:r w:rsidR="00FF4C16">
        <w:rPr>
          <w:rFonts w:ascii="Times New Roman" w:hAnsi="Times New Roman" w:cs="Times New Roman"/>
        </w:rPr>
        <w:t>20</w:t>
      </w:r>
      <w:r w:rsidR="00042036">
        <w:rPr>
          <w:rFonts w:ascii="Times New Roman" w:hAnsi="Times New Roman" w:cs="Times New Roman"/>
        </w:rPr>
        <w:t>%</w:t>
      </w:r>
      <w:r w:rsidRPr="0083775A">
        <w:rPr>
          <w:rFonts w:ascii="Times New Roman" w:hAnsi="Times New Roman" w:cs="Times New Roman"/>
        </w:rPr>
        <w:t xml:space="preserve"> of </w:t>
      </w:r>
      <w:r w:rsidR="00AA091B">
        <w:rPr>
          <w:rFonts w:ascii="Times New Roman" w:hAnsi="Times New Roman" w:cs="Times New Roman"/>
        </w:rPr>
        <w:t>chapter</w:t>
      </w:r>
      <w:r w:rsidRPr="0083775A">
        <w:rPr>
          <w:rFonts w:ascii="Times New Roman" w:hAnsi="Times New Roman" w:cs="Times New Roman"/>
        </w:rPr>
        <w:t xml:space="preserve"> 13 filings may be business-related</w:t>
      </w:r>
      <w:r w:rsidR="00833FEF">
        <w:rPr>
          <w:rFonts w:ascii="Times New Roman" w:hAnsi="Times New Roman" w:cs="Times New Roman"/>
        </w:rPr>
        <w:t>,</w:t>
      </w:r>
      <w:r w:rsidRPr="0083775A">
        <w:rPr>
          <w:rFonts w:ascii="Times New Roman" w:hAnsi="Times New Roman" w:cs="Times New Roman"/>
        </w:rPr>
        <w:t xml:space="preserve"> </w:t>
      </w:r>
      <w:r w:rsidR="00217B80">
        <w:rPr>
          <w:rFonts w:ascii="Times New Roman" w:hAnsi="Times New Roman" w:cs="Times New Roman"/>
        </w:rPr>
        <w:t>using</w:t>
      </w:r>
      <w:r w:rsidRPr="0083775A">
        <w:rPr>
          <w:rFonts w:ascii="Times New Roman" w:hAnsi="Times New Roman" w:cs="Times New Roman"/>
        </w:rPr>
        <w:t xml:space="preserve"> a broad definition.</w:t>
      </w:r>
      <w:r w:rsidRPr="0083775A">
        <w:rPr>
          <w:rStyle w:val="FootnoteReference"/>
          <w:rFonts w:ascii="Times New Roman" w:hAnsi="Times New Roman" w:cs="Times New Roman"/>
        </w:rPr>
        <w:footnoteReference w:id="63"/>
      </w:r>
      <w:r w:rsidRPr="0083775A">
        <w:rPr>
          <w:rStyle w:val="FootnoteReference"/>
          <w:rFonts w:ascii="Times New Roman" w:hAnsi="Times New Roman" w:cs="Times New Roman"/>
        </w:rPr>
        <w:t xml:space="preserve">  </w:t>
      </w:r>
      <w:r w:rsidRPr="0083775A">
        <w:rPr>
          <w:rFonts w:ascii="Times New Roman" w:hAnsi="Times New Roman" w:cs="Times New Roman"/>
        </w:rPr>
        <w:t xml:space="preserve">Even if we adopt this higher estimate for </w:t>
      </w:r>
      <w:r w:rsidR="00AA091B">
        <w:rPr>
          <w:rFonts w:ascii="Times New Roman" w:hAnsi="Times New Roman" w:cs="Times New Roman"/>
        </w:rPr>
        <w:t>chapter</w:t>
      </w:r>
      <w:r w:rsidRPr="0083775A">
        <w:rPr>
          <w:rFonts w:ascii="Times New Roman" w:hAnsi="Times New Roman" w:cs="Times New Roman"/>
        </w:rPr>
        <w:t xml:space="preserve"> 13 and make no adjustments to the self-reporting of </w:t>
      </w:r>
      <w:r w:rsidR="00AA091B">
        <w:rPr>
          <w:rFonts w:ascii="Times New Roman" w:hAnsi="Times New Roman" w:cs="Times New Roman"/>
        </w:rPr>
        <w:t>chapter</w:t>
      </w:r>
      <w:r w:rsidRPr="0083775A">
        <w:rPr>
          <w:rFonts w:ascii="Times New Roman" w:hAnsi="Times New Roman" w:cs="Times New Roman"/>
        </w:rPr>
        <w:t xml:space="preserve"> 11 debt,</w:t>
      </w:r>
      <w:r w:rsidR="00F174F0">
        <w:rPr>
          <w:rStyle w:val="FootnoteReference"/>
          <w:rFonts w:ascii="Times New Roman" w:hAnsi="Times New Roman" w:cs="Times New Roman"/>
        </w:rPr>
        <w:footnoteReference w:id="64"/>
      </w:r>
      <w:r w:rsidRPr="0083775A">
        <w:rPr>
          <w:rFonts w:ascii="Times New Roman" w:hAnsi="Times New Roman" w:cs="Times New Roman"/>
        </w:rPr>
        <w:t xml:space="preserve"> however, it is still true that an individual </w:t>
      </w:r>
      <w:r w:rsidR="00AA091B">
        <w:rPr>
          <w:rFonts w:ascii="Times New Roman" w:hAnsi="Times New Roman" w:cs="Times New Roman"/>
        </w:rPr>
        <w:t>chapter</w:t>
      </w:r>
      <w:r w:rsidRPr="0083775A">
        <w:rPr>
          <w:rFonts w:ascii="Times New Roman" w:hAnsi="Times New Roman" w:cs="Times New Roman"/>
        </w:rPr>
        <w:t xml:space="preserve"> 11 case is more than twice as likely to be business-related than is a </w:t>
      </w:r>
      <w:r w:rsidR="00AA091B">
        <w:rPr>
          <w:rFonts w:ascii="Times New Roman" w:hAnsi="Times New Roman" w:cs="Times New Roman"/>
        </w:rPr>
        <w:t>chapter</w:t>
      </w:r>
      <w:r w:rsidRPr="0083775A">
        <w:rPr>
          <w:rFonts w:ascii="Times New Roman" w:hAnsi="Times New Roman" w:cs="Times New Roman"/>
        </w:rPr>
        <w:t xml:space="preserve"> 13 case. Because there are so many more </w:t>
      </w:r>
      <w:r w:rsidR="00AA091B">
        <w:rPr>
          <w:rFonts w:ascii="Times New Roman" w:hAnsi="Times New Roman" w:cs="Times New Roman"/>
        </w:rPr>
        <w:t>chapter</w:t>
      </w:r>
      <w:r w:rsidRPr="0083775A">
        <w:rPr>
          <w:rFonts w:ascii="Times New Roman" w:hAnsi="Times New Roman" w:cs="Times New Roman"/>
        </w:rPr>
        <w:t xml:space="preserve"> 13 filings than </w:t>
      </w:r>
      <w:r w:rsidR="00AA091B">
        <w:rPr>
          <w:rFonts w:ascii="Times New Roman" w:hAnsi="Times New Roman" w:cs="Times New Roman"/>
        </w:rPr>
        <w:t>chapter</w:t>
      </w:r>
      <w:r w:rsidRPr="0083775A">
        <w:rPr>
          <w:rFonts w:ascii="Times New Roman" w:hAnsi="Times New Roman" w:cs="Times New Roman"/>
        </w:rPr>
        <w:t xml:space="preserve"> 11 filings, however, there are still significantly more business </w:t>
      </w:r>
      <w:r w:rsidR="00AA091B">
        <w:rPr>
          <w:rFonts w:ascii="Times New Roman" w:hAnsi="Times New Roman" w:cs="Times New Roman"/>
        </w:rPr>
        <w:t>chapter</w:t>
      </w:r>
      <w:r w:rsidRPr="0083775A">
        <w:rPr>
          <w:rFonts w:ascii="Times New Roman" w:hAnsi="Times New Roman" w:cs="Times New Roman"/>
        </w:rPr>
        <w:t xml:space="preserve"> 13 filings, in a</w:t>
      </w:r>
      <w:r w:rsidR="008D2949" w:rsidRPr="0083775A">
        <w:rPr>
          <w:rFonts w:ascii="Times New Roman" w:hAnsi="Times New Roman" w:cs="Times New Roman"/>
        </w:rPr>
        <w:t xml:space="preserve">bsolute numbers, than business </w:t>
      </w:r>
      <w:r w:rsidR="009F4F24">
        <w:rPr>
          <w:rFonts w:ascii="Times New Roman" w:hAnsi="Times New Roman" w:cs="Times New Roman"/>
        </w:rPr>
        <w:t>i</w:t>
      </w:r>
      <w:r w:rsidRPr="0083775A">
        <w:rPr>
          <w:rFonts w:ascii="Times New Roman" w:hAnsi="Times New Roman" w:cs="Times New Roman"/>
        </w:rPr>
        <w:t xml:space="preserve">ndividual </w:t>
      </w:r>
      <w:r w:rsidR="00AA091B">
        <w:rPr>
          <w:rFonts w:ascii="Times New Roman" w:hAnsi="Times New Roman" w:cs="Times New Roman"/>
        </w:rPr>
        <w:t>chapter</w:t>
      </w:r>
      <w:r w:rsidRPr="0083775A">
        <w:rPr>
          <w:rFonts w:ascii="Times New Roman" w:hAnsi="Times New Roman" w:cs="Times New Roman"/>
        </w:rPr>
        <w:t xml:space="preserve"> 11 filings. </w:t>
      </w:r>
    </w:p>
    <w:p w14:paraId="67E99C28" w14:textId="4604A9D8" w:rsidR="00B47C98" w:rsidRDefault="00B47C98" w:rsidP="00BE1E07">
      <w:pPr>
        <w:spacing w:line="480" w:lineRule="auto"/>
        <w:ind w:firstLine="720"/>
        <w:rPr>
          <w:rFonts w:ascii="Times New Roman" w:hAnsi="Times New Roman" w:cs="Times New Roman"/>
        </w:rPr>
      </w:pPr>
      <w:r w:rsidRPr="00DC15A3">
        <w:rPr>
          <w:rFonts w:asciiTheme="majorHAnsi" w:hAnsiTheme="majorHAnsi"/>
        </w:rPr>
        <w:t xml:space="preserve">Chapter 11 provides special </w:t>
      </w:r>
      <w:r w:rsidR="002B59DE">
        <w:rPr>
          <w:rFonts w:asciiTheme="majorHAnsi" w:hAnsiTheme="majorHAnsi"/>
        </w:rPr>
        <w:t xml:space="preserve">procedural </w:t>
      </w:r>
      <w:r w:rsidR="00412DBE">
        <w:rPr>
          <w:rFonts w:asciiTheme="majorHAnsi" w:hAnsiTheme="majorHAnsi"/>
        </w:rPr>
        <w:t>rules</w:t>
      </w:r>
      <w:r w:rsidRPr="00DC15A3">
        <w:rPr>
          <w:rFonts w:asciiTheme="majorHAnsi" w:hAnsiTheme="majorHAnsi"/>
        </w:rPr>
        <w:t xml:space="preserve"> applicable to </w:t>
      </w:r>
      <w:r w:rsidR="002B59DE">
        <w:rPr>
          <w:rFonts w:asciiTheme="majorHAnsi" w:hAnsiTheme="majorHAnsi"/>
        </w:rPr>
        <w:t>a small business debtor</w:t>
      </w:r>
      <w:r w:rsidR="002B59DE">
        <w:rPr>
          <w:rFonts w:ascii="Times New Roman" w:hAnsi="Times New Roman" w:cs="Times New Roman"/>
        </w:rPr>
        <w:t>,</w:t>
      </w:r>
      <w:r w:rsidR="000301B6" w:rsidRPr="0083775A">
        <w:rPr>
          <w:rStyle w:val="FootnoteReference"/>
          <w:rFonts w:ascii="Times New Roman" w:hAnsi="Times New Roman" w:cs="Times New Roman"/>
        </w:rPr>
        <w:footnoteReference w:id="65"/>
      </w:r>
      <w:r w:rsidR="000301B6" w:rsidRPr="0083775A">
        <w:rPr>
          <w:rFonts w:ascii="Times New Roman" w:hAnsi="Times New Roman" w:cs="Times New Roman"/>
        </w:rPr>
        <w:t xml:space="preserve"> </w:t>
      </w:r>
      <w:r w:rsidR="00217B80">
        <w:rPr>
          <w:rFonts w:ascii="Times New Roman" w:hAnsi="Times New Roman" w:cs="Times New Roman"/>
        </w:rPr>
        <w:t xml:space="preserve">which the Code </w:t>
      </w:r>
      <w:r w:rsidR="000301B6" w:rsidRPr="0083775A">
        <w:rPr>
          <w:rFonts w:ascii="Times New Roman" w:hAnsi="Times New Roman" w:cs="Times New Roman"/>
        </w:rPr>
        <w:t>define</w:t>
      </w:r>
      <w:r w:rsidR="00217B80">
        <w:rPr>
          <w:rFonts w:ascii="Times New Roman" w:hAnsi="Times New Roman" w:cs="Times New Roman"/>
        </w:rPr>
        <w:t>s</w:t>
      </w:r>
      <w:r w:rsidR="000301B6" w:rsidRPr="0083775A">
        <w:rPr>
          <w:rFonts w:ascii="Times New Roman" w:hAnsi="Times New Roman" w:cs="Times New Roman"/>
        </w:rPr>
        <w:t xml:space="preserve"> as someone engaged in business who owes less than roughly </w:t>
      </w:r>
      <w:r w:rsidR="004F27BD">
        <w:rPr>
          <w:rFonts w:ascii="Times New Roman" w:hAnsi="Times New Roman" w:cs="Times New Roman"/>
        </w:rPr>
        <w:t xml:space="preserve">$2.5 million </w:t>
      </w:r>
      <w:r w:rsidR="000301B6" w:rsidRPr="0083775A">
        <w:rPr>
          <w:rFonts w:ascii="Times New Roman" w:hAnsi="Times New Roman" w:cs="Times New Roman"/>
        </w:rPr>
        <w:t>in non-contingent liquidated debts.</w:t>
      </w:r>
      <w:r w:rsidR="000301B6" w:rsidRPr="0083775A">
        <w:rPr>
          <w:rStyle w:val="FootnoteReference"/>
          <w:rFonts w:ascii="Times New Roman" w:hAnsi="Times New Roman" w:cs="Times New Roman"/>
        </w:rPr>
        <w:footnoteReference w:id="66"/>
      </w:r>
      <w:r w:rsidR="000301B6" w:rsidRPr="0083775A">
        <w:rPr>
          <w:rFonts w:ascii="Times New Roman" w:hAnsi="Times New Roman" w:cs="Times New Roman"/>
        </w:rPr>
        <w:t xml:space="preserve"> </w:t>
      </w:r>
      <w:r w:rsidRPr="00DC15A3">
        <w:rPr>
          <w:rFonts w:asciiTheme="majorHAnsi" w:hAnsiTheme="majorHAnsi"/>
        </w:rPr>
        <w:t xml:space="preserve">The supervisory role of the United States </w:t>
      </w:r>
      <w:r>
        <w:rPr>
          <w:rFonts w:asciiTheme="majorHAnsi" w:hAnsiTheme="majorHAnsi"/>
        </w:rPr>
        <w:t>T</w:t>
      </w:r>
      <w:r w:rsidRPr="00DC15A3">
        <w:rPr>
          <w:rFonts w:asciiTheme="majorHAnsi" w:hAnsiTheme="majorHAnsi"/>
        </w:rPr>
        <w:t>rustee is enhanced in a small business case, both at the beginning of the case and during its pendency.</w:t>
      </w:r>
      <w:r w:rsidRPr="00DC15A3">
        <w:rPr>
          <w:rStyle w:val="FootnoteReference"/>
          <w:rFonts w:asciiTheme="majorHAnsi" w:hAnsiTheme="majorHAnsi"/>
        </w:rPr>
        <w:footnoteReference w:id="67"/>
      </w:r>
      <w:r w:rsidRPr="00DC15A3">
        <w:rPr>
          <w:rFonts w:asciiTheme="majorHAnsi" w:hAnsiTheme="majorHAnsi"/>
        </w:rPr>
        <w:t xml:space="preserve"> The small business debtor may use a simplified </w:t>
      </w:r>
      <w:r w:rsidR="00217B80">
        <w:rPr>
          <w:rFonts w:asciiTheme="majorHAnsi" w:hAnsiTheme="majorHAnsi"/>
        </w:rPr>
        <w:t xml:space="preserve">standard </w:t>
      </w:r>
      <w:r w:rsidRPr="00DC15A3">
        <w:rPr>
          <w:rFonts w:asciiTheme="majorHAnsi" w:hAnsiTheme="majorHAnsi"/>
        </w:rPr>
        <w:t>form fo</w:t>
      </w:r>
      <w:r w:rsidR="00534A67">
        <w:rPr>
          <w:rFonts w:asciiTheme="majorHAnsi" w:hAnsiTheme="majorHAnsi"/>
        </w:rPr>
        <w:t>r its disclosure statement, and</w:t>
      </w:r>
      <w:r w:rsidRPr="00DC15A3">
        <w:rPr>
          <w:rFonts w:asciiTheme="majorHAnsi" w:hAnsiTheme="majorHAnsi"/>
        </w:rPr>
        <w:t xml:space="preserve"> </w:t>
      </w:r>
      <w:r w:rsidR="00217B80">
        <w:rPr>
          <w:rFonts w:asciiTheme="majorHAnsi" w:hAnsiTheme="majorHAnsi"/>
        </w:rPr>
        <w:t xml:space="preserve">the bankruptcy court may combine the hearing on plan confirmation with the hearing on approval of </w:t>
      </w:r>
      <w:r w:rsidRPr="00DC15A3">
        <w:rPr>
          <w:rFonts w:asciiTheme="majorHAnsi" w:hAnsiTheme="majorHAnsi"/>
        </w:rPr>
        <w:t>the disclosure statement.</w:t>
      </w:r>
      <w:r w:rsidRPr="00DC15A3">
        <w:rPr>
          <w:rStyle w:val="FootnoteReference"/>
          <w:rFonts w:asciiTheme="majorHAnsi" w:hAnsiTheme="majorHAnsi"/>
        </w:rPr>
        <w:footnoteReference w:id="68"/>
      </w:r>
      <w:r w:rsidR="00217B80">
        <w:rPr>
          <w:rFonts w:asciiTheme="majorHAnsi" w:hAnsiTheme="majorHAnsi"/>
        </w:rPr>
        <w:t xml:space="preserve"> The Code also provides plan-proposal and plan-confirmation deadlines for small business debtors.</w:t>
      </w:r>
      <w:r w:rsidR="00217B80">
        <w:rPr>
          <w:rStyle w:val="FootnoteReference"/>
          <w:rFonts w:asciiTheme="majorHAnsi" w:hAnsiTheme="majorHAnsi"/>
        </w:rPr>
        <w:footnoteReference w:id="69"/>
      </w:r>
      <w:r w:rsidR="00217B80">
        <w:rPr>
          <w:rFonts w:asciiTheme="majorHAnsi" w:hAnsiTheme="majorHAnsi"/>
        </w:rPr>
        <w:t xml:space="preserve">   </w:t>
      </w:r>
    </w:p>
    <w:p w14:paraId="03C94D91" w14:textId="4E20C6F0" w:rsidR="000301B6" w:rsidRPr="009A1A10" w:rsidRDefault="00217B80" w:rsidP="00BE1E07">
      <w:pPr>
        <w:spacing w:line="480" w:lineRule="auto"/>
        <w:ind w:firstLine="720"/>
        <w:rPr>
          <w:rFonts w:ascii="Times New Roman" w:hAnsi="Times New Roman" w:cs="Times New Roman"/>
        </w:rPr>
      </w:pPr>
      <w:r>
        <w:rPr>
          <w:rFonts w:ascii="Times New Roman" w:hAnsi="Times New Roman" w:cs="Times New Roman"/>
        </w:rPr>
        <w:t xml:space="preserve">The voluntary </w:t>
      </w:r>
      <w:r w:rsidR="000301B6" w:rsidRPr="0083775A">
        <w:rPr>
          <w:rFonts w:ascii="Times New Roman" w:hAnsi="Times New Roman" w:cs="Times New Roman"/>
        </w:rPr>
        <w:t>petition contain</w:t>
      </w:r>
      <w:r>
        <w:rPr>
          <w:rFonts w:ascii="Times New Roman" w:hAnsi="Times New Roman" w:cs="Times New Roman"/>
        </w:rPr>
        <w:t>s</w:t>
      </w:r>
      <w:r w:rsidR="000301B6" w:rsidRPr="0083775A">
        <w:rPr>
          <w:rFonts w:ascii="Times New Roman" w:hAnsi="Times New Roman" w:cs="Times New Roman"/>
        </w:rPr>
        <w:t xml:space="preserve"> a box indicating whether the debtor is a small business debtor,</w:t>
      </w:r>
      <w:r w:rsidR="000301B6" w:rsidRPr="0083775A">
        <w:rPr>
          <w:rStyle w:val="FootnoteReference"/>
          <w:rFonts w:ascii="Times New Roman" w:hAnsi="Times New Roman" w:cs="Times New Roman"/>
        </w:rPr>
        <w:footnoteReference w:id="70"/>
      </w:r>
      <w:r w:rsidR="000301B6" w:rsidRPr="0083775A">
        <w:rPr>
          <w:rFonts w:ascii="Times New Roman" w:hAnsi="Times New Roman" w:cs="Times New Roman"/>
        </w:rPr>
        <w:t xml:space="preserve"> and the PACER </w:t>
      </w:r>
      <w:r>
        <w:rPr>
          <w:rFonts w:ascii="Times New Roman" w:hAnsi="Times New Roman" w:cs="Times New Roman"/>
        </w:rPr>
        <w:t>case r</w:t>
      </w:r>
      <w:r w:rsidR="000301B6" w:rsidRPr="0083775A">
        <w:rPr>
          <w:rFonts w:ascii="Times New Roman" w:hAnsi="Times New Roman" w:cs="Times New Roman"/>
        </w:rPr>
        <w:t xml:space="preserve">eports record the debtor’s answer. Table </w:t>
      </w:r>
      <w:r w:rsidR="00E35ABB">
        <w:rPr>
          <w:rFonts w:ascii="Times New Roman" w:hAnsi="Times New Roman" w:cs="Times New Roman"/>
        </w:rPr>
        <w:t>6</w:t>
      </w:r>
      <w:r w:rsidR="000301B6" w:rsidRPr="0083775A">
        <w:rPr>
          <w:rFonts w:ascii="Times New Roman" w:hAnsi="Times New Roman" w:cs="Times New Roman"/>
        </w:rPr>
        <w:t xml:space="preserve"> presents the </w:t>
      </w:r>
      <w:r w:rsidR="009A1A10">
        <w:rPr>
          <w:rFonts w:ascii="Times New Roman" w:hAnsi="Times New Roman" w:cs="Times New Roman"/>
        </w:rPr>
        <w:t xml:space="preserve">small business findings </w:t>
      </w:r>
      <w:r w:rsidR="000301B6" w:rsidRPr="0083775A">
        <w:rPr>
          <w:rFonts w:ascii="Times New Roman" w:hAnsi="Times New Roman" w:cs="Times New Roman"/>
        </w:rPr>
        <w:t xml:space="preserve">broken down by debtor type. </w:t>
      </w:r>
      <w:r w:rsidR="00AB0FD0" w:rsidRPr="00427958">
        <w:rPr>
          <w:rFonts w:ascii="Times New Roman" w:hAnsi="Times New Roman" w:cs="Times New Roman"/>
        </w:rPr>
        <w:t xml:space="preserve">A small </w:t>
      </w:r>
      <w:r w:rsidR="00D3165F">
        <w:rPr>
          <w:rFonts w:ascii="Times New Roman" w:hAnsi="Times New Roman" w:cs="Times New Roman"/>
        </w:rPr>
        <w:t xml:space="preserve">percentage </w:t>
      </w:r>
      <w:r w:rsidR="00AB0FD0" w:rsidRPr="00427958">
        <w:rPr>
          <w:rFonts w:ascii="Times New Roman" w:hAnsi="Times New Roman" w:cs="Times New Roman"/>
        </w:rPr>
        <w:t xml:space="preserve">of the debtors in our </w:t>
      </w:r>
      <w:r w:rsidR="00AB0FD0">
        <w:rPr>
          <w:rFonts w:ascii="Times New Roman" w:hAnsi="Times New Roman" w:cs="Times New Roman"/>
        </w:rPr>
        <w:t>data sample</w:t>
      </w:r>
      <w:r w:rsidR="00AB0FD0" w:rsidRPr="00427958">
        <w:rPr>
          <w:rFonts w:ascii="Times New Roman" w:hAnsi="Times New Roman" w:cs="Times New Roman"/>
        </w:rPr>
        <w:t xml:space="preserve">—about </w:t>
      </w:r>
      <w:r w:rsidR="00AB0FD0">
        <w:rPr>
          <w:rFonts w:ascii="Times New Roman" w:hAnsi="Times New Roman" w:cs="Times New Roman"/>
        </w:rPr>
        <w:t>7</w:t>
      </w:r>
      <w:r w:rsidR="008C726D">
        <w:rPr>
          <w:rFonts w:ascii="Times New Roman" w:hAnsi="Times New Roman" w:cs="Times New Roman"/>
        </w:rPr>
        <w:t>%</w:t>
      </w:r>
      <w:r w:rsidR="00AB0FD0">
        <w:rPr>
          <w:rFonts w:ascii="Times New Roman" w:hAnsi="Times New Roman" w:cs="Times New Roman"/>
        </w:rPr>
        <w:t xml:space="preserve"> to 8</w:t>
      </w:r>
      <w:r w:rsidR="00042036">
        <w:rPr>
          <w:rFonts w:ascii="Times New Roman" w:hAnsi="Times New Roman" w:cs="Times New Roman"/>
        </w:rPr>
        <w:t>%</w:t>
      </w:r>
      <w:r w:rsidR="00AB0FD0" w:rsidRPr="00427958">
        <w:rPr>
          <w:rFonts w:ascii="Times New Roman" w:hAnsi="Times New Roman" w:cs="Times New Roman"/>
        </w:rPr>
        <w:t>—state</w:t>
      </w:r>
      <w:r w:rsidR="009A1A10">
        <w:rPr>
          <w:rFonts w:ascii="Times New Roman" w:hAnsi="Times New Roman" w:cs="Times New Roman"/>
        </w:rPr>
        <w:t>d</w:t>
      </w:r>
      <w:r w:rsidR="00AB0FD0" w:rsidRPr="00427958">
        <w:rPr>
          <w:rFonts w:ascii="Times New Roman" w:hAnsi="Times New Roman" w:cs="Times New Roman"/>
        </w:rPr>
        <w:t xml:space="preserve"> that they were small businesses</w:t>
      </w:r>
      <w:r w:rsidR="005304F0">
        <w:rPr>
          <w:rFonts w:ascii="Times New Roman" w:hAnsi="Times New Roman" w:cs="Times New Roman"/>
        </w:rPr>
        <w:t>.</w:t>
      </w:r>
      <w:r w:rsidR="00AB0FD0">
        <w:rPr>
          <w:rFonts w:ascii="Times New Roman" w:hAnsi="Times New Roman" w:cs="Times New Roman"/>
        </w:rPr>
        <w:t xml:space="preserve"> </w:t>
      </w:r>
      <w:r w:rsidR="009A1A10">
        <w:rPr>
          <w:rFonts w:ascii="Times New Roman" w:hAnsi="Times New Roman" w:cs="Times New Roman"/>
        </w:rPr>
        <w:t>T</w:t>
      </w:r>
      <w:r w:rsidR="00AB0FD0">
        <w:rPr>
          <w:rFonts w:ascii="Times New Roman" w:hAnsi="Times New Roman" w:cs="Times New Roman"/>
        </w:rPr>
        <w:t>he more striking fact</w:t>
      </w:r>
      <w:r w:rsidR="009A1A10">
        <w:rPr>
          <w:rFonts w:ascii="Times New Roman" w:hAnsi="Times New Roman" w:cs="Times New Roman"/>
        </w:rPr>
        <w:t>, however,</w:t>
      </w:r>
      <w:r w:rsidR="00AB0FD0">
        <w:rPr>
          <w:rFonts w:ascii="Times New Roman" w:hAnsi="Times New Roman" w:cs="Times New Roman"/>
        </w:rPr>
        <w:t xml:space="preserve"> is that </w:t>
      </w:r>
      <w:r w:rsidR="000301B6" w:rsidRPr="0083775A">
        <w:rPr>
          <w:rFonts w:ascii="Times New Roman" w:hAnsi="Times New Roman" w:cs="Times New Roman"/>
        </w:rPr>
        <w:t xml:space="preserve">PACER did not report responses for </w:t>
      </w:r>
      <w:r w:rsidR="009A1A10">
        <w:rPr>
          <w:rFonts w:ascii="Times New Roman" w:hAnsi="Times New Roman" w:cs="Times New Roman"/>
        </w:rPr>
        <w:t xml:space="preserve">more than 60% </w:t>
      </w:r>
      <w:r w:rsidR="000301B6" w:rsidRPr="0083775A">
        <w:rPr>
          <w:rFonts w:ascii="Times New Roman" w:hAnsi="Times New Roman" w:cs="Times New Roman"/>
        </w:rPr>
        <w:t xml:space="preserve">of the individuals who filed </w:t>
      </w:r>
      <w:r w:rsidR="009A1A10">
        <w:rPr>
          <w:rFonts w:ascii="Times New Roman" w:hAnsi="Times New Roman" w:cs="Times New Roman"/>
        </w:rPr>
        <w:t xml:space="preserve">for relief </w:t>
      </w:r>
      <w:r w:rsidR="000301B6" w:rsidRPr="0083775A">
        <w:rPr>
          <w:rFonts w:ascii="Times New Roman" w:hAnsi="Times New Roman" w:cs="Times New Roman"/>
        </w:rPr>
        <w:t xml:space="preserve">under </w:t>
      </w:r>
      <w:r w:rsidR="00AA091B">
        <w:rPr>
          <w:rFonts w:ascii="Times New Roman" w:hAnsi="Times New Roman" w:cs="Times New Roman"/>
        </w:rPr>
        <w:t>chapter</w:t>
      </w:r>
      <w:r w:rsidR="000301B6" w:rsidRPr="0083775A">
        <w:rPr>
          <w:rFonts w:ascii="Times New Roman" w:hAnsi="Times New Roman" w:cs="Times New Roman"/>
        </w:rPr>
        <w:t xml:space="preserve"> 11.</w:t>
      </w:r>
      <w:r w:rsidR="00F416DD">
        <w:rPr>
          <w:rStyle w:val="FootnoteReference"/>
          <w:rFonts w:ascii="Times New Roman" w:hAnsi="Times New Roman" w:cs="Times New Roman"/>
        </w:rPr>
        <w:footnoteReference w:id="71"/>
      </w:r>
      <w:r w:rsidR="000301B6" w:rsidRPr="0083775A">
        <w:rPr>
          <w:rFonts w:ascii="Times New Roman" w:hAnsi="Times New Roman" w:cs="Times New Roman"/>
        </w:rPr>
        <w:t xml:space="preserve"> </w:t>
      </w:r>
      <w:r w:rsidR="009A1A10">
        <w:rPr>
          <w:rFonts w:ascii="Times New Roman" w:hAnsi="Times New Roman" w:cs="Times New Roman"/>
          <w:i/>
        </w:rPr>
        <w:t xml:space="preserve">See </w:t>
      </w:r>
      <w:r w:rsidR="009A1A10">
        <w:rPr>
          <w:rFonts w:ascii="Times New Roman" w:hAnsi="Times New Roman" w:cs="Times New Roman"/>
        </w:rPr>
        <w:t xml:space="preserve">Column (A)(3) of Table </w:t>
      </w:r>
      <w:r w:rsidR="00E35ABB">
        <w:rPr>
          <w:rFonts w:ascii="Times New Roman" w:hAnsi="Times New Roman" w:cs="Times New Roman"/>
        </w:rPr>
        <w:t>6</w:t>
      </w:r>
      <w:r w:rsidR="009A1A10">
        <w:rPr>
          <w:rFonts w:ascii="Times New Roman" w:hAnsi="Times New Roman" w:cs="Times New Roman"/>
        </w:rPr>
        <w:t>.</w:t>
      </w:r>
    </w:p>
    <w:p w14:paraId="330E60FB" w14:textId="4124D289" w:rsidR="00C20695" w:rsidRPr="0098250F" w:rsidRDefault="00C20695" w:rsidP="0062217A">
      <w:pPr>
        <w:keepNext/>
        <w:keepLines/>
        <w:spacing w:line="480" w:lineRule="auto"/>
        <w:jc w:val="center"/>
        <w:rPr>
          <w:rFonts w:ascii="Times New Roman" w:hAnsi="Times New Roman" w:cs="Times New Roman"/>
          <w:b/>
        </w:rPr>
      </w:pPr>
      <w:r w:rsidRPr="0098250F">
        <w:rPr>
          <w:rFonts w:ascii="Times New Roman" w:hAnsi="Times New Roman" w:cs="Times New Roman"/>
          <w:b/>
        </w:rPr>
        <w:t xml:space="preserve">Table </w:t>
      </w:r>
      <w:r w:rsidR="00315FCA">
        <w:rPr>
          <w:rFonts w:ascii="Times New Roman" w:hAnsi="Times New Roman" w:cs="Times New Roman"/>
          <w:b/>
        </w:rPr>
        <w:t>6</w:t>
      </w:r>
      <w:r w:rsidRPr="0098250F">
        <w:rPr>
          <w:rFonts w:ascii="Times New Roman" w:hAnsi="Times New Roman" w:cs="Times New Roman"/>
          <w:b/>
        </w:rPr>
        <w:t>:  Small Business Debtors</w:t>
      </w:r>
    </w:p>
    <w:tbl>
      <w:tblPr>
        <w:tblStyle w:val="TableGrid"/>
        <w:tblW w:w="8928" w:type="dxa"/>
        <w:tblLayout w:type="fixed"/>
        <w:tblLook w:val="04A0" w:firstRow="1" w:lastRow="0" w:firstColumn="1" w:lastColumn="0" w:noHBand="0" w:noVBand="1"/>
      </w:tblPr>
      <w:tblGrid>
        <w:gridCol w:w="2808"/>
        <w:gridCol w:w="990"/>
        <w:gridCol w:w="1080"/>
        <w:gridCol w:w="990"/>
        <w:gridCol w:w="990"/>
        <w:gridCol w:w="990"/>
        <w:gridCol w:w="1080"/>
      </w:tblGrid>
      <w:tr w:rsidR="00C20695" w:rsidRPr="005308A9" w14:paraId="6084166D" w14:textId="77777777" w:rsidTr="002F13CF">
        <w:tc>
          <w:tcPr>
            <w:tcW w:w="2808" w:type="dxa"/>
            <w:tcBorders>
              <w:bottom w:val="single" w:sz="18" w:space="0" w:color="auto"/>
            </w:tcBorders>
          </w:tcPr>
          <w:p w14:paraId="49AB5BAB" w14:textId="77777777" w:rsidR="00C20695" w:rsidRPr="00463D97" w:rsidRDefault="00C20695" w:rsidP="0062217A">
            <w:pPr>
              <w:keepNext/>
              <w:keepLines/>
            </w:pPr>
          </w:p>
        </w:tc>
        <w:tc>
          <w:tcPr>
            <w:tcW w:w="2070" w:type="dxa"/>
            <w:gridSpan w:val="2"/>
            <w:tcBorders>
              <w:bottom w:val="single" w:sz="18" w:space="0" w:color="auto"/>
              <w:right w:val="single" w:sz="18" w:space="0" w:color="auto"/>
            </w:tcBorders>
          </w:tcPr>
          <w:p w14:paraId="4DE88AD5" w14:textId="77777777" w:rsidR="00C20695" w:rsidRPr="002F13CF" w:rsidRDefault="00C20695" w:rsidP="0062217A">
            <w:pPr>
              <w:keepNext/>
              <w:keepLines/>
              <w:jc w:val="center"/>
              <w:rPr>
                <w:rFonts w:cstheme="minorHAnsi"/>
                <w:b/>
              </w:rPr>
            </w:pPr>
            <w:r w:rsidRPr="002F13CF">
              <w:rPr>
                <w:rFonts w:cstheme="minorHAnsi"/>
                <w:b/>
              </w:rPr>
              <w:t>(A)</w:t>
            </w:r>
          </w:p>
          <w:p w14:paraId="6D22F3CE" w14:textId="77777777" w:rsidR="00C20695" w:rsidRPr="002F13CF" w:rsidRDefault="00C20695" w:rsidP="0062217A">
            <w:pPr>
              <w:keepNext/>
              <w:keepLines/>
              <w:jc w:val="center"/>
              <w:rPr>
                <w:rFonts w:cstheme="minorHAnsi"/>
                <w:b/>
              </w:rPr>
            </w:pPr>
            <w:r w:rsidRPr="002F13CF">
              <w:rPr>
                <w:rFonts w:cstheme="minorHAnsi"/>
                <w:b/>
              </w:rPr>
              <w:t>Individual</w:t>
            </w:r>
          </w:p>
        </w:tc>
        <w:tc>
          <w:tcPr>
            <w:tcW w:w="1980" w:type="dxa"/>
            <w:gridSpan w:val="2"/>
            <w:tcBorders>
              <w:left w:val="single" w:sz="18" w:space="0" w:color="auto"/>
              <w:bottom w:val="single" w:sz="18" w:space="0" w:color="auto"/>
              <w:right w:val="single" w:sz="18" w:space="0" w:color="auto"/>
            </w:tcBorders>
          </w:tcPr>
          <w:p w14:paraId="70F00B49" w14:textId="77777777" w:rsidR="00C20695" w:rsidRPr="002F13CF" w:rsidRDefault="00C20695" w:rsidP="0062217A">
            <w:pPr>
              <w:keepNext/>
              <w:keepLines/>
              <w:jc w:val="center"/>
              <w:rPr>
                <w:rFonts w:cstheme="minorHAnsi"/>
                <w:b/>
              </w:rPr>
            </w:pPr>
            <w:r w:rsidRPr="002F13CF">
              <w:rPr>
                <w:rFonts w:cstheme="minorHAnsi"/>
                <w:b/>
              </w:rPr>
              <w:t>(B)</w:t>
            </w:r>
          </w:p>
          <w:p w14:paraId="43EDEDA0" w14:textId="77777777" w:rsidR="00C20695" w:rsidRPr="002F13CF" w:rsidRDefault="00C20695" w:rsidP="0062217A">
            <w:pPr>
              <w:keepNext/>
              <w:keepLines/>
              <w:jc w:val="center"/>
              <w:rPr>
                <w:rFonts w:cstheme="minorHAnsi"/>
                <w:b/>
              </w:rPr>
            </w:pPr>
            <w:r w:rsidRPr="002F13CF">
              <w:rPr>
                <w:rFonts w:cstheme="minorHAnsi"/>
                <w:b/>
              </w:rPr>
              <w:t>Corporation</w:t>
            </w:r>
          </w:p>
        </w:tc>
        <w:tc>
          <w:tcPr>
            <w:tcW w:w="2070" w:type="dxa"/>
            <w:gridSpan w:val="2"/>
            <w:tcBorders>
              <w:left w:val="single" w:sz="18" w:space="0" w:color="auto"/>
              <w:bottom w:val="single" w:sz="18" w:space="0" w:color="auto"/>
            </w:tcBorders>
          </w:tcPr>
          <w:p w14:paraId="19C1E194" w14:textId="77777777" w:rsidR="00C20695" w:rsidRPr="002F13CF" w:rsidRDefault="00C20695" w:rsidP="0062217A">
            <w:pPr>
              <w:keepNext/>
              <w:keepLines/>
              <w:jc w:val="center"/>
              <w:rPr>
                <w:rFonts w:cstheme="minorHAnsi"/>
                <w:b/>
              </w:rPr>
            </w:pPr>
            <w:r w:rsidRPr="002F13CF">
              <w:rPr>
                <w:rFonts w:cstheme="minorHAnsi"/>
                <w:b/>
              </w:rPr>
              <w:t>(C)</w:t>
            </w:r>
          </w:p>
          <w:p w14:paraId="3DF7A50F" w14:textId="77777777" w:rsidR="00C20695" w:rsidRPr="002F13CF" w:rsidRDefault="00C20695" w:rsidP="0062217A">
            <w:pPr>
              <w:keepNext/>
              <w:keepLines/>
              <w:jc w:val="center"/>
              <w:rPr>
                <w:rFonts w:cstheme="minorHAnsi"/>
                <w:b/>
              </w:rPr>
            </w:pPr>
            <w:r w:rsidRPr="002F13CF">
              <w:rPr>
                <w:rFonts w:cstheme="minorHAnsi"/>
                <w:b/>
              </w:rPr>
              <w:t>All</w:t>
            </w:r>
          </w:p>
        </w:tc>
      </w:tr>
      <w:tr w:rsidR="00C20695" w:rsidRPr="005308A9" w14:paraId="76E3073B" w14:textId="77777777" w:rsidTr="002F13CF">
        <w:tc>
          <w:tcPr>
            <w:tcW w:w="2808" w:type="dxa"/>
          </w:tcPr>
          <w:p w14:paraId="465D359B" w14:textId="77777777" w:rsidR="00C20695" w:rsidRPr="00463D97" w:rsidRDefault="00C20695" w:rsidP="0062217A">
            <w:pPr>
              <w:keepNext/>
              <w:keepLines/>
            </w:pPr>
          </w:p>
        </w:tc>
        <w:tc>
          <w:tcPr>
            <w:tcW w:w="990" w:type="dxa"/>
            <w:tcBorders>
              <w:right w:val="single" w:sz="12" w:space="0" w:color="auto"/>
            </w:tcBorders>
          </w:tcPr>
          <w:p w14:paraId="00DE4544" w14:textId="77777777" w:rsidR="00C20695" w:rsidRPr="002F13CF" w:rsidRDefault="00C20695" w:rsidP="0062217A">
            <w:pPr>
              <w:keepNext/>
              <w:keepLines/>
              <w:jc w:val="center"/>
              <w:rPr>
                <w:rFonts w:cstheme="minorHAnsi"/>
                <w:b/>
              </w:rPr>
            </w:pPr>
            <w:r w:rsidRPr="002F13CF">
              <w:rPr>
                <w:rFonts w:cstheme="minorHAnsi"/>
                <w:b/>
              </w:rPr>
              <w:t>2010</w:t>
            </w:r>
          </w:p>
        </w:tc>
        <w:tc>
          <w:tcPr>
            <w:tcW w:w="1080" w:type="dxa"/>
            <w:tcBorders>
              <w:left w:val="single" w:sz="12" w:space="0" w:color="auto"/>
              <w:right w:val="single" w:sz="18" w:space="0" w:color="auto"/>
            </w:tcBorders>
          </w:tcPr>
          <w:p w14:paraId="6A13FFE4" w14:textId="77777777" w:rsidR="00C20695" w:rsidRPr="002F13CF" w:rsidRDefault="00C20695" w:rsidP="0062217A">
            <w:pPr>
              <w:keepNext/>
              <w:keepLines/>
              <w:jc w:val="center"/>
              <w:rPr>
                <w:rFonts w:cstheme="minorHAnsi"/>
                <w:b/>
              </w:rPr>
            </w:pPr>
            <w:r w:rsidRPr="002F13CF">
              <w:rPr>
                <w:rFonts w:cstheme="minorHAnsi"/>
                <w:b/>
              </w:rPr>
              <w:t>2013</w:t>
            </w:r>
          </w:p>
        </w:tc>
        <w:tc>
          <w:tcPr>
            <w:tcW w:w="990" w:type="dxa"/>
            <w:tcBorders>
              <w:left w:val="single" w:sz="18" w:space="0" w:color="auto"/>
              <w:right w:val="single" w:sz="12" w:space="0" w:color="auto"/>
            </w:tcBorders>
          </w:tcPr>
          <w:p w14:paraId="1C4CC4E5" w14:textId="77777777" w:rsidR="00C20695" w:rsidRPr="002F13CF" w:rsidRDefault="00C20695" w:rsidP="0062217A">
            <w:pPr>
              <w:keepNext/>
              <w:keepLines/>
              <w:jc w:val="center"/>
              <w:rPr>
                <w:rFonts w:cstheme="minorHAnsi"/>
                <w:b/>
              </w:rPr>
            </w:pPr>
            <w:r w:rsidRPr="002F13CF">
              <w:rPr>
                <w:rFonts w:cstheme="minorHAnsi"/>
                <w:b/>
              </w:rPr>
              <w:t>2010</w:t>
            </w:r>
          </w:p>
        </w:tc>
        <w:tc>
          <w:tcPr>
            <w:tcW w:w="990" w:type="dxa"/>
            <w:tcBorders>
              <w:left w:val="single" w:sz="12" w:space="0" w:color="auto"/>
              <w:right w:val="single" w:sz="18" w:space="0" w:color="auto"/>
            </w:tcBorders>
          </w:tcPr>
          <w:p w14:paraId="482A35D2" w14:textId="77777777" w:rsidR="00C20695" w:rsidRPr="002F13CF" w:rsidRDefault="00C20695" w:rsidP="0062217A">
            <w:pPr>
              <w:keepNext/>
              <w:keepLines/>
              <w:jc w:val="center"/>
              <w:rPr>
                <w:rFonts w:cstheme="minorHAnsi"/>
                <w:b/>
              </w:rPr>
            </w:pPr>
            <w:r w:rsidRPr="002F13CF">
              <w:rPr>
                <w:rFonts w:cstheme="minorHAnsi"/>
                <w:b/>
              </w:rPr>
              <w:t>2013</w:t>
            </w:r>
          </w:p>
        </w:tc>
        <w:tc>
          <w:tcPr>
            <w:tcW w:w="990" w:type="dxa"/>
            <w:tcBorders>
              <w:left w:val="single" w:sz="18" w:space="0" w:color="auto"/>
              <w:right w:val="single" w:sz="12" w:space="0" w:color="auto"/>
            </w:tcBorders>
          </w:tcPr>
          <w:p w14:paraId="165F8EB6" w14:textId="77777777" w:rsidR="00C20695" w:rsidRPr="002F13CF" w:rsidRDefault="00C20695" w:rsidP="0062217A">
            <w:pPr>
              <w:keepNext/>
              <w:keepLines/>
              <w:jc w:val="center"/>
              <w:rPr>
                <w:rFonts w:cstheme="minorHAnsi"/>
                <w:b/>
              </w:rPr>
            </w:pPr>
            <w:r w:rsidRPr="002F13CF">
              <w:rPr>
                <w:rFonts w:cstheme="minorHAnsi"/>
                <w:b/>
              </w:rPr>
              <w:t>2010</w:t>
            </w:r>
          </w:p>
        </w:tc>
        <w:tc>
          <w:tcPr>
            <w:tcW w:w="1080" w:type="dxa"/>
            <w:tcBorders>
              <w:top w:val="single" w:sz="2" w:space="0" w:color="auto"/>
              <w:left w:val="single" w:sz="12" w:space="0" w:color="auto"/>
            </w:tcBorders>
          </w:tcPr>
          <w:p w14:paraId="6AF2924A" w14:textId="77777777" w:rsidR="00C20695" w:rsidRPr="002F13CF" w:rsidRDefault="00C20695" w:rsidP="0062217A">
            <w:pPr>
              <w:keepNext/>
              <w:keepLines/>
              <w:jc w:val="center"/>
              <w:rPr>
                <w:rFonts w:cstheme="minorHAnsi"/>
                <w:b/>
              </w:rPr>
            </w:pPr>
            <w:r w:rsidRPr="002F13CF">
              <w:rPr>
                <w:rFonts w:cstheme="minorHAnsi"/>
                <w:b/>
              </w:rPr>
              <w:t>2013</w:t>
            </w:r>
          </w:p>
        </w:tc>
      </w:tr>
      <w:tr w:rsidR="00FD1BFB" w:rsidRPr="005308A9" w14:paraId="43FBDE29" w14:textId="77777777" w:rsidTr="002F13CF">
        <w:tc>
          <w:tcPr>
            <w:tcW w:w="2808" w:type="dxa"/>
          </w:tcPr>
          <w:p w14:paraId="111D7EB6" w14:textId="4DC7B0D5" w:rsidR="00FD1BFB" w:rsidRPr="002F13CF" w:rsidRDefault="00FD1BFB" w:rsidP="0062217A">
            <w:pPr>
              <w:keepNext/>
              <w:keepLines/>
              <w:rPr>
                <w:rFonts w:cstheme="minorHAnsi"/>
                <w:b/>
              </w:rPr>
            </w:pPr>
            <w:r w:rsidRPr="002F13CF">
              <w:rPr>
                <w:rFonts w:cstheme="minorHAnsi"/>
                <w:b/>
              </w:rPr>
              <w:t>(1)  Small Business</w:t>
            </w:r>
          </w:p>
        </w:tc>
        <w:tc>
          <w:tcPr>
            <w:tcW w:w="990" w:type="dxa"/>
            <w:tcBorders>
              <w:right w:val="single" w:sz="12" w:space="0" w:color="auto"/>
            </w:tcBorders>
          </w:tcPr>
          <w:p w14:paraId="204B7634" w14:textId="5037A273" w:rsidR="00FD1BFB" w:rsidRPr="002F13CF" w:rsidRDefault="00FD1BFB" w:rsidP="00FD1BFB">
            <w:pPr>
              <w:keepNext/>
              <w:keepLines/>
              <w:jc w:val="center"/>
              <w:rPr>
                <w:rFonts w:cstheme="minorHAnsi"/>
              </w:rPr>
            </w:pPr>
            <w:r w:rsidRPr="002F13CF">
              <w:rPr>
                <w:rFonts w:cstheme="minorHAnsi"/>
              </w:rPr>
              <w:t>7%</w:t>
            </w:r>
          </w:p>
        </w:tc>
        <w:tc>
          <w:tcPr>
            <w:tcW w:w="1080" w:type="dxa"/>
            <w:tcBorders>
              <w:left w:val="single" w:sz="12" w:space="0" w:color="auto"/>
              <w:right w:val="single" w:sz="18" w:space="0" w:color="auto"/>
            </w:tcBorders>
          </w:tcPr>
          <w:p w14:paraId="191F827E" w14:textId="19566FA0" w:rsidR="00FD1BFB" w:rsidRPr="002F13CF" w:rsidRDefault="00FD1BFB" w:rsidP="0062217A">
            <w:pPr>
              <w:keepNext/>
              <w:keepLines/>
              <w:jc w:val="center"/>
              <w:rPr>
                <w:rFonts w:cstheme="minorHAnsi"/>
              </w:rPr>
            </w:pPr>
            <w:r w:rsidRPr="002F13CF">
              <w:rPr>
                <w:rFonts w:cstheme="minorHAnsi"/>
              </w:rPr>
              <w:t>9%</w:t>
            </w:r>
          </w:p>
        </w:tc>
        <w:tc>
          <w:tcPr>
            <w:tcW w:w="990" w:type="dxa"/>
            <w:tcBorders>
              <w:left w:val="single" w:sz="18" w:space="0" w:color="auto"/>
              <w:right w:val="single" w:sz="12" w:space="0" w:color="auto"/>
            </w:tcBorders>
          </w:tcPr>
          <w:p w14:paraId="23CE749C" w14:textId="1E1E2C29" w:rsidR="00FD1BFB" w:rsidRPr="002F13CF" w:rsidRDefault="00FD1BFB" w:rsidP="00FD1BFB">
            <w:pPr>
              <w:keepNext/>
              <w:keepLines/>
              <w:jc w:val="center"/>
              <w:rPr>
                <w:rFonts w:cstheme="minorHAnsi"/>
              </w:rPr>
            </w:pPr>
            <w:r w:rsidRPr="002F13CF">
              <w:rPr>
                <w:rFonts w:cstheme="minorHAnsi"/>
              </w:rPr>
              <w:t>21%</w:t>
            </w:r>
          </w:p>
        </w:tc>
        <w:tc>
          <w:tcPr>
            <w:tcW w:w="990" w:type="dxa"/>
            <w:tcBorders>
              <w:left w:val="single" w:sz="12" w:space="0" w:color="auto"/>
              <w:right w:val="single" w:sz="18" w:space="0" w:color="auto"/>
            </w:tcBorders>
          </w:tcPr>
          <w:p w14:paraId="68CB857D" w14:textId="6027770D" w:rsidR="00FD1BFB" w:rsidRPr="002F13CF" w:rsidRDefault="00FD1BFB" w:rsidP="00FD1BFB">
            <w:pPr>
              <w:keepNext/>
              <w:keepLines/>
              <w:jc w:val="center"/>
              <w:rPr>
                <w:rFonts w:cstheme="minorHAnsi"/>
              </w:rPr>
            </w:pPr>
            <w:r w:rsidRPr="002F13CF">
              <w:rPr>
                <w:rFonts w:cstheme="minorHAnsi"/>
              </w:rPr>
              <w:t>23%</w:t>
            </w:r>
          </w:p>
        </w:tc>
        <w:tc>
          <w:tcPr>
            <w:tcW w:w="990" w:type="dxa"/>
            <w:tcBorders>
              <w:left w:val="single" w:sz="18" w:space="0" w:color="auto"/>
              <w:right w:val="single" w:sz="12" w:space="0" w:color="auto"/>
            </w:tcBorders>
          </w:tcPr>
          <w:p w14:paraId="6DD746CF" w14:textId="07CBA36C" w:rsidR="00FD1BFB" w:rsidRPr="002F13CF" w:rsidRDefault="00FD1BFB" w:rsidP="00FD1BFB">
            <w:pPr>
              <w:keepNext/>
              <w:keepLines/>
              <w:jc w:val="center"/>
              <w:rPr>
                <w:rFonts w:cstheme="minorHAnsi"/>
              </w:rPr>
            </w:pPr>
            <w:r w:rsidRPr="002F13CF">
              <w:rPr>
                <w:rFonts w:cstheme="minorHAnsi"/>
              </w:rPr>
              <w:t>17%</w:t>
            </w:r>
          </w:p>
        </w:tc>
        <w:tc>
          <w:tcPr>
            <w:tcW w:w="1080" w:type="dxa"/>
            <w:tcBorders>
              <w:left w:val="single" w:sz="12" w:space="0" w:color="auto"/>
            </w:tcBorders>
          </w:tcPr>
          <w:p w14:paraId="69B4465A" w14:textId="011AD1FA" w:rsidR="00FD1BFB" w:rsidRPr="002F13CF" w:rsidRDefault="00FD1BFB" w:rsidP="00FD1BFB">
            <w:pPr>
              <w:keepNext/>
              <w:keepLines/>
              <w:jc w:val="center"/>
              <w:rPr>
                <w:rFonts w:cstheme="minorHAnsi"/>
              </w:rPr>
            </w:pPr>
            <w:r w:rsidRPr="002F13CF">
              <w:rPr>
                <w:rFonts w:cstheme="minorHAnsi"/>
              </w:rPr>
              <w:t>19%</w:t>
            </w:r>
          </w:p>
        </w:tc>
      </w:tr>
      <w:tr w:rsidR="00FD1BFB" w:rsidRPr="005308A9" w14:paraId="67CB32BF" w14:textId="77777777" w:rsidTr="002F13CF">
        <w:tc>
          <w:tcPr>
            <w:tcW w:w="2808" w:type="dxa"/>
          </w:tcPr>
          <w:p w14:paraId="3086A137" w14:textId="77777777" w:rsidR="00FD1BFB" w:rsidRPr="002F13CF" w:rsidRDefault="00FD1BFB" w:rsidP="0062217A">
            <w:pPr>
              <w:keepNext/>
              <w:keepLines/>
              <w:rPr>
                <w:rFonts w:cstheme="minorHAnsi"/>
                <w:b/>
              </w:rPr>
            </w:pPr>
            <w:r w:rsidRPr="002F13CF">
              <w:rPr>
                <w:rFonts w:cstheme="minorHAnsi"/>
                <w:b/>
              </w:rPr>
              <w:t>(2) Not Small Business</w:t>
            </w:r>
          </w:p>
        </w:tc>
        <w:tc>
          <w:tcPr>
            <w:tcW w:w="990" w:type="dxa"/>
            <w:tcBorders>
              <w:right w:val="single" w:sz="12" w:space="0" w:color="auto"/>
            </w:tcBorders>
          </w:tcPr>
          <w:p w14:paraId="2C813FA0" w14:textId="5EF51E2A" w:rsidR="00FD1BFB" w:rsidRPr="002F13CF" w:rsidRDefault="00FD1BFB" w:rsidP="00FD1BFB">
            <w:pPr>
              <w:keepNext/>
              <w:keepLines/>
              <w:jc w:val="center"/>
              <w:rPr>
                <w:rFonts w:cstheme="minorHAnsi"/>
              </w:rPr>
            </w:pPr>
            <w:r w:rsidRPr="002F13CF">
              <w:rPr>
                <w:rFonts w:cstheme="minorHAnsi"/>
              </w:rPr>
              <w:t>28%</w:t>
            </w:r>
          </w:p>
        </w:tc>
        <w:tc>
          <w:tcPr>
            <w:tcW w:w="1080" w:type="dxa"/>
            <w:tcBorders>
              <w:left w:val="single" w:sz="12" w:space="0" w:color="auto"/>
              <w:right w:val="single" w:sz="18" w:space="0" w:color="auto"/>
            </w:tcBorders>
          </w:tcPr>
          <w:p w14:paraId="4880E5D7" w14:textId="02F740DF" w:rsidR="00FD1BFB" w:rsidRPr="002F13CF" w:rsidRDefault="00FD1BFB" w:rsidP="0062217A">
            <w:pPr>
              <w:keepNext/>
              <w:keepLines/>
              <w:jc w:val="center"/>
              <w:rPr>
                <w:rFonts w:cstheme="minorHAnsi"/>
              </w:rPr>
            </w:pPr>
            <w:r w:rsidRPr="002F13CF">
              <w:rPr>
                <w:rFonts w:cstheme="minorHAnsi"/>
              </w:rPr>
              <w:t>30%</w:t>
            </w:r>
          </w:p>
        </w:tc>
        <w:tc>
          <w:tcPr>
            <w:tcW w:w="990" w:type="dxa"/>
            <w:tcBorders>
              <w:left w:val="single" w:sz="18" w:space="0" w:color="auto"/>
              <w:right w:val="single" w:sz="12" w:space="0" w:color="auto"/>
            </w:tcBorders>
          </w:tcPr>
          <w:p w14:paraId="1BAE9759" w14:textId="6A7E4485" w:rsidR="00FD1BFB" w:rsidRPr="002F13CF" w:rsidRDefault="00FD1BFB" w:rsidP="00FD1BFB">
            <w:pPr>
              <w:keepNext/>
              <w:keepLines/>
              <w:jc w:val="center"/>
              <w:rPr>
                <w:rFonts w:cstheme="minorHAnsi"/>
              </w:rPr>
            </w:pPr>
            <w:r w:rsidRPr="002F13CF">
              <w:rPr>
                <w:rFonts w:cstheme="minorHAnsi"/>
              </w:rPr>
              <w:t>53%</w:t>
            </w:r>
          </w:p>
        </w:tc>
        <w:tc>
          <w:tcPr>
            <w:tcW w:w="990" w:type="dxa"/>
            <w:tcBorders>
              <w:left w:val="single" w:sz="12" w:space="0" w:color="auto"/>
              <w:right w:val="single" w:sz="18" w:space="0" w:color="auto"/>
            </w:tcBorders>
          </w:tcPr>
          <w:p w14:paraId="1E04CE2A" w14:textId="513FAF0E" w:rsidR="00FD1BFB" w:rsidRPr="002F13CF" w:rsidRDefault="00FD1BFB" w:rsidP="00FD1BFB">
            <w:pPr>
              <w:keepNext/>
              <w:keepLines/>
              <w:jc w:val="center"/>
              <w:rPr>
                <w:rFonts w:cstheme="minorHAnsi"/>
              </w:rPr>
            </w:pPr>
            <w:r w:rsidRPr="002F13CF">
              <w:rPr>
                <w:rFonts w:cstheme="minorHAnsi"/>
              </w:rPr>
              <w:t>64%</w:t>
            </w:r>
          </w:p>
        </w:tc>
        <w:tc>
          <w:tcPr>
            <w:tcW w:w="990" w:type="dxa"/>
            <w:tcBorders>
              <w:left w:val="single" w:sz="18" w:space="0" w:color="auto"/>
              <w:right w:val="single" w:sz="12" w:space="0" w:color="auto"/>
            </w:tcBorders>
          </w:tcPr>
          <w:p w14:paraId="136DF8A9" w14:textId="054FB980" w:rsidR="00FD1BFB" w:rsidRPr="002F13CF" w:rsidRDefault="00FD1BFB" w:rsidP="00FD1BFB">
            <w:pPr>
              <w:keepNext/>
              <w:keepLines/>
              <w:jc w:val="center"/>
              <w:rPr>
                <w:rFonts w:cstheme="minorHAnsi"/>
              </w:rPr>
            </w:pPr>
            <w:r w:rsidRPr="002F13CF">
              <w:rPr>
                <w:rFonts w:cstheme="minorHAnsi"/>
              </w:rPr>
              <w:t>54%</w:t>
            </w:r>
          </w:p>
        </w:tc>
        <w:tc>
          <w:tcPr>
            <w:tcW w:w="1080" w:type="dxa"/>
            <w:tcBorders>
              <w:left w:val="single" w:sz="12" w:space="0" w:color="auto"/>
            </w:tcBorders>
          </w:tcPr>
          <w:p w14:paraId="17C7D1E0" w14:textId="78B20406" w:rsidR="00FD1BFB" w:rsidRPr="002F13CF" w:rsidRDefault="00FD1BFB" w:rsidP="00FD1BFB">
            <w:pPr>
              <w:keepNext/>
              <w:keepLines/>
              <w:jc w:val="center"/>
              <w:rPr>
                <w:rFonts w:cstheme="minorHAnsi"/>
              </w:rPr>
            </w:pPr>
            <w:r w:rsidRPr="002F13CF">
              <w:rPr>
                <w:rFonts w:cstheme="minorHAnsi"/>
              </w:rPr>
              <w:t>54%</w:t>
            </w:r>
          </w:p>
        </w:tc>
      </w:tr>
      <w:tr w:rsidR="00FD1BFB" w:rsidRPr="005308A9" w14:paraId="638EA39D" w14:textId="77777777" w:rsidTr="002F13CF">
        <w:tc>
          <w:tcPr>
            <w:tcW w:w="2808" w:type="dxa"/>
            <w:tcBorders>
              <w:bottom w:val="thinThickSmallGap" w:sz="18" w:space="0" w:color="auto"/>
            </w:tcBorders>
          </w:tcPr>
          <w:p w14:paraId="7966C850" w14:textId="77777777" w:rsidR="00FD1BFB" w:rsidRPr="002F13CF" w:rsidRDefault="00FD1BFB" w:rsidP="0062217A">
            <w:pPr>
              <w:keepNext/>
              <w:keepLines/>
              <w:rPr>
                <w:rFonts w:cstheme="minorHAnsi"/>
                <w:b/>
              </w:rPr>
            </w:pPr>
            <w:r w:rsidRPr="002F13CF">
              <w:rPr>
                <w:rFonts w:cstheme="minorHAnsi"/>
                <w:b/>
              </w:rPr>
              <w:t>(3) Blank</w:t>
            </w:r>
          </w:p>
        </w:tc>
        <w:tc>
          <w:tcPr>
            <w:tcW w:w="990" w:type="dxa"/>
            <w:tcBorders>
              <w:bottom w:val="thinThickSmallGap" w:sz="18" w:space="0" w:color="auto"/>
              <w:right w:val="single" w:sz="12" w:space="0" w:color="auto"/>
            </w:tcBorders>
          </w:tcPr>
          <w:p w14:paraId="1259475F" w14:textId="359ABF7A" w:rsidR="00FD1BFB" w:rsidRPr="002F13CF" w:rsidRDefault="00FD1BFB" w:rsidP="00FD1BFB">
            <w:pPr>
              <w:keepNext/>
              <w:keepLines/>
              <w:jc w:val="center"/>
              <w:rPr>
                <w:rFonts w:cstheme="minorHAnsi"/>
              </w:rPr>
            </w:pPr>
            <w:r w:rsidRPr="002F13CF">
              <w:rPr>
                <w:rFonts w:cstheme="minorHAnsi"/>
              </w:rPr>
              <w:t>65%</w:t>
            </w:r>
          </w:p>
        </w:tc>
        <w:tc>
          <w:tcPr>
            <w:tcW w:w="1080" w:type="dxa"/>
            <w:tcBorders>
              <w:left w:val="single" w:sz="12" w:space="0" w:color="auto"/>
              <w:bottom w:val="thinThickSmallGap" w:sz="18" w:space="0" w:color="auto"/>
              <w:right w:val="single" w:sz="18" w:space="0" w:color="auto"/>
            </w:tcBorders>
          </w:tcPr>
          <w:p w14:paraId="3C55A077" w14:textId="3E1168FA" w:rsidR="00FD1BFB" w:rsidRPr="002F13CF" w:rsidRDefault="00FD1BFB" w:rsidP="0062217A">
            <w:pPr>
              <w:keepNext/>
              <w:keepLines/>
              <w:jc w:val="center"/>
              <w:rPr>
                <w:rFonts w:cstheme="minorHAnsi"/>
              </w:rPr>
            </w:pPr>
            <w:r w:rsidRPr="002F13CF">
              <w:rPr>
                <w:rFonts w:cstheme="minorHAnsi"/>
              </w:rPr>
              <w:t>61%</w:t>
            </w:r>
          </w:p>
        </w:tc>
        <w:tc>
          <w:tcPr>
            <w:tcW w:w="990" w:type="dxa"/>
            <w:tcBorders>
              <w:left w:val="single" w:sz="18" w:space="0" w:color="auto"/>
              <w:bottom w:val="thinThickSmallGap" w:sz="18" w:space="0" w:color="auto"/>
              <w:right w:val="single" w:sz="12" w:space="0" w:color="auto"/>
            </w:tcBorders>
          </w:tcPr>
          <w:p w14:paraId="77A6CCEF" w14:textId="60A1393E" w:rsidR="00FD1BFB" w:rsidRPr="002F13CF" w:rsidRDefault="00FD1BFB" w:rsidP="00FD1BFB">
            <w:pPr>
              <w:keepNext/>
              <w:keepLines/>
              <w:jc w:val="center"/>
              <w:rPr>
                <w:rFonts w:cstheme="minorHAnsi"/>
              </w:rPr>
            </w:pPr>
            <w:r w:rsidRPr="002F13CF">
              <w:rPr>
                <w:rFonts w:cstheme="minorHAnsi"/>
              </w:rPr>
              <w:t>14%</w:t>
            </w:r>
          </w:p>
        </w:tc>
        <w:tc>
          <w:tcPr>
            <w:tcW w:w="990" w:type="dxa"/>
            <w:tcBorders>
              <w:left w:val="single" w:sz="12" w:space="0" w:color="auto"/>
              <w:bottom w:val="thinThickSmallGap" w:sz="18" w:space="0" w:color="auto"/>
              <w:right w:val="single" w:sz="18" w:space="0" w:color="auto"/>
            </w:tcBorders>
          </w:tcPr>
          <w:p w14:paraId="0595B4F7" w14:textId="70B85ABA" w:rsidR="00FD1BFB" w:rsidRPr="002F13CF" w:rsidRDefault="00FD1BFB" w:rsidP="00FD1BFB">
            <w:pPr>
              <w:keepNext/>
              <w:keepLines/>
              <w:jc w:val="center"/>
              <w:rPr>
                <w:rFonts w:cstheme="minorHAnsi"/>
              </w:rPr>
            </w:pPr>
            <w:r w:rsidRPr="002F13CF">
              <w:rPr>
                <w:rFonts w:cstheme="minorHAnsi"/>
              </w:rPr>
              <w:t>13%</w:t>
            </w:r>
          </w:p>
        </w:tc>
        <w:tc>
          <w:tcPr>
            <w:tcW w:w="990" w:type="dxa"/>
            <w:tcBorders>
              <w:left w:val="single" w:sz="18" w:space="0" w:color="auto"/>
              <w:bottom w:val="thinThickSmallGap" w:sz="18" w:space="0" w:color="auto"/>
              <w:right w:val="single" w:sz="12" w:space="0" w:color="auto"/>
            </w:tcBorders>
          </w:tcPr>
          <w:p w14:paraId="13186248" w14:textId="53E49B67" w:rsidR="00FD1BFB" w:rsidRPr="002F13CF" w:rsidRDefault="00FD1BFB" w:rsidP="00FD1BFB">
            <w:pPr>
              <w:keepNext/>
              <w:keepLines/>
              <w:jc w:val="center"/>
              <w:rPr>
                <w:rFonts w:cstheme="minorHAnsi"/>
              </w:rPr>
            </w:pPr>
            <w:r w:rsidRPr="002F13CF">
              <w:rPr>
                <w:rFonts w:cstheme="minorHAnsi"/>
              </w:rPr>
              <w:t>30%</w:t>
            </w:r>
          </w:p>
        </w:tc>
        <w:tc>
          <w:tcPr>
            <w:tcW w:w="1080" w:type="dxa"/>
            <w:tcBorders>
              <w:left w:val="single" w:sz="12" w:space="0" w:color="auto"/>
              <w:bottom w:val="thinThickSmallGap" w:sz="18" w:space="0" w:color="auto"/>
            </w:tcBorders>
          </w:tcPr>
          <w:p w14:paraId="0BAC142C" w14:textId="366265F1" w:rsidR="00FD1BFB" w:rsidRPr="002F13CF" w:rsidRDefault="00FD1BFB" w:rsidP="00FD1BFB">
            <w:pPr>
              <w:keepNext/>
              <w:keepLines/>
              <w:jc w:val="center"/>
              <w:rPr>
                <w:rFonts w:cstheme="minorHAnsi"/>
              </w:rPr>
            </w:pPr>
            <w:r w:rsidRPr="002F13CF">
              <w:rPr>
                <w:rFonts w:cstheme="minorHAnsi"/>
              </w:rPr>
              <w:t>27%</w:t>
            </w:r>
          </w:p>
        </w:tc>
      </w:tr>
      <w:tr w:rsidR="00FD1BFB" w:rsidRPr="005308A9" w14:paraId="168D0DA2" w14:textId="77777777" w:rsidTr="002F13CF">
        <w:tc>
          <w:tcPr>
            <w:tcW w:w="2808" w:type="dxa"/>
            <w:tcBorders>
              <w:top w:val="thinThickSmallGap" w:sz="18" w:space="0" w:color="auto"/>
            </w:tcBorders>
          </w:tcPr>
          <w:p w14:paraId="7227B0BF" w14:textId="5679B4A1" w:rsidR="00FD1BFB" w:rsidRPr="002F13CF" w:rsidRDefault="00FD1BFB" w:rsidP="0062217A">
            <w:pPr>
              <w:keepNext/>
              <w:keepLines/>
              <w:rPr>
                <w:rFonts w:cstheme="minorHAnsi"/>
                <w:b/>
              </w:rPr>
            </w:pPr>
            <w:r w:rsidRPr="002F13CF">
              <w:rPr>
                <w:rFonts w:cstheme="minorHAnsi"/>
                <w:b/>
              </w:rPr>
              <w:t>Total Number</w:t>
            </w:r>
          </w:p>
        </w:tc>
        <w:tc>
          <w:tcPr>
            <w:tcW w:w="990" w:type="dxa"/>
            <w:tcBorders>
              <w:top w:val="thinThickSmallGap" w:sz="18" w:space="0" w:color="auto"/>
              <w:right w:val="single" w:sz="12" w:space="0" w:color="auto"/>
            </w:tcBorders>
          </w:tcPr>
          <w:p w14:paraId="657C7F99" w14:textId="246A6A1E" w:rsidR="00FD1BFB" w:rsidRPr="002F13CF" w:rsidRDefault="00FD1BFB" w:rsidP="0062217A">
            <w:pPr>
              <w:keepNext/>
              <w:keepLines/>
              <w:jc w:val="right"/>
              <w:rPr>
                <w:rFonts w:cstheme="minorHAnsi"/>
                <w:b/>
              </w:rPr>
            </w:pPr>
            <w:r w:rsidRPr="002F13CF">
              <w:rPr>
                <w:rFonts w:cstheme="minorHAnsi"/>
                <w:b/>
              </w:rPr>
              <w:t>4,049</w:t>
            </w:r>
          </w:p>
        </w:tc>
        <w:tc>
          <w:tcPr>
            <w:tcW w:w="1080" w:type="dxa"/>
            <w:tcBorders>
              <w:top w:val="thinThickSmallGap" w:sz="18" w:space="0" w:color="auto"/>
              <w:left w:val="single" w:sz="12" w:space="0" w:color="auto"/>
              <w:right w:val="single" w:sz="18" w:space="0" w:color="auto"/>
            </w:tcBorders>
          </w:tcPr>
          <w:p w14:paraId="21E96EBC" w14:textId="3EA4285E" w:rsidR="00FD1BFB" w:rsidRPr="002F13CF" w:rsidRDefault="00FD1BFB" w:rsidP="0062217A">
            <w:pPr>
              <w:keepNext/>
              <w:keepLines/>
              <w:jc w:val="right"/>
              <w:rPr>
                <w:rFonts w:cstheme="minorHAnsi"/>
                <w:b/>
              </w:rPr>
            </w:pPr>
            <w:r w:rsidRPr="002F13CF">
              <w:rPr>
                <w:rFonts w:cstheme="minorHAnsi"/>
                <w:b/>
              </w:rPr>
              <w:t>2,617</w:t>
            </w:r>
          </w:p>
        </w:tc>
        <w:tc>
          <w:tcPr>
            <w:tcW w:w="990" w:type="dxa"/>
            <w:tcBorders>
              <w:top w:val="thinThickSmallGap" w:sz="18" w:space="0" w:color="auto"/>
              <w:left w:val="single" w:sz="18" w:space="0" w:color="auto"/>
              <w:right w:val="single" w:sz="12" w:space="0" w:color="auto"/>
            </w:tcBorders>
          </w:tcPr>
          <w:p w14:paraId="13F3CF16" w14:textId="03857B48" w:rsidR="00FD1BFB" w:rsidRPr="002F13CF" w:rsidRDefault="00FD1BFB" w:rsidP="0062217A">
            <w:pPr>
              <w:keepNext/>
              <w:keepLines/>
              <w:jc w:val="right"/>
              <w:rPr>
                <w:rFonts w:cstheme="minorHAnsi"/>
                <w:b/>
              </w:rPr>
            </w:pPr>
            <w:r w:rsidRPr="002F13CF">
              <w:rPr>
                <w:rFonts w:cstheme="minorHAnsi"/>
                <w:b/>
              </w:rPr>
              <w:t>8,617</w:t>
            </w:r>
          </w:p>
        </w:tc>
        <w:tc>
          <w:tcPr>
            <w:tcW w:w="990" w:type="dxa"/>
            <w:tcBorders>
              <w:top w:val="thinThickSmallGap" w:sz="18" w:space="0" w:color="auto"/>
              <w:left w:val="single" w:sz="12" w:space="0" w:color="auto"/>
              <w:right w:val="single" w:sz="18" w:space="0" w:color="auto"/>
            </w:tcBorders>
          </w:tcPr>
          <w:p w14:paraId="6B98B0CC" w14:textId="0F4BEAF0" w:rsidR="00FD1BFB" w:rsidRPr="002F13CF" w:rsidRDefault="00FD1BFB" w:rsidP="0062217A">
            <w:pPr>
              <w:keepNext/>
              <w:keepLines/>
              <w:jc w:val="right"/>
              <w:rPr>
                <w:rFonts w:cstheme="minorHAnsi"/>
                <w:b/>
              </w:rPr>
            </w:pPr>
            <w:r w:rsidRPr="002F13CF">
              <w:rPr>
                <w:rFonts w:cstheme="minorHAnsi"/>
                <w:b/>
              </w:rPr>
              <w:t>5,487</w:t>
            </w:r>
          </w:p>
        </w:tc>
        <w:tc>
          <w:tcPr>
            <w:tcW w:w="990" w:type="dxa"/>
            <w:tcBorders>
              <w:top w:val="thinThickSmallGap" w:sz="18" w:space="0" w:color="auto"/>
              <w:left w:val="single" w:sz="18" w:space="0" w:color="auto"/>
              <w:right w:val="single" w:sz="12" w:space="0" w:color="auto"/>
            </w:tcBorders>
          </w:tcPr>
          <w:p w14:paraId="7437A227" w14:textId="6ACEA74C" w:rsidR="00FD1BFB" w:rsidRPr="002F13CF" w:rsidRDefault="00FD1BFB" w:rsidP="0062217A">
            <w:pPr>
              <w:keepNext/>
              <w:keepLines/>
              <w:jc w:val="right"/>
              <w:rPr>
                <w:rFonts w:cstheme="minorHAnsi"/>
                <w:b/>
              </w:rPr>
            </w:pPr>
            <w:r w:rsidRPr="002F13CF">
              <w:rPr>
                <w:rFonts w:cstheme="minorHAnsi"/>
                <w:b/>
              </w:rPr>
              <w:t>13,359</w:t>
            </w:r>
          </w:p>
        </w:tc>
        <w:tc>
          <w:tcPr>
            <w:tcW w:w="1080" w:type="dxa"/>
            <w:tcBorders>
              <w:top w:val="thinThickSmallGap" w:sz="18" w:space="0" w:color="auto"/>
              <w:left w:val="single" w:sz="12" w:space="0" w:color="auto"/>
            </w:tcBorders>
          </w:tcPr>
          <w:p w14:paraId="6E964975" w14:textId="17D0164F" w:rsidR="00FD1BFB" w:rsidRPr="002F13CF" w:rsidRDefault="00FD1BFB" w:rsidP="0062217A">
            <w:pPr>
              <w:keepNext/>
              <w:keepLines/>
              <w:jc w:val="right"/>
              <w:rPr>
                <w:rFonts w:cstheme="minorHAnsi"/>
              </w:rPr>
            </w:pPr>
            <w:r w:rsidRPr="002F13CF">
              <w:rPr>
                <w:rFonts w:cstheme="minorHAnsi"/>
                <w:b/>
              </w:rPr>
              <w:t>18,388</w:t>
            </w:r>
          </w:p>
        </w:tc>
      </w:tr>
    </w:tbl>
    <w:p w14:paraId="576786AB" w14:textId="77777777" w:rsidR="00315FCA" w:rsidRDefault="00315FCA" w:rsidP="0098250F">
      <w:pPr>
        <w:spacing w:line="480" w:lineRule="auto"/>
        <w:rPr>
          <w:rFonts w:ascii="Times New Roman" w:hAnsi="Times New Roman" w:cs="Times New Roman"/>
          <w:i/>
        </w:rPr>
      </w:pPr>
    </w:p>
    <w:p w14:paraId="5EA1C675" w14:textId="05BE20E5" w:rsidR="0043727C" w:rsidRDefault="00095A51" w:rsidP="0098250F">
      <w:pPr>
        <w:spacing w:line="480" w:lineRule="auto"/>
        <w:rPr>
          <w:rFonts w:ascii="Times New Roman" w:hAnsi="Times New Roman" w:cs="Times New Roman"/>
          <w:i/>
        </w:rPr>
      </w:pPr>
      <w:r>
        <w:rPr>
          <w:rFonts w:ascii="Times New Roman" w:hAnsi="Times New Roman" w:cs="Times New Roman"/>
          <w:i/>
        </w:rPr>
        <w:t>5</w:t>
      </w:r>
      <w:r w:rsidR="0043727C">
        <w:rPr>
          <w:rFonts w:ascii="Times New Roman" w:hAnsi="Times New Roman" w:cs="Times New Roman"/>
          <w:i/>
        </w:rPr>
        <w:t>.</w:t>
      </w:r>
      <w:r w:rsidR="0043727C">
        <w:rPr>
          <w:rFonts w:ascii="Times New Roman" w:hAnsi="Times New Roman" w:cs="Times New Roman"/>
          <w:i/>
        </w:rPr>
        <w:tab/>
      </w:r>
      <w:r>
        <w:rPr>
          <w:rFonts w:ascii="Times New Roman" w:hAnsi="Times New Roman" w:cs="Times New Roman"/>
          <w:i/>
        </w:rPr>
        <w:t xml:space="preserve">Are </w:t>
      </w:r>
      <w:r w:rsidR="0043727C">
        <w:rPr>
          <w:rFonts w:ascii="Times New Roman" w:hAnsi="Times New Roman" w:cs="Times New Roman"/>
          <w:i/>
        </w:rPr>
        <w:t>Assets Available</w:t>
      </w:r>
      <w:r w:rsidR="00685632">
        <w:rPr>
          <w:rFonts w:ascii="Times New Roman" w:hAnsi="Times New Roman" w:cs="Times New Roman"/>
          <w:i/>
        </w:rPr>
        <w:t xml:space="preserve"> for Distribution</w:t>
      </w:r>
      <w:r w:rsidR="0043727C">
        <w:rPr>
          <w:rFonts w:ascii="Times New Roman" w:hAnsi="Times New Roman" w:cs="Times New Roman"/>
          <w:i/>
        </w:rPr>
        <w:t>?</w:t>
      </w:r>
    </w:p>
    <w:p w14:paraId="7ED4B1E8" w14:textId="424BA67C" w:rsidR="000301B6" w:rsidRPr="0098250F" w:rsidRDefault="007B7086" w:rsidP="0043727C">
      <w:pPr>
        <w:spacing w:line="480" w:lineRule="auto"/>
        <w:ind w:firstLine="720"/>
        <w:rPr>
          <w:rFonts w:ascii="Times New Roman" w:hAnsi="Times New Roman" w:cs="Times New Roman"/>
        </w:rPr>
      </w:pPr>
      <w:r w:rsidRPr="0098250F">
        <w:rPr>
          <w:rFonts w:ascii="Times New Roman" w:hAnsi="Times New Roman" w:cs="Times New Roman"/>
        </w:rPr>
        <w:t xml:space="preserve">The </w:t>
      </w:r>
      <w:r w:rsidR="002F573D">
        <w:rPr>
          <w:rFonts w:ascii="Times New Roman" w:hAnsi="Times New Roman" w:cs="Times New Roman"/>
        </w:rPr>
        <w:t>PACER case reports contain</w:t>
      </w:r>
      <w:r>
        <w:rPr>
          <w:rFonts w:ascii="Times New Roman" w:hAnsi="Times New Roman" w:cs="Times New Roman"/>
        </w:rPr>
        <w:t xml:space="preserve"> a</w:t>
      </w:r>
      <w:r w:rsidR="002F573D">
        <w:rPr>
          <w:rFonts w:ascii="Times New Roman" w:hAnsi="Times New Roman" w:cs="Times New Roman"/>
        </w:rPr>
        <w:t>n “assets”</w:t>
      </w:r>
      <w:r>
        <w:rPr>
          <w:rFonts w:ascii="Times New Roman" w:hAnsi="Times New Roman" w:cs="Times New Roman"/>
        </w:rPr>
        <w:t xml:space="preserve"> field</w:t>
      </w:r>
      <w:r w:rsidR="002F573D">
        <w:rPr>
          <w:rFonts w:ascii="Times New Roman" w:hAnsi="Times New Roman" w:cs="Times New Roman"/>
        </w:rPr>
        <w:t>, m</w:t>
      </w:r>
      <w:r>
        <w:rPr>
          <w:rFonts w:ascii="Times New Roman" w:hAnsi="Times New Roman" w:cs="Times New Roman"/>
        </w:rPr>
        <w:t>arked “yes” or “no</w:t>
      </w:r>
      <w:r w:rsidR="002F573D">
        <w:rPr>
          <w:rFonts w:ascii="Times New Roman" w:hAnsi="Times New Roman" w:cs="Times New Roman"/>
        </w:rPr>
        <w:t>,</w:t>
      </w:r>
      <w:r>
        <w:rPr>
          <w:rFonts w:ascii="Times New Roman" w:hAnsi="Times New Roman" w:cs="Times New Roman"/>
        </w:rPr>
        <w:t xml:space="preserve">” that seems to correspond with whether the debtor checked a box on the bankruptcy petition </w:t>
      </w:r>
      <w:r w:rsidR="002F573D">
        <w:rPr>
          <w:rFonts w:ascii="Times New Roman" w:hAnsi="Times New Roman" w:cs="Times New Roman"/>
        </w:rPr>
        <w:t xml:space="preserve">indicating an expectation </w:t>
      </w:r>
      <w:r>
        <w:rPr>
          <w:rFonts w:ascii="Times New Roman" w:hAnsi="Times New Roman" w:cs="Times New Roman"/>
        </w:rPr>
        <w:t>that</w:t>
      </w:r>
      <w:r w:rsidRPr="0098250F">
        <w:rPr>
          <w:rFonts w:ascii="Times New Roman" w:hAnsi="Times New Roman" w:cs="Times New Roman"/>
        </w:rPr>
        <w:t xml:space="preserve"> </w:t>
      </w:r>
      <w:r w:rsidR="000301B6" w:rsidRPr="0098250F">
        <w:rPr>
          <w:rFonts w:ascii="Times New Roman" w:hAnsi="Times New Roman" w:cs="Times New Roman"/>
        </w:rPr>
        <w:t>“after any exempt property is excluded and administrative expenses paid, there will be no funds available for distribution to unsecured creditors.”</w:t>
      </w:r>
      <w:r w:rsidR="009A1A10">
        <w:rPr>
          <w:rStyle w:val="FootnoteReference"/>
          <w:rFonts w:ascii="Times New Roman" w:hAnsi="Times New Roman" w:cs="Times New Roman"/>
        </w:rPr>
        <w:footnoteReference w:id="72"/>
      </w:r>
      <w:r w:rsidR="000301B6" w:rsidRPr="0098250F">
        <w:rPr>
          <w:rFonts w:ascii="Times New Roman" w:hAnsi="Times New Roman" w:cs="Times New Roman"/>
        </w:rPr>
        <w:t xml:space="preserve"> </w:t>
      </w:r>
      <w:r w:rsidR="005304F0">
        <w:rPr>
          <w:rFonts w:ascii="Times New Roman" w:hAnsi="Times New Roman" w:cs="Times New Roman"/>
        </w:rPr>
        <w:t xml:space="preserve"> </w:t>
      </w:r>
      <w:r>
        <w:rPr>
          <w:rFonts w:ascii="Times New Roman" w:hAnsi="Times New Roman" w:cs="Times New Roman"/>
        </w:rPr>
        <w:t xml:space="preserve">The </w:t>
      </w:r>
      <w:r w:rsidR="000301B6" w:rsidRPr="0098250F">
        <w:rPr>
          <w:rFonts w:ascii="Times New Roman" w:hAnsi="Times New Roman" w:cs="Times New Roman"/>
        </w:rPr>
        <w:t>A</w:t>
      </w:r>
      <w:r w:rsidR="009A1A10">
        <w:rPr>
          <w:rFonts w:ascii="Times New Roman" w:hAnsi="Times New Roman" w:cs="Times New Roman"/>
        </w:rPr>
        <w:t>O</w:t>
      </w:r>
      <w:r w:rsidR="000301B6" w:rsidRPr="0098250F">
        <w:rPr>
          <w:rFonts w:ascii="Times New Roman" w:hAnsi="Times New Roman" w:cs="Times New Roman"/>
        </w:rPr>
        <w:t xml:space="preserve"> records such filings as “No Asset” cases, and </w:t>
      </w:r>
      <w:r>
        <w:rPr>
          <w:rFonts w:ascii="Times New Roman" w:hAnsi="Times New Roman" w:cs="Times New Roman"/>
        </w:rPr>
        <w:t>p</w:t>
      </w:r>
      <w:r w:rsidR="000301B6" w:rsidRPr="0098250F">
        <w:rPr>
          <w:rFonts w:ascii="Times New Roman" w:hAnsi="Times New Roman" w:cs="Times New Roman"/>
        </w:rPr>
        <w:t xml:space="preserve">rior studies have found that more than </w:t>
      </w:r>
      <w:r w:rsidR="00FF4C16">
        <w:rPr>
          <w:rFonts w:ascii="Times New Roman" w:hAnsi="Times New Roman" w:cs="Times New Roman"/>
        </w:rPr>
        <w:t>90</w:t>
      </w:r>
      <w:r w:rsidR="00042036">
        <w:rPr>
          <w:rFonts w:ascii="Times New Roman" w:hAnsi="Times New Roman" w:cs="Times New Roman"/>
        </w:rPr>
        <w:t>%</w:t>
      </w:r>
      <w:r w:rsidR="000301B6" w:rsidRPr="0098250F">
        <w:rPr>
          <w:rFonts w:ascii="Times New Roman" w:hAnsi="Times New Roman" w:cs="Times New Roman"/>
        </w:rPr>
        <w:t xml:space="preserve"> of </w:t>
      </w:r>
      <w:r w:rsidR="00AA091B">
        <w:rPr>
          <w:rFonts w:ascii="Times New Roman" w:hAnsi="Times New Roman" w:cs="Times New Roman"/>
        </w:rPr>
        <w:t>chapter</w:t>
      </w:r>
      <w:r w:rsidR="000301B6" w:rsidRPr="0098250F">
        <w:rPr>
          <w:rFonts w:ascii="Times New Roman" w:hAnsi="Times New Roman" w:cs="Times New Roman"/>
        </w:rPr>
        <w:t xml:space="preserve"> 7 filings</w:t>
      </w:r>
      <w:r w:rsidR="002F573D">
        <w:rPr>
          <w:rFonts w:ascii="Times New Roman" w:hAnsi="Times New Roman" w:cs="Times New Roman"/>
        </w:rPr>
        <w:t xml:space="preserve"> fall into th</w:t>
      </w:r>
      <w:r w:rsidR="009A1A10">
        <w:rPr>
          <w:rFonts w:ascii="Times New Roman" w:hAnsi="Times New Roman" w:cs="Times New Roman"/>
        </w:rPr>
        <w:t>is</w:t>
      </w:r>
      <w:r w:rsidR="002F573D">
        <w:rPr>
          <w:rFonts w:ascii="Times New Roman" w:hAnsi="Times New Roman" w:cs="Times New Roman"/>
        </w:rPr>
        <w:t xml:space="preserve"> category</w:t>
      </w:r>
      <w:r w:rsidR="00FF4C16">
        <w:rPr>
          <w:rFonts w:ascii="Times New Roman" w:hAnsi="Times New Roman" w:cs="Times New Roman"/>
        </w:rPr>
        <w:t>.</w:t>
      </w:r>
      <w:r w:rsidR="000301B6" w:rsidRPr="0098250F">
        <w:rPr>
          <w:rStyle w:val="FootnoteReference"/>
          <w:rFonts w:ascii="Times New Roman" w:hAnsi="Times New Roman" w:cs="Times New Roman"/>
        </w:rPr>
        <w:footnoteReference w:id="73"/>
      </w:r>
      <w:r w:rsidR="000301B6" w:rsidRPr="0098250F">
        <w:rPr>
          <w:rFonts w:ascii="Times New Roman" w:hAnsi="Times New Roman" w:cs="Times New Roman"/>
        </w:rPr>
        <w:t xml:space="preserve"> </w:t>
      </w:r>
      <w:r w:rsidR="00FF4C16">
        <w:rPr>
          <w:rFonts w:ascii="Times New Roman" w:hAnsi="Times New Roman" w:cs="Times New Roman"/>
        </w:rPr>
        <w:t xml:space="preserve">By comparison, </w:t>
      </w:r>
      <w:r w:rsidR="000301B6" w:rsidRPr="0098250F">
        <w:rPr>
          <w:rFonts w:ascii="Times New Roman" w:hAnsi="Times New Roman" w:cs="Times New Roman"/>
        </w:rPr>
        <w:t xml:space="preserve">both individual </w:t>
      </w:r>
      <w:r w:rsidR="00AA091B">
        <w:rPr>
          <w:rFonts w:ascii="Times New Roman" w:hAnsi="Times New Roman" w:cs="Times New Roman"/>
        </w:rPr>
        <w:t>chapter</w:t>
      </w:r>
      <w:r w:rsidR="000301B6" w:rsidRPr="0098250F">
        <w:rPr>
          <w:rFonts w:ascii="Times New Roman" w:hAnsi="Times New Roman" w:cs="Times New Roman"/>
        </w:rPr>
        <w:t xml:space="preserve"> 11 debtors and </w:t>
      </w:r>
      <w:r w:rsidR="00AA091B">
        <w:rPr>
          <w:rFonts w:ascii="Times New Roman" w:hAnsi="Times New Roman" w:cs="Times New Roman"/>
        </w:rPr>
        <w:t>chapter</w:t>
      </w:r>
      <w:r w:rsidR="000301B6" w:rsidRPr="0098250F">
        <w:rPr>
          <w:rFonts w:ascii="Times New Roman" w:hAnsi="Times New Roman" w:cs="Times New Roman"/>
        </w:rPr>
        <w:t xml:space="preserve"> 13 debtors a</w:t>
      </w:r>
      <w:r w:rsidR="009A1A10">
        <w:rPr>
          <w:rFonts w:ascii="Times New Roman" w:hAnsi="Times New Roman" w:cs="Times New Roman"/>
        </w:rPr>
        <w:t>re</w:t>
      </w:r>
      <w:r w:rsidR="000301B6" w:rsidRPr="0098250F">
        <w:rPr>
          <w:rFonts w:ascii="Times New Roman" w:hAnsi="Times New Roman" w:cs="Times New Roman"/>
        </w:rPr>
        <w:t xml:space="preserve"> very optimistic about their ability to pay at least something to unsecured creditors, and their optimism seems to be growing. In 2010, about </w:t>
      </w:r>
      <w:r w:rsidR="00FF4C16">
        <w:rPr>
          <w:rFonts w:ascii="Times New Roman" w:hAnsi="Times New Roman" w:cs="Times New Roman"/>
        </w:rPr>
        <w:t>86</w:t>
      </w:r>
      <w:r w:rsidR="00042036">
        <w:rPr>
          <w:rFonts w:ascii="Times New Roman" w:hAnsi="Times New Roman" w:cs="Times New Roman"/>
        </w:rPr>
        <w:t>%</w:t>
      </w:r>
      <w:r w:rsidR="000301B6" w:rsidRPr="0098250F">
        <w:rPr>
          <w:rFonts w:ascii="Times New Roman" w:hAnsi="Times New Roman" w:cs="Times New Roman"/>
        </w:rPr>
        <w:t xml:space="preserve"> of individual </w:t>
      </w:r>
      <w:r w:rsidR="00AA091B">
        <w:rPr>
          <w:rFonts w:ascii="Times New Roman" w:hAnsi="Times New Roman" w:cs="Times New Roman"/>
        </w:rPr>
        <w:t>chapter</w:t>
      </w:r>
      <w:r w:rsidR="000301B6" w:rsidRPr="0098250F">
        <w:rPr>
          <w:rFonts w:ascii="Times New Roman" w:hAnsi="Times New Roman" w:cs="Times New Roman"/>
        </w:rPr>
        <w:t xml:space="preserve"> 11 debtors and </w:t>
      </w:r>
      <w:r w:rsidR="00FF4C16">
        <w:rPr>
          <w:rFonts w:ascii="Times New Roman" w:hAnsi="Times New Roman" w:cs="Times New Roman"/>
        </w:rPr>
        <w:t>90</w:t>
      </w:r>
      <w:r w:rsidR="00042036">
        <w:rPr>
          <w:rFonts w:ascii="Times New Roman" w:hAnsi="Times New Roman" w:cs="Times New Roman"/>
        </w:rPr>
        <w:t>%</w:t>
      </w:r>
      <w:r w:rsidR="0098250F">
        <w:rPr>
          <w:rFonts w:ascii="Times New Roman" w:hAnsi="Times New Roman" w:cs="Times New Roman"/>
        </w:rPr>
        <w:t xml:space="preserve"> </w:t>
      </w:r>
      <w:r w:rsidR="000301B6" w:rsidRPr="0098250F">
        <w:rPr>
          <w:rFonts w:ascii="Times New Roman" w:hAnsi="Times New Roman" w:cs="Times New Roman"/>
        </w:rPr>
        <w:t xml:space="preserve">of </w:t>
      </w:r>
      <w:r w:rsidR="00AA091B">
        <w:rPr>
          <w:rFonts w:ascii="Times New Roman" w:hAnsi="Times New Roman" w:cs="Times New Roman"/>
        </w:rPr>
        <w:t>chapter</w:t>
      </w:r>
      <w:r w:rsidR="000301B6" w:rsidRPr="0098250F">
        <w:rPr>
          <w:rFonts w:ascii="Times New Roman" w:hAnsi="Times New Roman" w:cs="Times New Roman"/>
        </w:rPr>
        <w:t xml:space="preserve"> 13 debtors indicated that there would be assets available for general </w:t>
      </w:r>
      <w:r w:rsidR="009A1A10">
        <w:rPr>
          <w:rFonts w:ascii="Times New Roman" w:hAnsi="Times New Roman" w:cs="Times New Roman"/>
        </w:rPr>
        <w:t xml:space="preserve">unsecured </w:t>
      </w:r>
      <w:r w:rsidR="000301B6" w:rsidRPr="0098250F">
        <w:rPr>
          <w:rFonts w:ascii="Times New Roman" w:hAnsi="Times New Roman" w:cs="Times New Roman"/>
        </w:rPr>
        <w:t>creditors. In 2013</w:t>
      </w:r>
      <w:r w:rsidR="00FF4C16">
        <w:rPr>
          <w:rFonts w:ascii="Times New Roman" w:hAnsi="Times New Roman" w:cs="Times New Roman"/>
        </w:rPr>
        <w:t>,</w:t>
      </w:r>
      <w:r w:rsidR="000301B6" w:rsidRPr="0098250F">
        <w:rPr>
          <w:rFonts w:ascii="Times New Roman" w:hAnsi="Times New Roman" w:cs="Times New Roman"/>
        </w:rPr>
        <w:t xml:space="preserve"> these numbers rose to </w:t>
      </w:r>
      <w:r w:rsidR="00FF4C16">
        <w:rPr>
          <w:rFonts w:ascii="Times New Roman" w:hAnsi="Times New Roman" w:cs="Times New Roman"/>
        </w:rPr>
        <w:t>92</w:t>
      </w:r>
      <w:r w:rsidR="00042036">
        <w:rPr>
          <w:rFonts w:ascii="Times New Roman" w:hAnsi="Times New Roman" w:cs="Times New Roman"/>
        </w:rPr>
        <w:t>%</w:t>
      </w:r>
      <w:r w:rsidR="000301B6" w:rsidRPr="0098250F">
        <w:rPr>
          <w:rFonts w:ascii="Times New Roman" w:hAnsi="Times New Roman" w:cs="Times New Roman"/>
        </w:rPr>
        <w:t xml:space="preserve"> and </w:t>
      </w:r>
      <w:r w:rsidR="00FF4C16">
        <w:rPr>
          <w:rFonts w:ascii="Times New Roman" w:hAnsi="Times New Roman" w:cs="Times New Roman"/>
        </w:rPr>
        <w:t>94</w:t>
      </w:r>
      <w:r w:rsidR="00042036">
        <w:rPr>
          <w:rFonts w:ascii="Times New Roman" w:hAnsi="Times New Roman" w:cs="Times New Roman"/>
        </w:rPr>
        <w:t>%</w:t>
      </w:r>
      <w:r w:rsidR="00FF4C16">
        <w:rPr>
          <w:rFonts w:ascii="Times New Roman" w:hAnsi="Times New Roman" w:cs="Times New Roman"/>
        </w:rPr>
        <w:t>,</w:t>
      </w:r>
      <w:r w:rsidR="000301B6" w:rsidRPr="0098250F">
        <w:rPr>
          <w:rFonts w:ascii="Times New Roman" w:hAnsi="Times New Roman" w:cs="Times New Roman"/>
        </w:rPr>
        <w:t xml:space="preserve"> respectively.</w:t>
      </w:r>
      <w:r w:rsidR="00D5356C">
        <w:rPr>
          <w:rStyle w:val="FootnoteReference"/>
          <w:rFonts w:ascii="Times New Roman" w:hAnsi="Times New Roman" w:cs="Times New Roman"/>
        </w:rPr>
        <w:footnoteReference w:id="74"/>
      </w:r>
      <w:r w:rsidR="000301B6" w:rsidRPr="0098250F">
        <w:rPr>
          <w:rFonts w:ascii="Times New Roman" w:hAnsi="Times New Roman" w:cs="Times New Roman"/>
        </w:rPr>
        <w:t xml:space="preserve"> Whether this optimism was warranted is something we cannot tell from this data, but there are good reasons to be skeptical. At least two prior studies have found that most </w:t>
      </w:r>
      <w:r w:rsidR="00AA091B">
        <w:rPr>
          <w:rFonts w:ascii="Times New Roman" w:hAnsi="Times New Roman" w:cs="Times New Roman"/>
        </w:rPr>
        <w:t>chapter</w:t>
      </w:r>
      <w:r w:rsidR="000301B6" w:rsidRPr="0098250F">
        <w:rPr>
          <w:rFonts w:ascii="Times New Roman" w:hAnsi="Times New Roman" w:cs="Times New Roman"/>
        </w:rPr>
        <w:t xml:space="preserve"> 13 debtors pay nothing to unsecured creditors.</w:t>
      </w:r>
      <w:r w:rsidR="000301B6" w:rsidRPr="0098250F">
        <w:rPr>
          <w:rStyle w:val="FootnoteReference"/>
          <w:rFonts w:ascii="Times New Roman" w:hAnsi="Times New Roman" w:cs="Times New Roman"/>
        </w:rPr>
        <w:footnoteReference w:id="75"/>
      </w:r>
    </w:p>
    <w:p w14:paraId="40BA1EE5" w14:textId="5D0A0D3A" w:rsidR="000301B6" w:rsidRPr="0098250F" w:rsidRDefault="000301B6" w:rsidP="00AF5C87">
      <w:pPr>
        <w:keepNext/>
        <w:keepLines/>
        <w:spacing w:line="480" w:lineRule="auto"/>
        <w:ind w:left="720" w:firstLine="720"/>
        <w:rPr>
          <w:rFonts w:ascii="Times New Roman" w:hAnsi="Times New Roman" w:cs="Times New Roman"/>
          <w:b/>
        </w:rPr>
      </w:pPr>
      <w:r w:rsidRPr="0098250F">
        <w:rPr>
          <w:rFonts w:ascii="Times New Roman" w:hAnsi="Times New Roman" w:cs="Times New Roman"/>
          <w:b/>
        </w:rPr>
        <w:t xml:space="preserve">Table </w:t>
      </w:r>
      <w:r w:rsidR="00315FCA">
        <w:rPr>
          <w:rFonts w:ascii="Times New Roman" w:hAnsi="Times New Roman" w:cs="Times New Roman"/>
          <w:b/>
        </w:rPr>
        <w:t>7</w:t>
      </w:r>
      <w:r w:rsidRPr="0098250F">
        <w:rPr>
          <w:rFonts w:ascii="Times New Roman" w:hAnsi="Times New Roman" w:cs="Times New Roman"/>
          <w:b/>
        </w:rPr>
        <w:t>: Assets Available for General Creditors</w:t>
      </w:r>
      <w:r w:rsidR="00875E0B">
        <w:rPr>
          <w:rFonts w:ascii="Times New Roman" w:hAnsi="Times New Roman" w:cs="Times New Roman"/>
          <w:b/>
        </w:rPr>
        <w:t>—</w:t>
      </w:r>
      <w:r w:rsidR="0056738F">
        <w:rPr>
          <w:rFonts w:ascii="Times New Roman" w:hAnsi="Times New Roman" w:cs="Times New Roman"/>
          <w:b/>
        </w:rPr>
        <w:t>PACER Data</w:t>
      </w:r>
    </w:p>
    <w:tbl>
      <w:tblPr>
        <w:tblStyle w:val="TableGrid"/>
        <w:tblW w:w="0" w:type="auto"/>
        <w:tblLayout w:type="fixed"/>
        <w:tblLook w:val="04A0" w:firstRow="1" w:lastRow="0" w:firstColumn="1" w:lastColumn="0" w:noHBand="0" w:noVBand="1"/>
      </w:tblPr>
      <w:tblGrid>
        <w:gridCol w:w="3078"/>
        <w:gridCol w:w="1350"/>
        <w:gridCol w:w="1440"/>
        <w:gridCol w:w="1530"/>
        <w:gridCol w:w="1260"/>
      </w:tblGrid>
      <w:tr w:rsidR="009F3AB0" w:rsidRPr="00DC2EA3" w14:paraId="0BD4B064" w14:textId="77777777" w:rsidTr="00FD1BFB">
        <w:tc>
          <w:tcPr>
            <w:tcW w:w="3078" w:type="dxa"/>
            <w:vMerge w:val="restart"/>
            <w:tcBorders>
              <w:right w:val="single" w:sz="18" w:space="0" w:color="auto"/>
            </w:tcBorders>
          </w:tcPr>
          <w:p w14:paraId="3F401CB8" w14:textId="77777777" w:rsidR="009F3AB0" w:rsidRPr="00DC2EA3" w:rsidRDefault="009F3AB0" w:rsidP="00AF5C87">
            <w:pPr>
              <w:keepNext/>
              <w:keepLines/>
              <w:rPr>
                <w:rFonts w:ascii="Times New Roman" w:hAnsi="Times New Roman" w:cs="Times New Roman"/>
              </w:rPr>
            </w:pPr>
          </w:p>
        </w:tc>
        <w:tc>
          <w:tcPr>
            <w:tcW w:w="2790" w:type="dxa"/>
            <w:gridSpan w:val="2"/>
            <w:tcBorders>
              <w:left w:val="single" w:sz="18" w:space="0" w:color="auto"/>
              <w:bottom w:val="single" w:sz="12" w:space="0" w:color="auto"/>
              <w:right w:val="single" w:sz="18" w:space="0" w:color="auto"/>
            </w:tcBorders>
          </w:tcPr>
          <w:p w14:paraId="199A9D68" w14:textId="77777777" w:rsidR="009F3AB0" w:rsidRPr="00DC2EA3" w:rsidRDefault="009F3AB0" w:rsidP="00AF5C87">
            <w:pPr>
              <w:keepNext/>
              <w:keepLines/>
              <w:jc w:val="center"/>
              <w:rPr>
                <w:rFonts w:ascii="Times New Roman" w:hAnsi="Times New Roman" w:cs="Times New Roman"/>
                <w:b/>
              </w:rPr>
            </w:pPr>
            <w:r w:rsidRPr="00DC2EA3">
              <w:rPr>
                <w:rFonts w:ascii="Times New Roman" w:hAnsi="Times New Roman" w:cs="Times New Roman"/>
                <w:b/>
              </w:rPr>
              <w:t>Chapter 11</w:t>
            </w:r>
          </w:p>
        </w:tc>
        <w:tc>
          <w:tcPr>
            <w:tcW w:w="2790" w:type="dxa"/>
            <w:gridSpan w:val="2"/>
            <w:tcBorders>
              <w:left w:val="single" w:sz="18" w:space="0" w:color="auto"/>
              <w:bottom w:val="single" w:sz="12" w:space="0" w:color="auto"/>
            </w:tcBorders>
          </w:tcPr>
          <w:p w14:paraId="5B955B19" w14:textId="77777777" w:rsidR="009F3AB0" w:rsidRPr="00DC2EA3" w:rsidRDefault="009F3AB0" w:rsidP="00AF5C87">
            <w:pPr>
              <w:keepNext/>
              <w:keepLines/>
              <w:jc w:val="center"/>
              <w:rPr>
                <w:rFonts w:ascii="Times New Roman" w:hAnsi="Times New Roman" w:cs="Times New Roman"/>
                <w:b/>
              </w:rPr>
            </w:pPr>
            <w:r w:rsidRPr="00B20E78">
              <w:rPr>
                <w:rFonts w:ascii="Times New Roman" w:hAnsi="Times New Roman" w:cs="Times New Roman"/>
                <w:b/>
              </w:rPr>
              <w:t>Chapter 13</w:t>
            </w:r>
          </w:p>
        </w:tc>
      </w:tr>
      <w:tr w:rsidR="009F3AB0" w:rsidRPr="00DC2EA3" w14:paraId="4464A027" w14:textId="77777777" w:rsidTr="00FD1BFB">
        <w:tc>
          <w:tcPr>
            <w:tcW w:w="3078" w:type="dxa"/>
            <w:vMerge/>
            <w:tcBorders>
              <w:right w:val="single" w:sz="18" w:space="0" w:color="auto"/>
            </w:tcBorders>
          </w:tcPr>
          <w:p w14:paraId="797FABCA" w14:textId="77777777" w:rsidR="009F3AB0" w:rsidRPr="00DC2EA3" w:rsidRDefault="009F3AB0" w:rsidP="00AF5C87">
            <w:pPr>
              <w:keepNext/>
              <w:keepLines/>
              <w:rPr>
                <w:rFonts w:ascii="Times New Roman" w:hAnsi="Times New Roman" w:cs="Times New Roman"/>
                <w:b/>
              </w:rPr>
            </w:pPr>
          </w:p>
        </w:tc>
        <w:tc>
          <w:tcPr>
            <w:tcW w:w="1350" w:type="dxa"/>
            <w:tcBorders>
              <w:top w:val="single" w:sz="12" w:space="0" w:color="auto"/>
              <w:left w:val="single" w:sz="18" w:space="0" w:color="auto"/>
              <w:right w:val="single" w:sz="12" w:space="0" w:color="auto"/>
            </w:tcBorders>
          </w:tcPr>
          <w:p w14:paraId="31EE5ED1" w14:textId="77777777" w:rsidR="009F3AB0" w:rsidRPr="00DC2EA3" w:rsidRDefault="009F3AB0" w:rsidP="00AF5C87">
            <w:pPr>
              <w:keepNext/>
              <w:keepLines/>
              <w:jc w:val="center"/>
              <w:rPr>
                <w:rFonts w:ascii="Times New Roman" w:hAnsi="Times New Roman" w:cs="Times New Roman"/>
                <w:b/>
              </w:rPr>
            </w:pPr>
            <w:r w:rsidRPr="00DC2EA3">
              <w:rPr>
                <w:rFonts w:ascii="Times New Roman" w:hAnsi="Times New Roman" w:cs="Times New Roman"/>
                <w:b/>
              </w:rPr>
              <w:t>2010</w:t>
            </w:r>
          </w:p>
        </w:tc>
        <w:tc>
          <w:tcPr>
            <w:tcW w:w="1440" w:type="dxa"/>
            <w:tcBorders>
              <w:top w:val="single" w:sz="12" w:space="0" w:color="auto"/>
              <w:left w:val="single" w:sz="12" w:space="0" w:color="auto"/>
              <w:right w:val="single" w:sz="18" w:space="0" w:color="auto"/>
            </w:tcBorders>
          </w:tcPr>
          <w:p w14:paraId="20B84A46" w14:textId="77777777" w:rsidR="009F3AB0" w:rsidRPr="00DC2EA3" w:rsidRDefault="009F3AB0" w:rsidP="00AF5C87">
            <w:pPr>
              <w:keepNext/>
              <w:keepLines/>
              <w:jc w:val="center"/>
              <w:rPr>
                <w:rFonts w:ascii="Times New Roman" w:hAnsi="Times New Roman" w:cs="Times New Roman"/>
                <w:b/>
              </w:rPr>
            </w:pPr>
            <w:r w:rsidRPr="00DC2EA3">
              <w:rPr>
                <w:rFonts w:ascii="Times New Roman" w:hAnsi="Times New Roman" w:cs="Times New Roman"/>
                <w:b/>
              </w:rPr>
              <w:t>2013</w:t>
            </w:r>
          </w:p>
        </w:tc>
        <w:tc>
          <w:tcPr>
            <w:tcW w:w="1530" w:type="dxa"/>
            <w:tcBorders>
              <w:top w:val="single" w:sz="12" w:space="0" w:color="auto"/>
              <w:left w:val="single" w:sz="18" w:space="0" w:color="auto"/>
              <w:right w:val="single" w:sz="12" w:space="0" w:color="auto"/>
            </w:tcBorders>
          </w:tcPr>
          <w:p w14:paraId="59062ACE" w14:textId="77777777" w:rsidR="009F3AB0" w:rsidRPr="00DC2EA3" w:rsidRDefault="009F3AB0" w:rsidP="00AF5C87">
            <w:pPr>
              <w:keepNext/>
              <w:keepLines/>
              <w:jc w:val="center"/>
              <w:rPr>
                <w:rFonts w:ascii="Times New Roman" w:hAnsi="Times New Roman" w:cs="Times New Roman"/>
                <w:b/>
              </w:rPr>
            </w:pPr>
            <w:r w:rsidRPr="00DC2EA3">
              <w:rPr>
                <w:rFonts w:ascii="Times New Roman" w:hAnsi="Times New Roman" w:cs="Times New Roman"/>
                <w:b/>
              </w:rPr>
              <w:t>2010</w:t>
            </w:r>
          </w:p>
        </w:tc>
        <w:tc>
          <w:tcPr>
            <w:tcW w:w="1260" w:type="dxa"/>
            <w:tcBorders>
              <w:top w:val="single" w:sz="12" w:space="0" w:color="auto"/>
              <w:left w:val="single" w:sz="12" w:space="0" w:color="auto"/>
            </w:tcBorders>
          </w:tcPr>
          <w:p w14:paraId="5CA516B2" w14:textId="77777777" w:rsidR="009F3AB0" w:rsidRPr="00DC2EA3" w:rsidRDefault="009F3AB0" w:rsidP="00AF5C87">
            <w:pPr>
              <w:keepNext/>
              <w:keepLines/>
              <w:jc w:val="center"/>
              <w:rPr>
                <w:rFonts w:ascii="Times New Roman" w:hAnsi="Times New Roman" w:cs="Times New Roman"/>
                <w:b/>
              </w:rPr>
            </w:pPr>
            <w:r w:rsidRPr="00DC2EA3">
              <w:rPr>
                <w:rFonts w:ascii="Times New Roman" w:hAnsi="Times New Roman" w:cs="Times New Roman"/>
                <w:b/>
              </w:rPr>
              <w:t>2013</w:t>
            </w:r>
          </w:p>
        </w:tc>
      </w:tr>
      <w:tr w:rsidR="00FD1BFB" w:rsidRPr="00DC2EA3" w14:paraId="113AC1D7" w14:textId="756B568F" w:rsidTr="00FD1BFB">
        <w:tc>
          <w:tcPr>
            <w:tcW w:w="3078" w:type="dxa"/>
            <w:tcBorders>
              <w:top w:val="single" w:sz="18" w:space="0" w:color="auto"/>
              <w:right w:val="single" w:sz="18" w:space="0" w:color="auto"/>
            </w:tcBorders>
          </w:tcPr>
          <w:p w14:paraId="6360CAD0" w14:textId="4F237907" w:rsidR="00FD1BFB" w:rsidRPr="002F13CF" w:rsidRDefault="00FD1BFB" w:rsidP="00AF5C87">
            <w:pPr>
              <w:keepNext/>
              <w:keepLines/>
              <w:jc w:val="right"/>
              <w:rPr>
                <w:rFonts w:ascii="Times New Roman" w:hAnsi="Times New Roman" w:cs="Times New Roman"/>
                <w:b/>
              </w:rPr>
            </w:pPr>
            <w:r w:rsidRPr="002F13CF">
              <w:rPr>
                <w:rFonts w:ascii="Times New Roman" w:hAnsi="Times New Roman" w:cs="Times New Roman"/>
                <w:b/>
              </w:rPr>
              <w:t>No Asset</w:t>
            </w:r>
          </w:p>
        </w:tc>
        <w:tc>
          <w:tcPr>
            <w:tcW w:w="1350" w:type="dxa"/>
            <w:tcBorders>
              <w:top w:val="single" w:sz="18" w:space="0" w:color="auto"/>
              <w:left w:val="single" w:sz="18" w:space="0" w:color="auto"/>
              <w:right w:val="single" w:sz="12" w:space="0" w:color="auto"/>
            </w:tcBorders>
          </w:tcPr>
          <w:p w14:paraId="156A42BC" w14:textId="301B4A82" w:rsidR="00FD1BFB" w:rsidRPr="002F13CF" w:rsidRDefault="00FD1BFB" w:rsidP="00FD1BFB">
            <w:pPr>
              <w:keepNext/>
              <w:keepLines/>
              <w:jc w:val="center"/>
              <w:rPr>
                <w:rFonts w:ascii="Times New Roman" w:hAnsi="Times New Roman" w:cs="Times New Roman"/>
              </w:rPr>
            </w:pPr>
            <w:r w:rsidRPr="002F13CF">
              <w:rPr>
                <w:rFonts w:ascii="Times New Roman" w:hAnsi="Times New Roman" w:cs="Times New Roman"/>
              </w:rPr>
              <w:t>13%</w:t>
            </w:r>
          </w:p>
        </w:tc>
        <w:tc>
          <w:tcPr>
            <w:tcW w:w="1440" w:type="dxa"/>
            <w:tcBorders>
              <w:top w:val="single" w:sz="18" w:space="0" w:color="auto"/>
              <w:left w:val="single" w:sz="12" w:space="0" w:color="auto"/>
              <w:right w:val="single" w:sz="18" w:space="0" w:color="auto"/>
            </w:tcBorders>
          </w:tcPr>
          <w:p w14:paraId="6305F7DA" w14:textId="406EB24D" w:rsidR="00FD1BFB" w:rsidRPr="002F13CF" w:rsidRDefault="00FD1BFB" w:rsidP="00FD1BFB">
            <w:pPr>
              <w:keepNext/>
              <w:keepLines/>
              <w:jc w:val="center"/>
              <w:rPr>
                <w:rFonts w:ascii="Times New Roman" w:hAnsi="Times New Roman" w:cs="Times New Roman"/>
              </w:rPr>
            </w:pPr>
            <w:r w:rsidRPr="002F13CF">
              <w:rPr>
                <w:rFonts w:ascii="Times New Roman" w:hAnsi="Times New Roman" w:cs="Times New Roman"/>
              </w:rPr>
              <w:t>8%</w:t>
            </w:r>
          </w:p>
        </w:tc>
        <w:tc>
          <w:tcPr>
            <w:tcW w:w="1530" w:type="dxa"/>
            <w:tcBorders>
              <w:top w:val="single" w:sz="18" w:space="0" w:color="auto"/>
              <w:left w:val="single" w:sz="18" w:space="0" w:color="auto"/>
              <w:right w:val="single" w:sz="12" w:space="0" w:color="auto"/>
            </w:tcBorders>
          </w:tcPr>
          <w:p w14:paraId="013BCC27" w14:textId="6616B005" w:rsidR="00FD1BFB" w:rsidRPr="002F13CF" w:rsidRDefault="00FD1BFB" w:rsidP="00FD1BFB">
            <w:pPr>
              <w:keepNext/>
              <w:keepLines/>
              <w:jc w:val="center"/>
              <w:rPr>
                <w:rFonts w:ascii="Times New Roman" w:hAnsi="Times New Roman" w:cs="Times New Roman"/>
              </w:rPr>
            </w:pPr>
            <w:r w:rsidRPr="002F13CF">
              <w:rPr>
                <w:rFonts w:ascii="Times New Roman" w:hAnsi="Times New Roman" w:cs="Times New Roman"/>
              </w:rPr>
              <w:t>10%</w:t>
            </w:r>
          </w:p>
        </w:tc>
        <w:tc>
          <w:tcPr>
            <w:tcW w:w="1260" w:type="dxa"/>
            <w:tcBorders>
              <w:top w:val="single" w:sz="18" w:space="0" w:color="auto"/>
              <w:left w:val="single" w:sz="12" w:space="0" w:color="auto"/>
            </w:tcBorders>
          </w:tcPr>
          <w:p w14:paraId="2AC83CFA" w14:textId="4BC0881F" w:rsidR="00FD1BFB" w:rsidRPr="002F13CF" w:rsidRDefault="00FD1BFB" w:rsidP="00FD1BFB">
            <w:pPr>
              <w:keepNext/>
              <w:keepLines/>
              <w:jc w:val="center"/>
              <w:rPr>
                <w:rFonts w:ascii="Times New Roman" w:hAnsi="Times New Roman" w:cs="Times New Roman"/>
              </w:rPr>
            </w:pPr>
          </w:p>
          <w:p w14:paraId="31E49E84" w14:textId="672C5510" w:rsidR="00FD1BFB" w:rsidRPr="002F13CF" w:rsidRDefault="00FD1BFB" w:rsidP="00FD1BFB">
            <w:pPr>
              <w:keepNext/>
              <w:keepLines/>
              <w:jc w:val="center"/>
              <w:rPr>
                <w:rFonts w:ascii="Times New Roman" w:hAnsi="Times New Roman" w:cs="Times New Roman"/>
              </w:rPr>
            </w:pPr>
            <w:r w:rsidRPr="002F13CF">
              <w:rPr>
                <w:rFonts w:ascii="Times New Roman" w:hAnsi="Times New Roman" w:cs="Times New Roman"/>
              </w:rPr>
              <w:t>6%</w:t>
            </w:r>
          </w:p>
        </w:tc>
      </w:tr>
      <w:tr w:rsidR="00FD1BFB" w:rsidRPr="00DC2EA3" w14:paraId="7D3CB52E" w14:textId="73EB3F81" w:rsidTr="00FD1BFB">
        <w:tc>
          <w:tcPr>
            <w:tcW w:w="3078" w:type="dxa"/>
            <w:tcBorders>
              <w:right w:val="single" w:sz="18" w:space="0" w:color="auto"/>
            </w:tcBorders>
          </w:tcPr>
          <w:p w14:paraId="162B1B9E" w14:textId="32A38AB6" w:rsidR="00FD1BFB" w:rsidRPr="002F13CF" w:rsidRDefault="00FD1BFB" w:rsidP="00AF5C87">
            <w:pPr>
              <w:keepNext/>
              <w:keepLines/>
              <w:jc w:val="right"/>
              <w:rPr>
                <w:rFonts w:ascii="Times New Roman" w:hAnsi="Times New Roman" w:cs="Times New Roman"/>
                <w:b/>
              </w:rPr>
            </w:pPr>
            <w:r w:rsidRPr="002F13CF">
              <w:rPr>
                <w:rFonts w:ascii="Times New Roman" w:hAnsi="Times New Roman" w:cs="Times New Roman"/>
                <w:b/>
              </w:rPr>
              <w:t xml:space="preserve">Assets </w:t>
            </w:r>
          </w:p>
        </w:tc>
        <w:tc>
          <w:tcPr>
            <w:tcW w:w="1350" w:type="dxa"/>
            <w:tcBorders>
              <w:left w:val="single" w:sz="18" w:space="0" w:color="auto"/>
              <w:right w:val="single" w:sz="12" w:space="0" w:color="auto"/>
            </w:tcBorders>
          </w:tcPr>
          <w:p w14:paraId="34F1DC33" w14:textId="05EEB2AB" w:rsidR="00FD1BFB" w:rsidRPr="002F13CF" w:rsidRDefault="00FD1BFB" w:rsidP="00FD1BFB">
            <w:pPr>
              <w:keepNext/>
              <w:keepLines/>
              <w:jc w:val="center"/>
              <w:rPr>
                <w:rFonts w:ascii="Times New Roman" w:hAnsi="Times New Roman" w:cs="Times New Roman"/>
              </w:rPr>
            </w:pPr>
            <w:r w:rsidRPr="002F13CF">
              <w:rPr>
                <w:rFonts w:ascii="Times New Roman" w:hAnsi="Times New Roman" w:cs="Times New Roman"/>
              </w:rPr>
              <w:t>86%</w:t>
            </w:r>
          </w:p>
        </w:tc>
        <w:tc>
          <w:tcPr>
            <w:tcW w:w="1440" w:type="dxa"/>
            <w:tcBorders>
              <w:left w:val="single" w:sz="12" w:space="0" w:color="auto"/>
              <w:right w:val="single" w:sz="18" w:space="0" w:color="auto"/>
            </w:tcBorders>
          </w:tcPr>
          <w:p w14:paraId="2362F1DF" w14:textId="16B7905C" w:rsidR="00FD1BFB" w:rsidRPr="002F13CF" w:rsidRDefault="00FD1BFB" w:rsidP="00FD1BFB">
            <w:pPr>
              <w:keepNext/>
              <w:keepLines/>
              <w:jc w:val="center"/>
              <w:rPr>
                <w:rFonts w:ascii="Times New Roman" w:hAnsi="Times New Roman" w:cs="Times New Roman"/>
              </w:rPr>
            </w:pPr>
            <w:r w:rsidRPr="002F13CF">
              <w:rPr>
                <w:rFonts w:ascii="Times New Roman" w:hAnsi="Times New Roman" w:cs="Times New Roman"/>
              </w:rPr>
              <w:t>92%</w:t>
            </w:r>
          </w:p>
        </w:tc>
        <w:tc>
          <w:tcPr>
            <w:tcW w:w="1530" w:type="dxa"/>
            <w:tcBorders>
              <w:left w:val="single" w:sz="18" w:space="0" w:color="auto"/>
              <w:right w:val="single" w:sz="12" w:space="0" w:color="auto"/>
            </w:tcBorders>
          </w:tcPr>
          <w:p w14:paraId="4BBD455E" w14:textId="16BFC52E" w:rsidR="00FD1BFB" w:rsidRPr="002F13CF" w:rsidRDefault="00FD1BFB" w:rsidP="00FD1BFB">
            <w:pPr>
              <w:keepNext/>
              <w:keepLines/>
              <w:jc w:val="center"/>
              <w:rPr>
                <w:rFonts w:ascii="Times New Roman" w:hAnsi="Times New Roman" w:cs="Times New Roman"/>
              </w:rPr>
            </w:pPr>
            <w:r w:rsidRPr="002F13CF">
              <w:rPr>
                <w:rFonts w:ascii="Times New Roman" w:hAnsi="Times New Roman" w:cs="Times New Roman"/>
              </w:rPr>
              <w:t>90%</w:t>
            </w:r>
          </w:p>
        </w:tc>
        <w:tc>
          <w:tcPr>
            <w:tcW w:w="1260" w:type="dxa"/>
            <w:tcBorders>
              <w:left w:val="single" w:sz="12" w:space="0" w:color="auto"/>
            </w:tcBorders>
          </w:tcPr>
          <w:p w14:paraId="22F02EDA" w14:textId="701D9E3E" w:rsidR="00FD1BFB" w:rsidRPr="002F13CF" w:rsidRDefault="00FD1BFB" w:rsidP="00FD1BFB">
            <w:pPr>
              <w:keepNext/>
              <w:keepLines/>
              <w:jc w:val="center"/>
              <w:rPr>
                <w:rFonts w:ascii="Times New Roman" w:hAnsi="Times New Roman" w:cs="Times New Roman"/>
              </w:rPr>
            </w:pPr>
            <w:r w:rsidRPr="002F13CF">
              <w:rPr>
                <w:rFonts w:ascii="Times New Roman" w:hAnsi="Times New Roman" w:cs="Times New Roman"/>
              </w:rPr>
              <w:t>93%</w:t>
            </w:r>
          </w:p>
        </w:tc>
      </w:tr>
      <w:tr w:rsidR="00FD1BFB" w:rsidRPr="00DC2EA3" w14:paraId="34DDD5D8" w14:textId="1EE50709" w:rsidTr="00FD1BFB">
        <w:tc>
          <w:tcPr>
            <w:tcW w:w="3078" w:type="dxa"/>
            <w:tcBorders>
              <w:bottom w:val="thinThickSmallGap" w:sz="24" w:space="0" w:color="auto"/>
              <w:right w:val="single" w:sz="18" w:space="0" w:color="auto"/>
            </w:tcBorders>
          </w:tcPr>
          <w:p w14:paraId="1CFF9608" w14:textId="77777777" w:rsidR="00FD1BFB" w:rsidRPr="002F13CF" w:rsidRDefault="00FD1BFB" w:rsidP="00AF5C87">
            <w:pPr>
              <w:keepNext/>
              <w:keepLines/>
              <w:jc w:val="right"/>
              <w:rPr>
                <w:rFonts w:ascii="Times New Roman" w:hAnsi="Times New Roman" w:cs="Times New Roman"/>
                <w:b/>
              </w:rPr>
            </w:pPr>
            <w:r w:rsidRPr="002F13CF">
              <w:rPr>
                <w:rFonts w:ascii="Times New Roman" w:hAnsi="Times New Roman" w:cs="Times New Roman"/>
                <w:b/>
              </w:rPr>
              <w:t>Unknown or blank</w:t>
            </w:r>
          </w:p>
        </w:tc>
        <w:tc>
          <w:tcPr>
            <w:tcW w:w="1350" w:type="dxa"/>
            <w:tcBorders>
              <w:left w:val="single" w:sz="18" w:space="0" w:color="auto"/>
              <w:bottom w:val="thinThickSmallGap" w:sz="24" w:space="0" w:color="auto"/>
              <w:right w:val="single" w:sz="12" w:space="0" w:color="auto"/>
            </w:tcBorders>
          </w:tcPr>
          <w:p w14:paraId="5D8D8A32" w14:textId="24CBD7D3" w:rsidR="00FD1BFB" w:rsidRPr="002F13CF" w:rsidRDefault="00FD1BFB" w:rsidP="00FD1BFB">
            <w:pPr>
              <w:keepNext/>
              <w:keepLines/>
              <w:jc w:val="center"/>
              <w:rPr>
                <w:rFonts w:ascii="Times New Roman" w:hAnsi="Times New Roman" w:cs="Times New Roman"/>
              </w:rPr>
            </w:pPr>
            <w:r w:rsidRPr="002F13CF">
              <w:rPr>
                <w:rFonts w:ascii="Times New Roman" w:hAnsi="Times New Roman" w:cs="Times New Roman"/>
              </w:rPr>
              <w:t>.6%</w:t>
            </w:r>
          </w:p>
        </w:tc>
        <w:tc>
          <w:tcPr>
            <w:tcW w:w="1440" w:type="dxa"/>
            <w:tcBorders>
              <w:left w:val="single" w:sz="12" w:space="0" w:color="auto"/>
              <w:bottom w:val="thinThickSmallGap" w:sz="24" w:space="0" w:color="auto"/>
              <w:right w:val="single" w:sz="18" w:space="0" w:color="auto"/>
            </w:tcBorders>
          </w:tcPr>
          <w:p w14:paraId="63AD5812" w14:textId="663FBC6F" w:rsidR="00FD1BFB" w:rsidRPr="002F13CF" w:rsidRDefault="00FD1BFB" w:rsidP="00FD1BFB">
            <w:pPr>
              <w:keepNext/>
              <w:keepLines/>
              <w:jc w:val="center"/>
              <w:rPr>
                <w:rFonts w:ascii="Times New Roman" w:hAnsi="Times New Roman" w:cs="Times New Roman"/>
              </w:rPr>
            </w:pPr>
            <w:r w:rsidRPr="002F13CF">
              <w:rPr>
                <w:rFonts w:ascii="Times New Roman" w:hAnsi="Times New Roman" w:cs="Times New Roman"/>
              </w:rPr>
              <w:t>.05%</w:t>
            </w:r>
          </w:p>
        </w:tc>
        <w:tc>
          <w:tcPr>
            <w:tcW w:w="1530" w:type="dxa"/>
            <w:tcBorders>
              <w:left w:val="single" w:sz="18" w:space="0" w:color="auto"/>
              <w:bottom w:val="thinThickSmallGap" w:sz="24" w:space="0" w:color="auto"/>
              <w:right w:val="single" w:sz="12" w:space="0" w:color="auto"/>
            </w:tcBorders>
          </w:tcPr>
          <w:p w14:paraId="26581A42" w14:textId="0D4AC6D6" w:rsidR="00FD1BFB" w:rsidRPr="002F13CF" w:rsidRDefault="00FD1BFB" w:rsidP="00FD1BFB">
            <w:pPr>
              <w:keepNext/>
              <w:keepLines/>
              <w:jc w:val="center"/>
              <w:rPr>
                <w:rFonts w:ascii="Times New Roman" w:hAnsi="Times New Roman" w:cs="Times New Roman"/>
              </w:rPr>
            </w:pPr>
            <w:r w:rsidRPr="002F13CF">
              <w:rPr>
                <w:rFonts w:ascii="Times New Roman" w:hAnsi="Times New Roman" w:cs="Times New Roman"/>
              </w:rPr>
              <w:t>.05%</w:t>
            </w:r>
          </w:p>
        </w:tc>
        <w:tc>
          <w:tcPr>
            <w:tcW w:w="1260" w:type="dxa"/>
            <w:tcBorders>
              <w:left w:val="single" w:sz="12" w:space="0" w:color="auto"/>
              <w:bottom w:val="thinThickSmallGap" w:sz="24" w:space="0" w:color="auto"/>
            </w:tcBorders>
          </w:tcPr>
          <w:p w14:paraId="534B9F50" w14:textId="6AB0E9C8" w:rsidR="00FD1BFB" w:rsidRPr="002F13CF" w:rsidRDefault="00FD1BFB" w:rsidP="00FD1BFB">
            <w:pPr>
              <w:keepNext/>
              <w:keepLines/>
              <w:jc w:val="center"/>
              <w:rPr>
                <w:rFonts w:ascii="Times New Roman" w:hAnsi="Times New Roman" w:cs="Times New Roman"/>
              </w:rPr>
            </w:pPr>
            <w:r w:rsidRPr="002F13CF">
              <w:rPr>
                <w:rFonts w:ascii="Times New Roman" w:hAnsi="Times New Roman" w:cs="Times New Roman"/>
              </w:rPr>
              <w:t>.03%</w:t>
            </w:r>
          </w:p>
        </w:tc>
      </w:tr>
      <w:tr w:rsidR="00FD1BFB" w:rsidRPr="00DC2EA3" w14:paraId="07CA996C" w14:textId="30F4FA40" w:rsidTr="00FD1BFB">
        <w:tc>
          <w:tcPr>
            <w:tcW w:w="3078" w:type="dxa"/>
            <w:tcBorders>
              <w:top w:val="thinThickSmallGap" w:sz="24" w:space="0" w:color="auto"/>
              <w:right w:val="single" w:sz="18" w:space="0" w:color="auto"/>
            </w:tcBorders>
          </w:tcPr>
          <w:p w14:paraId="3D617E42" w14:textId="4083961C" w:rsidR="00FD1BFB" w:rsidRPr="002F13CF" w:rsidRDefault="00FD1BFB" w:rsidP="00AF5C87">
            <w:pPr>
              <w:keepLines/>
              <w:jc w:val="right"/>
              <w:rPr>
                <w:rFonts w:ascii="Times New Roman" w:hAnsi="Times New Roman" w:cs="Times New Roman"/>
                <w:b/>
              </w:rPr>
            </w:pPr>
            <w:r w:rsidRPr="002F13CF">
              <w:rPr>
                <w:rFonts w:ascii="Times New Roman" w:hAnsi="Times New Roman" w:cs="Times New Roman"/>
                <w:b/>
              </w:rPr>
              <w:t>Total Number</w:t>
            </w:r>
          </w:p>
        </w:tc>
        <w:tc>
          <w:tcPr>
            <w:tcW w:w="1350" w:type="dxa"/>
            <w:tcBorders>
              <w:top w:val="thinThickSmallGap" w:sz="24" w:space="0" w:color="auto"/>
              <w:left w:val="single" w:sz="18" w:space="0" w:color="auto"/>
              <w:right w:val="single" w:sz="12" w:space="0" w:color="auto"/>
            </w:tcBorders>
          </w:tcPr>
          <w:p w14:paraId="17739CF8" w14:textId="5342CE99" w:rsidR="00FD1BFB" w:rsidRPr="002F13CF" w:rsidRDefault="00FD1BFB" w:rsidP="00AF5C87">
            <w:pPr>
              <w:keepLines/>
              <w:jc w:val="right"/>
              <w:rPr>
                <w:rFonts w:ascii="Times New Roman" w:hAnsi="Times New Roman" w:cs="Times New Roman"/>
                <w:b/>
              </w:rPr>
            </w:pPr>
            <w:r w:rsidRPr="002F13CF">
              <w:rPr>
                <w:rFonts w:ascii="Times New Roman" w:hAnsi="Times New Roman" w:cs="Times New Roman"/>
                <w:b/>
              </w:rPr>
              <w:t>4,049</w:t>
            </w:r>
          </w:p>
        </w:tc>
        <w:tc>
          <w:tcPr>
            <w:tcW w:w="1440" w:type="dxa"/>
            <w:tcBorders>
              <w:top w:val="thinThickSmallGap" w:sz="24" w:space="0" w:color="auto"/>
              <w:left w:val="single" w:sz="12" w:space="0" w:color="auto"/>
              <w:right w:val="single" w:sz="18" w:space="0" w:color="auto"/>
            </w:tcBorders>
          </w:tcPr>
          <w:p w14:paraId="3FAAEC82" w14:textId="41F7A18F" w:rsidR="00FD1BFB" w:rsidRPr="002F13CF" w:rsidRDefault="00FD1BFB" w:rsidP="00AF5C87">
            <w:pPr>
              <w:keepLines/>
              <w:jc w:val="right"/>
              <w:rPr>
                <w:rFonts w:ascii="Times New Roman" w:hAnsi="Times New Roman" w:cs="Times New Roman"/>
                <w:b/>
              </w:rPr>
            </w:pPr>
            <w:r w:rsidRPr="002F13CF">
              <w:rPr>
                <w:rFonts w:ascii="Times New Roman" w:hAnsi="Times New Roman" w:cs="Times New Roman"/>
                <w:b/>
              </w:rPr>
              <w:t>2,617</w:t>
            </w:r>
          </w:p>
        </w:tc>
        <w:tc>
          <w:tcPr>
            <w:tcW w:w="1530" w:type="dxa"/>
            <w:tcBorders>
              <w:top w:val="thinThickSmallGap" w:sz="24" w:space="0" w:color="auto"/>
              <w:left w:val="single" w:sz="18" w:space="0" w:color="auto"/>
              <w:right w:val="single" w:sz="12" w:space="0" w:color="auto"/>
            </w:tcBorders>
          </w:tcPr>
          <w:p w14:paraId="3FC99F2D" w14:textId="72A1E135" w:rsidR="00FD1BFB" w:rsidRPr="002F13CF" w:rsidRDefault="00FD1BFB" w:rsidP="00AF5C87">
            <w:pPr>
              <w:keepLines/>
              <w:jc w:val="right"/>
              <w:rPr>
                <w:rFonts w:ascii="Times New Roman" w:hAnsi="Times New Roman" w:cs="Times New Roman"/>
                <w:b/>
              </w:rPr>
            </w:pPr>
            <w:r w:rsidRPr="002F13CF">
              <w:rPr>
                <w:rFonts w:ascii="Times New Roman" w:hAnsi="Times New Roman" w:cs="Times New Roman"/>
                <w:b/>
              </w:rPr>
              <w:t>406,495</w:t>
            </w:r>
          </w:p>
        </w:tc>
        <w:tc>
          <w:tcPr>
            <w:tcW w:w="1260" w:type="dxa"/>
            <w:tcBorders>
              <w:top w:val="thinThickSmallGap" w:sz="24" w:space="0" w:color="auto"/>
              <w:left w:val="single" w:sz="12" w:space="0" w:color="auto"/>
            </w:tcBorders>
          </w:tcPr>
          <w:p w14:paraId="41314364" w14:textId="5CE972DC" w:rsidR="00FD1BFB" w:rsidRPr="002F13CF" w:rsidRDefault="00FD1BFB" w:rsidP="00AF5C87">
            <w:pPr>
              <w:keepLines/>
              <w:jc w:val="right"/>
              <w:rPr>
                <w:rFonts w:ascii="Times New Roman" w:hAnsi="Times New Roman" w:cs="Times New Roman"/>
              </w:rPr>
            </w:pPr>
            <w:r w:rsidRPr="002F13CF">
              <w:rPr>
                <w:rFonts w:ascii="Times New Roman" w:hAnsi="Times New Roman" w:cs="Times New Roman"/>
                <w:b/>
              </w:rPr>
              <w:t>298,521</w:t>
            </w:r>
          </w:p>
        </w:tc>
      </w:tr>
    </w:tbl>
    <w:p w14:paraId="49EED4C8" w14:textId="77777777" w:rsidR="00315FCA" w:rsidRPr="00DC2EA3" w:rsidRDefault="00315FCA" w:rsidP="00FC5987">
      <w:pPr>
        <w:spacing w:line="480" w:lineRule="auto"/>
        <w:rPr>
          <w:rFonts w:ascii="Times New Roman" w:hAnsi="Times New Roman" w:cs="Times New Roman"/>
          <w:b/>
        </w:rPr>
      </w:pPr>
    </w:p>
    <w:p w14:paraId="0F402E58" w14:textId="2B678E17" w:rsidR="00245211" w:rsidRPr="0098250F" w:rsidRDefault="000301B6" w:rsidP="00FC5987">
      <w:pPr>
        <w:spacing w:line="480" w:lineRule="auto"/>
        <w:rPr>
          <w:rFonts w:ascii="Times New Roman" w:hAnsi="Times New Roman" w:cs="Times New Roman"/>
        </w:rPr>
      </w:pPr>
      <w:r w:rsidRPr="0098250F">
        <w:rPr>
          <w:rFonts w:ascii="Times New Roman" w:hAnsi="Times New Roman" w:cs="Times New Roman"/>
          <w:b/>
        </w:rPr>
        <w:t>B.</w:t>
      </w:r>
      <w:r w:rsidRPr="0098250F">
        <w:rPr>
          <w:rFonts w:ascii="Times New Roman" w:hAnsi="Times New Roman" w:cs="Times New Roman"/>
          <w:b/>
        </w:rPr>
        <w:tab/>
      </w:r>
      <w:r w:rsidR="00BE1E07" w:rsidRPr="0098250F">
        <w:rPr>
          <w:rFonts w:ascii="Times New Roman" w:hAnsi="Times New Roman" w:cs="Times New Roman"/>
          <w:b/>
        </w:rPr>
        <w:t>Attorneys</w:t>
      </w:r>
    </w:p>
    <w:p w14:paraId="53F76EF9" w14:textId="02D9CCE3" w:rsidR="00EE0E72" w:rsidRPr="0098250F" w:rsidRDefault="004341B1" w:rsidP="003B42E7">
      <w:pPr>
        <w:spacing w:line="480" w:lineRule="auto"/>
        <w:ind w:firstLine="720"/>
        <w:rPr>
          <w:rFonts w:ascii="Times New Roman" w:hAnsi="Times New Roman" w:cs="Times New Roman"/>
        </w:rPr>
      </w:pPr>
      <w:r w:rsidRPr="0098250F">
        <w:rPr>
          <w:rFonts w:ascii="Times New Roman" w:hAnsi="Times New Roman" w:cs="Times New Roman"/>
        </w:rPr>
        <w:t xml:space="preserve">PACER </w:t>
      </w:r>
      <w:r w:rsidR="00673DF2">
        <w:rPr>
          <w:rFonts w:ascii="Times New Roman" w:hAnsi="Times New Roman" w:cs="Times New Roman"/>
        </w:rPr>
        <w:t>c</w:t>
      </w:r>
      <w:r w:rsidR="00897E77" w:rsidRPr="0098250F">
        <w:rPr>
          <w:rFonts w:ascii="Times New Roman" w:hAnsi="Times New Roman" w:cs="Times New Roman"/>
        </w:rPr>
        <w:t xml:space="preserve">ase </w:t>
      </w:r>
      <w:r w:rsidR="00673DF2">
        <w:rPr>
          <w:rFonts w:ascii="Times New Roman" w:hAnsi="Times New Roman" w:cs="Times New Roman"/>
        </w:rPr>
        <w:t>r</w:t>
      </w:r>
      <w:r w:rsidR="00897E77" w:rsidRPr="0098250F">
        <w:rPr>
          <w:rFonts w:ascii="Times New Roman" w:hAnsi="Times New Roman" w:cs="Times New Roman"/>
        </w:rPr>
        <w:t>eports contain a field</w:t>
      </w:r>
      <w:r w:rsidRPr="0098250F">
        <w:rPr>
          <w:rFonts w:ascii="Times New Roman" w:hAnsi="Times New Roman" w:cs="Times New Roman"/>
        </w:rPr>
        <w:t xml:space="preserve"> that identifies the attorney for the debtor. We </w:t>
      </w:r>
      <w:r w:rsidR="003B42E7" w:rsidRPr="0098250F">
        <w:rPr>
          <w:rFonts w:ascii="Times New Roman" w:hAnsi="Times New Roman" w:cs="Times New Roman"/>
        </w:rPr>
        <w:t>use</w:t>
      </w:r>
      <w:r w:rsidR="008C726D">
        <w:rPr>
          <w:rFonts w:ascii="Times New Roman" w:hAnsi="Times New Roman" w:cs="Times New Roman"/>
        </w:rPr>
        <w:t>d</w:t>
      </w:r>
      <w:r w:rsidR="003B42E7" w:rsidRPr="0098250F">
        <w:rPr>
          <w:rFonts w:ascii="Times New Roman" w:hAnsi="Times New Roman" w:cs="Times New Roman"/>
        </w:rPr>
        <w:t xml:space="preserve"> this field to try to answer two questions:</w:t>
      </w:r>
      <w:r w:rsidR="00EE0E72" w:rsidRPr="0098250F">
        <w:rPr>
          <w:rFonts w:ascii="Times New Roman" w:hAnsi="Times New Roman" w:cs="Times New Roman"/>
        </w:rPr>
        <w:t xml:space="preserve"> </w:t>
      </w:r>
      <w:r w:rsidR="00775256">
        <w:rPr>
          <w:rFonts w:ascii="Times New Roman" w:hAnsi="Times New Roman" w:cs="Times New Roman"/>
        </w:rPr>
        <w:t>1</w:t>
      </w:r>
      <w:r w:rsidR="00EE0E72" w:rsidRPr="0098250F">
        <w:rPr>
          <w:rFonts w:ascii="Times New Roman" w:hAnsi="Times New Roman" w:cs="Times New Roman"/>
        </w:rPr>
        <w:t xml:space="preserve">) do attorneys who file </w:t>
      </w:r>
      <w:r w:rsidR="00775256">
        <w:rPr>
          <w:rFonts w:ascii="Times New Roman" w:hAnsi="Times New Roman" w:cs="Times New Roman"/>
        </w:rPr>
        <w:t>i</w:t>
      </w:r>
      <w:r w:rsidR="00EE0E72" w:rsidRPr="0098250F">
        <w:rPr>
          <w:rFonts w:ascii="Times New Roman" w:hAnsi="Times New Roman" w:cs="Times New Roman"/>
        </w:rPr>
        <w:t xml:space="preserve">ndividual </w:t>
      </w:r>
      <w:r w:rsidR="00AA091B">
        <w:rPr>
          <w:rFonts w:ascii="Times New Roman" w:hAnsi="Times New Roman" w:cs="Times New Roman"/>
        </w:rPr>
        <w:t>chapter</w:t>
      </w:r>
      <w:r w:rsidR="00EE0E72" w:rsidRPr="0098250F">
        <w:rPr>
          <w:rFonts w:ascii="Times New Roman" w:hAnsi="Times New Roman" w:cs="Times New Roman"/>
        </w:rPr>
        <w:t xml:space="preserve"> </w:t>
      </w:r>
      <w:r w:rsidR="002B1DBA">
        <w:rPr>
          <w:rFonts w:ascii="Times New Roman" w:hAnsi="Times New Roman" w:cs="Times New Roman"/>
        </w:rPr>
        <w:t xml:space="preserve">11 cases </w:t>
      </w:r>
      <w:r w:rsidR="00EE0E72" w:rsidRPr="0098250F">
        <w:rPr>
          <w:rFonts w:ascii="Times New Roman" w:hAnsi="Times New Roman" w:cs="Times New Roman"/>
        </w:rPr>
        <w:t>specialize in this work</w:t>
      </w:r>
      <w:r w:rsidR="00775256">
        <w:rPr>
          <w:rFonts w:ascii="Times New Roman" w:hAnsi="Times New Roman" w:cs="Times New Roman"/>
        </w:rPr>
        <w:t>?</w:t>
      </w:r>
      <w:r w:rsidR="00EE0E72" w:rsidRPr="0098250F">
        <w:rPr>
          <w:rFonts w:ascii="Times New Roman" w:hAnsi="Times New Roman" w:cs="Times New Roman"/>
        </w:rPr>
        <w:t xml:space="preserve"> and </w:t>
      </w:r>
      <w:r w:rsidR="00775256">
        <w:rPr>
          <w:rFonts w:ascii="Times New Roman" w:hAnsi="Times New Roman" w:cs="Times New Roman"/>
        </w:rPr>
        <w:t>2</w:t>
      </w:r>
      <w:r w:rsidR="003B42E7" w:rsidRPr="0098250F">
        <w:rPr>
          <w:rFonts w:ascii="Times New Roman" w:hAnsi="Times New Roman" w:cs="Times New Roman"/>
        </w:rPr>
        <w:t xml:space="preserve">) how often do individuals file </w:t>
      </w:r>
      <w:r w:rsidR="00AA091B">
        <w:rPr>
          <w:rFonts w:ascii="Times New Roman" w:hAnsi="Times New Roman" w:cs="Times New Roman"/>
        </w:rPr>
        <w:t>chapter</w:t>
      </w:r>
      <w:r w:rsidR="003B42E7" w:rsidRPr="0098250F">
        <w:rPr>
          <w:rFonts w:ascii="Times New Roman" w:hAnsi="Times New Roman" w:cs="Times New Roman"/>
        </w:rPr>
        <w:t xml:space="preserve"> 11 pro se</w:t>
      </w:r>
      <w:r w:rsidR="00775256">
        <w:rPr>
          <w:rFonts w:ascii="Times New Roman" w:hAnsi="Times New Roman" w:cs="Times New Roman"/>
        </w:rPr>
        <w:t>?</w:t>
      </w:r>
      <w:r w:rsidR="003B42E7" w:rsidRPr="0098250F">
        <w:rPr>
          <w:rFonts w:ascii="Times New Roman" w:hAnsi="Times New Roman" w:cs="Times New Roman"/>
        </w:rPr>
        <w:t xml:space="preserve"> Unfortunately, this field often contains multiple pieces of information, such as the attorney of</w:t>
      </w:r>
      <w:r w:rsidR="00EE0E72" w:rsidRPr="0098250F">
        <w:rPr>
          <w:rFonts w:ascii="Times New Roman" w:hAnsi="Times New Roman" w:cs="Times New Roman"/>
        </w:rPr>
        <w:t xml:space="preserve"> the debtor, the attorney for a </w:t>
      </w:r>
      <w:r w:rsidR="003B42E7" w:rsidRPr="0098250F">
        <w:rPr>
          <w:rFonts w:ascii="Times New Roman" w:hAnsi="Times New Roman" w:cs="Times New Roman"/>
        </w:rPr>
        <w:t>co-debtor, and (occasionally) an attorney for a bankruptcy administrator.</w:t>
      </w:r>
      <w:bookmarkStart w:id="12" w:name="_Ref333754949"/>
      <w:r w:rsidR="00F73BB9">
        <w:rPr>
          <w:rStyle w:val="FootnoteReference"/>
          <w:rFonts w:ascii="Times New Roman" w:hAnsi="Times New Roman" w:cs="Times New Roman"/>
        </w:rPr>
        <w:footnoteReference w:id="76"/>
      </w:r>
      <w:bookmarkEnd w:id="12"/>
    </w:p>
    <w:p w14:paraId="102D17D5" w14:textId="5F84D43A" w:rsidR="00EE0E72" w:rsidRDefault="00EE0E72" w:rsidP="00EE0E72">
      <w:pPr>
        <w:spacing w:line="480" w:lineRule="auto"/>
        <w:ind w:firstLine="720"/>
        <w:rPr>
          <w:rFonts w:ascii="Times New Roman" w:hAnsi="Times New Roman" w:cs="Times New Roman"/>
        </w:rPr>
      </w:pPr>
      <w:r w:rsidRPr="0098250F">
        <w:rPr>
          <w:rFonts w:ascii="Times New Roman" w:hAnsi="Times New Roman" w:cs="Times New Roman"/>
        </w:rPr>
        <w:t xml:space="preserve">To identify the attorneys who file </w:t>
      </w:r>
      <w:r w:rsidR="00775256">
        <w:rPr>
          <w:rFonts w:ascii="Times New Roman" w:hAnsi="Times New Roman" w:cs="Times New Roman"/>
        </w:rPr>
        <w:t>i</w:t>
      </w:r>
      <w:r w:rsidRPr="0098250F">
        <w:rPr>
          <w:rFonts w:ascii="Times New Roman" w:hAnsi="Times New Roman" w:cs="Times New Roman"/>
        </w:rPr>
        <w:t xml:space="preserve">ndividual </w:t>
      </w:r>
      <w:r w:rsidR="00AA091B">
        <w:rPr>
          <w:rFonts w:ascii="Times New Roman" w:hAnsi="Times New Roman" w:cs="Times New Roman"/>
        </w:rPr>
        <w:t>chapter</w:t>
      </w:r>
      <w:r w:rsidRPr="0098250F">
        <w:rPr>
          <w:rFonts w:ascii="Times New Roman" w:hAnsi="Times New Roman" w:cs="Times New Roman"/>
        </w:rPr>
        <w:t xml:space="preserve"> </w:t>
      </w:r>
      <w:r w:rsidR="002B1DBA">
        <w:rPr>
          <w:rFonts w:ascii="Times New Roman" w:hAnsi="Times New Roman" w:cs="Times New Roman"/>
        </w:rPr>
        <w:t xml:space="preserve">11 </w:t>
      </w:r>
      <w:r w:rsidR="00DF7E24">
        <w:rPr>
          <w:rFonts w:ascii="Times New Roman" w:hAnsi="Times New Roman" w:cs="Times New Roman"/>
        </w:rPr>
        <w:t>cases,</w:t>
      </w:r>
      <w:r w:rsidRPr="0098250F">
        <w:rPr>
          <w:rFonts w:ascii="Times New Roman" w:hAnsi="Times New Roman" w:cs="Times New Roman"/>
        </w:rPr>
        <w:t xml:space="preserve"> we </w:t>
      </w:r>
      <w:r w:rsidR="0050146B">
        <w:rPr>
          <w:rFonts w:ascii="Times New Roman" w:hAnsi="Times New Roman" w:cs="Times New Roman"/>
        </w:rPr>
        <w:t xml:space="preserve">used our statistical package to identify the names that </w:t>
      </w:r>
      <w:r w:rsidRPr="0098250F">
        <w:rPr>
          <w:rFonts w:ascii="Times New Roman" w:hAnsi="Times New Roman" w:cs="Times New Roman"/>
        </w:rPr>
        <w:t>followed the phrases “attorney for debtor,” “attorney for debtor in possession</w:t>
      </w:r>
      <w:r w:rsidR="002F573D">
        <w:rPr>
          <w:rFonts w:ascii="Times New Roman" w:hAnsi="Times New Roman" w:cs="Times New Roman"/>
        </w:rPr>
        <w:t>,</w:t>
      </w:r>
      <w:r w:rsidRPr="0098250F">
        <w:rPr>
          <w:rFonts w:ascii="Times New Roman" w:hAnsi="Times New Roman" w:cs="Times New Roman"/>
        </w:rPr>
        <w:t>” “attorney for joint debtor</w:t>
      </w:r>
      <w:r w:rsidR="002F573D">
        <w:rPr>
          <w:rFonts w:ascii="Times New Roman" w:hAnsi="Times New Roman" w:cs="Times New Roman"/>
        </w:rPr>
        <w:t>,</w:t>
      </w:r>
      <w:r w:rsidRPr="0098250F">
        <w:rPr>
          <w:rFonts w:ascii="Times New Roman" w:hAnsi="Times New Roman" w:cs="Times New Roman"/>
        </w:rPr>
        <w:t xml:space="preserve">” or “attorney for alleged debtor.” We then used </w:t>
      </w:r>
      <w:r w:rsidR="0050146B">
        <w:rPr>
          <w:rFonts w:ascii="Times New Roman" w:hAnsi="Times New Roman" w:cs="Times New Roman"/>
        </w:rPr>
        <w:t xml:space="preserve">the </w:t>
      </w:r>
      <w:r w:rsidRPr="0098250F">
        <w:rPr>
          <w:rFonts w:ascii="Times New Roman" w:hAnsi="Times New Roman" w:cs="Times New Roman"/>
        </w:rPr>
        <w:t xml:space="preserve">statistical package to tabulate the number of petitions in our </w:t>
      </w:r>
      <w:r w:rsidR="00D5356C">
        <w:rPr>
          <w:rFonts w:ascii="Times New Roman" w:hAnsi="Times New Roman" w:cs="Times New Roman"/>
        </w:rPr>
        <w:t xml:space="preserve">combined </w:t>
      </w:r>
      <w:r w:rsidRPr="0098250F">
        <w:rPr>
          <w:rFonts w:ascii="Times New Roman" w:hAnsi="Times New Roman" w:cs="Times New Roman"/>
        </w:rPr>
        <w:t xml:space="preserve">sample </w:t>
      </w:r>
      <w:r w:rsidR="00D5356C">
        <w:rPr>
          <w:rFonts w:ascii="Times New Roman" w:hAnsi="Times New Roman" w:cs="Times New Roman"/>
        </w:rPr>
        <w:t xml:space="preserve">(both 2010 and 2013) </w:t>
      </w:r>
      <w:r w:rsidRPr="0098250F">
        <w:rPr>
          <w:rFonts w:ascii="Times New Roman" w:hAnsi="Times New Roman" w:cs="Times New Roman"/>
        </w:rPr>
        <w:t xml:space="preserve">for each attorney name. </w:t>
      </w:r>
      <w:r w:rsidR="0050146B">
        <w:rPr>
          <w:rFonts w:ascii="Times New Roman" w:hAnsi="Times New Roman" w:cs="Times New Roman"/>
        </w:rPr>
        <w:t xml:space="preserve">Finally, we asked a research assistant to read through the table to identify names that were likely duplicates, such as Richard M. Hynes, Rich M. Hynes, and Richard M. Hynes, disbarred.  </w:t>
      </w:r>
      <w:r w:rsidRPr="0098250F">
        <w:rPr>
          <w:rFonts w:ascii="Times New Roman" w:hAnsi="Times New Roman" w:cs="Times New Roman"/>
        </w:rPr>
        <w:t xml:space="preserve">Table </w:t>
      </w:r>
      <w:r w:rsidR="00315FCA">
        <w:rPr>
          <w:rFonts w:ascii="Times New Roman" w:hAnsi="Times New Roman" w:cs="Times New Roman"/>
        </w:rPr>
        <w:t>8</w:t>
      </w:r>
      <w:r w:rsidRPr="0098250F">
        <w:rPr>
          <w:rFonts w:ascii="Times New Roman" w:hAnsi="Times New Roman" w:cs="Times New Roman"/>
        </w:rPr>
        <w:t xml:space="preserve"> presents </w:t>
      </w:r>
      <w:r w:rsidR="00D5356C">
        <w:rPr>
          <w:rFonts w:ascii="Times New Roman" w:hAnsi="Times New Roman" w:cs="Times New Roman"/>
        </w:rPr>
        <w:t xml:space="preserve">the </w:t>
      </w:r>
      <w:r w:rsidRPr="0098250F">
        <w:rPr>
          <w:rFonts w:ascii="Times New Roman" w:hAnsi="Times New Roman" w:cs="Times New Roman"/>
        </w:rPr>
        <w:t>results.</w:t>
      </w:r>
      <w:r w:rsidR="00AE5F4E">
        <w:rPr>
          <w:rFonts w:ascii="Times New Roman" w:hAnsi="Times New Roman" w:cs="Times New Roman"/>
        </w:rPr>
        <w:t xml:space="preserve"> </w:t>
      </w:r>
      <w:r w:rsidR="00A016E0">
        <w:rPr>
          <w:rFonts w:ascii="Times New Roman" w:hAnsi="Times New Roman" w:cs="Times New Roman"/>
        </w:rPr>
        <w:t xml:space="preserve">Column </w:t>
      </w:r>
      <w:r w:rsidR="002F573D">
        <w:rPr>
          <w:rFonts w:ascii="Times New Roman" w:hAnsi="Times New Roman" w:cs="Times New Roman"/>
        </w:rPr>
        <w:t>(</w:t>
      </w:r>
      <w:r w:rsidR="00A016E0">
        <w:rPr>
          <w:rFonts w:ascii="Times New Roman" w:hAnsi="Times New Roman" w:cs="Times New Roman"/>
        </w:rPr>
        <w:t>A</w:t>
      </w:r>
      <w:r w:rsidR="002F573D">
        <w:rPr>
          <w:rFonts w:ascii="Times New Roman" w:hAnsi="Times New Roman" w:cs="Times New Roman"/>
        </w:rPr>
        <w:t>)</w:t>
      </w:r>
      <w:r w:rsidR="00A016E0">
        <w:rPr>
          <w:rFonts w:ascii="Times New Roman" w:hAnsi="Times New Roman" w:cs="Times New Roman"/>
        </w:rPr>
        <w:t xml:space="preserve"> </w:t>
      </w:r>
      <w:r w:rsidR="002F573D">
        <w:rPr>
          <w:rFonts w:ascii="Times New Roman" w:hAnsi="Times New Roman" w:cs="Times New Roman"/>
        </w:rPr>
        <w:t xml:space="preserve">indicates </w:t>
      </w:r>
      <w:r w:rsidR="00AE5F4E">
        <w:rPr>
          <w:rFonts w:ascii="Times New Roman" w:hAnsi="Times New Roman" w:cs="Times New Roman"/>
        </w:rPr>
        <w:t xml:space="preserve">the number of attorneys who have handled a given number of individual </w:t>
      </w:r>
      <w:r w:rsidR="00AA091B">
        <w:rPr>
          <w:rFonts w:ascii="Times New Roman" w:hAnsi="Times New Roman" w:cs="Times New Roman"/>
        </w:rPr>
        <w:t>chapter</w:t>
      </w:r>
      <w:r w:rsidR="00AE5F4E">
        <w:rPr>
          <w:rFonts w:ascii="Times New Roman" w:hAnsi="Times New Roman" w:cs="Times New Roman"/>
        </w:rPr>
        <w:t xml:space="preserve"> 11 cases</w:t>
      </w:r>
      <w:r w:rsidR="002F573D">
        <w:rPr>
          <w:rFonts w:ascii="Times New Roman" w:hAnsi="Times New Roman" w:cs="Times New Roman"/>
        </w:rPr>
        <w:t>,</w:t>
      </w:r>
      <w:r w:rsidR="00A016E0">
        <w:rPr>
          <w:rFonts w:ascii="Times New Roman" w:hAnsi="Times New Roman" w:cs="Times New Roman"/>
        </w:rPr>
        <w:t xml:space="preserve"> while Column </w:t>
      </w:r>
      <w:r w:rsidR="002F573D">
        <w:rPr>
          <w:rFonts w:ascii="Times New Roman" w:hAnsi="Times New Roman" w:cs="Times New Roman"/>
        </w:rPr>
        <w:t>(</w:t>
      </w:r>
      <w:r w:rsidR="00A016E0">
        <w:rPr>
          <w:rFonts w:ascii="Times New Roman" w:hAnsi="Times New Roman" w:cs="Times New Roman"/>
        </w:rPr>
        <w:t>B</w:t>
      </w:r>
      <w:r w:rsidR="002F573D">
        <w:rPr>
          <w:rFonts w:ascii="Times New Roman" w:hAnsi="Times New Roman" w:cs="Times New Roman"/>
        </w:rPr>
        <w:t>)</w:t>
      </w:r>
      <w:r w:rsidR="00A016E0">
        <w:rPr>
          <w:rFonts w:ascii="Times New Roman" w:hAnsi="Times New Roman" w:cs="Times New Roman"/>
        </w:rPr>
        <w:t xml:space="preserve"> shows</w:t>
      </w:r>
      <w:r w:rsidR="00AE5F4E">
        <w:rPr>
          <w:rFonts w:ascii="Times New Roman" w:hAnsi="Times New Roman" w:cs="Times New Roman"/>
        </w:rPr>
        <w:t xml:space="preserve"> this number as a </w:t>
      </w:r>
      <w:r w:rsidR="00D02D60">
        <w:rPr>
          <w:rFonts w:ascii="Times New Roman" w:hAnsi="Times New Roman" w:cs="Times New Roman"/>
        </w:rPr>
        <w:t xml:space="preserve">percentage </w:t>
      </w:r>
      <w:r w:rsidR="00AE5F4E">
        <w:rPr>
          <w:rFonts w:ascii="Times New Roman" w:hAnsi="Times New Roman" w:cs="Times New Roman"/>
        </w:rPr>
        <w:t xml:space="preserve">of all attorneys in our sample. </w:t>
      </w:r>
      <w:r w:rsidR="00A016E0">
        <w:rPr>
          <w:rFonts w:ascii="Times New Roman" w:hAnsi="Times New Roman" w:cs="Times New Roman"/>
        </w:rPr>
        <w:t xml:space="preserve">Column (C) shows </w:t>
      </w:r>
      <w:r w:rsidR="00AE5F4E">
        <w:rPr>
          <w:rFonts w:ascii="Times New Roman" w:hAnsi="Times New Roman" w:cs="Times New Roman"/>
        </w:rPr>
        <w:t xml:space="preserve">the number of individual </w:t>
      </w:r>
      <w:r w:rsidR="00AA091B">
        <w:rPr>
          <w:rFonts w:ascii="Times New Roman" w:hAnsi="Times New Roman" w:cs="Times New Roman"/>
        </w:rPr>
        <w:t>chapter</w:t>
      </w:r>
      <w:r w:rsidR="00AE5F4E">
        <w:rPr>
          <w:rFonts w:ascii="Times New Roman" w:hAnsi="Times New Roman" w:cs="Times New Roman"/>
        </w:rPr>
        <w:t xml:space="preserve"> 11 cases handled by attorneys with a given level of experience</w:t>
      </w:r>
      <w:r w:rsidR="00A016E0">
        <w:rPr>
          <w:rFonts w:ascii="Times New Roman" w:hAnsi="Times New Roman" w:cs="Times New Roman"/>
        </w:rPr>
        <w:t xml:space="preserve">, and Column (D) presents that number as a </w:t>
      </w:r>
      <w:r w:rsidR="00D02D60">
        <w:rPr>
          <w:rFonts w:ascii="Times New Roman" w:hAnsi="Times New Roman" w:cs="Times New Roman"/>
        </w:rPr>
        <w:t>percentage</w:t>
      </w:r>
      <w:r w:rsidR="00A016E0">
        <w:rPr>
          <w:rFonts w:ascii="Times New Roman" w:hAnsi="Times New Roman" w:cs="Times New Roman"/>
        </w:rPr>
        <w:t xml:space="preserve"> of all </w:t>
      </w:r>
      <w:r w:rsidR="00B432FA">
        <w:rPr>
          <w:rFonts w:ascii="Times New Roman" w:hAnsi="Times New Roman" w:cs="Times New Roman"/>
        </w:rPr>
        <w:t xml:space="preserve">individual </w:t>
      </w:r>
      <w:r w:rsidR="00AA091B">
        <w:rPr>
          <w:rFonts w:ascii="Times New Roman" w:hAnsi="Times New Roman" w:cs="Times New Roman"/>
        </w:rPr>
        <w:t>chapter</w:t>
      </w:r>
      <w:r w:rsidR="00B432FA">
        <w:rPr>
          <w:rFonts w:ascii="Times New Roman" w:hAnsi="Times New Roman" w:cs="Times New Roman"/>
        </w:rPr>
        <w:t xml:space="preserve"> 11 cases in </w:t>
      </w:r>
      <w:r w:rsidR="00A016E0">
        <w:rPr>
          <w:rFonts w:ascii="Times New Roman" w:hAnsi="Times New Roman" w:cs="Times New Roman"/>
        </w:rPr>
        <w:t>our sample</w:t>
      </w:r>
      <w:r w:rsidR="002F573D">
        <w:rPr>
          <w:rFonts w:ascii="Times New Roman" w:hAnsi="Times New Roman" w:cs="Times New Roman"/>
        </w:rPr>
        <w:t>, other than</w:t>
      </w:r>
      <w:r w:rsidR="005725BE">
        <w:rPr>
          <w:rFonts w:ascii="Times New Roman" w:hAnsi="Times New Roman" w:cs="Times New Roman"/>
        </w:rPr>
        <w:t xml:space="preserve"> those filed pro se</w:t>
      </w:r>
      <w:r w:rsidR="00AE5F4E">
        <w:rPr>
          <w:rFonts w:ascii="Times New Roman" w:hAnsi="Times New Roman" w:cs="Times New Roman"/>
        </w:rPr>
        <w:t>.</w:t>
      </w:r>
    </w:p>
    <w:p w14:paraId="10C7275B" w14:textId="3348A4DE" w:rsidR="00AE5F4E" w:rsidRDefault="00775256" w:rsidP="008C726D">
      <w:pPr>
        <w:keepLines/>
        <w:spacing w:line="480" w:lineRule="auto"/>
        <w:jc w:val="center"/>
        <w:rPr>
          <w:rFonts w:ascii="Times New Roman" w:hAnsi="Times New Roman" w:cs="Times New Roman"/>
          <w:b/>
        </w:rPr>
      </w:pPr>
      <w:r w:rsidRPr="00B74262">
        <w:rPr>
          <w:rFonts w:ascii="Times New Roman" w:hAnsi="Times New Roman" w:cs="Times New Roman"/>
          <w:b/>
        </w:rPr>
        <w:t xml:space="preserve">Table </w:t>
      </w:r>
      <w:r w:rsidR="00315FCA">
        <w:rPr>
          <w:rFonts w:ascii="Times New Roman" w:hAnsi="Times New Roman" w:cs="Times New Roman"/>
          <w:b/>
        </w:rPr>
        <w:t>8</w:t>
      </w:r>
      <w:r w:rsidRPr="00B74262">
        <w:rPr>
          <w:rFonts w:ascii="Times New Roman" w:hAnsi="Times New Roman" w:cs="Times New Roman"/>
          <w:b/>
        </w:rPr>
        <w:t>: Attorneys</w:t>
      </w:r>
    </w:p>
    <w:tbl>
      <w:tblPr>
        <w:tblStyle w:val="TableGrid"/>
        <w:tblW w:w="8460" w:type="dxa"/>
        <w:tblInd w:w="198" w:type="dxa"/>
        <w:tblLook w:val="04A0" w:firstRow="1" w:lastRow="0" w:firstColumn="1" w:lastColumn="0" w:noHBand="0" w:noVBand="1"/>
      </w:tblPr>
      <w:tblGrid>
        <w:gridCol w:w="1800"/>
        <w:gridCol w:w="1260"/>
        <w:gridCol w:w="1710"/>
        <w:gridCol w:w="1890"/>
        <w:gridCol w:w="1800"/>
      </w:tblGrid>
      <w:tr w:rsidR="00AE5F4E" w:rsidRPr="00AE5F4E" w14:paraId="74DAB1A0" w14:textId="77777777" w:rsidTr="002F13CF">
        <w:trPr>
          <w:trHeight w:val="300"/>
        </w:trPr>
        <w:tc>
          <w:tcPr>
            <w:tcW w:w="1800" w:type="dxa"/>
            <w:tcBorders>
              <w:top w:val="single" w:sz="18" w:space="0" w:color="auto"/>
              <w:left w:val="single" w:sz="18" w:space="0" w:color="auto"/>
              <w:bottom w:val="single" w:sz="18" w:space="0" w:color="auto"/>
              <w:right w:val="single" w:sz="18" w:space="0" w:color="auto"/>
            </w:tcBorders>
            <w:noWrap/>
            <w:hideMark/>
          </w:tcPr>
          <w:p w14:paraId="65B94459" w14:textId="77777777" w:rsidR="00AE5F4E" w:rsidRPr="00AE5F4E" w:rsidRDefault="00AE5F4E" w:rsidP="008C726D">
            <w:pPr>
              <w:keepLines/>
              <w:rPr>
                <w:rFonts w:ascii="Times New Roman" w:eastAsia="Times New Roman" w:hAnsi="Times New Roman" w:cs="Times New Roman"/>
                <w:color w:val="000000"/>
              </w:rPr>
            </w:pPr>
          </w:p>
        </w:tc>
        <w:tc>
          <w:tcPr>
            <w:tcW w:w="2970" w:type="dxa"/>
            <w:gridSpan w:val="2"/>
            <w:tcBorders>
              <w:top w:val="single" w:sz="18" w:space="0" w:color="auto"/>
              <w:left w:val="single" w:sz="18" w:space="0" w:color="auto"/>
              <w:bottom w:val="single" w:sz="18" w:space="0" w:color="auto"/>
              <w:right w:val="single" w:sz="12" w:space="0" w:color="auto"/>
            </w:tcBorders>
            <w:noWrap/>
            <w:hideMark/>
          </w:tcPr>
          <w:p w14:paraId="0F80090A" w14:textId="77777777" w:rsidR="00AE5F4E" w:rsidRPr="00AE5F4E" w:rsidRDefault="00AE5F4E" w:rsidP="008C726D">
            <w:pPr>
              <w:keepLines/>
              <w:jc w:val="center"/>
              <w:rPr>
                <w:rFonts w:ascii="Times New Roman" w:eastAsia="Times New Roman" w:hAnsi="Times New Roman" w:cs="Times New Roman"/>
                <w:b/>
                <w:bCs/>
                <w:color w:val="000000"/>
              </w:rPr>
            </w:pPr>
            <w:r w:rsidRPr="00AE5F4E">
              <w:rPr>
                <w:rFonts w:ascii="Times New Roman" w:eastAsia="Times New Roman" w:hAnsi="Times New Roman" w:cs="Times New Roman"/>
                <w:b/>
                <w:bCs/>
                <w:color w:val="000000"/>
              </w:rPr>
              <w:t>Attorney Experience</w:t>
            </w:r>
          </w:p>
        </w:tc>
        <w:tc>
          <w:tcPr>
            <w:tcW w:w="3690" w:type="dxa"/>
            <w:gridSpan w:val="2"/>
            <w:tcBorders>
              <w:top w:val="single" w:sz="18" w:space="0" w:color="auto"/>
              <w:left w:val="single" w:sz="12" w:space="0" w:color="auto"/>
              <w:bottom w:val="single" w:sz="18" w:space="0" w:color="auto"/>
              <w:right w:val="single" w:sz="18" w:space="0" w:color="auto"/>
            </w:tcBorders>
            <w:noWrap/>
            <w:hideMark/>
          </w:tcPr>
          <w:p w14:paraId="3DE77E07" w14:textId="77777777" w:rsidR="00AE5F4E" w:rsidRPr="00AE5F4E" w:rsidRDefault="00AE5F4E" w:rsidP="008C726D">
            <w:pPr>
              <w:keepLines/>
              <w:jc w:val="center"/>
              <w:rPr>
                <w:rFonts w:ascii="Times New Roman" w:eastAsia="Times New Roman" w:hAnsi="Times New Roman" w:cs="Times New Roman"/>
                <w:b/>
                <w:bCs/>
                <w:color w:val="000000"/>
              </w:rPr>
            </w:pPr>
            <w:r w:rsidRPr="00AE5F4E">
              <w:rPr>
                <w:rFonts w:ascii="Times New Roman" w:eastAsia="Times New Roman" w:hAnsi="Times New Roman" w:cs="Times New Roman"/>
                <w:b/>
                <w:bCs/>
                <w:color w:val="000000"/>
              </w:rPr>
              <w:t>Cases by Attorney Experience</w:t>
            </w:r>
          </w:p>
        </w:tc>
      </w:tr>
      <w:tr w:rsidR="00AE5F4E" w:rsidRPr="00AE5F4E" w14:paraId="0FD408A2" w14:textId="77777777" w:rsidTr="002F13CF">
        <w:trPr>
          <w:trHeight w:val="300"/>
        </w:trPr>
        <w:tc>
          <w:tcPr>
            <w:tcW w:w="1800" w:type="dxa"/>
            <w:tcBorders>
              <w:top w:val="single" w:sz="18" w:space="0" w:color="auto"/>
              <w:bottom w:val="single" w:sz="12" w:space="0" w:color="auto"/>
              <w:right w:val="single" w:sz="18" w:space="0" w:color="auto"/>
            </w:tcBorders>
            <w:noWrap/>
            <w:hideMark/>
          </w:tcPr>
          <w:p w14:paraId="04DD3439" w14:textId="0657FFB2" w:rsidR="00AE5F4E" w:rsidRPr="00B432FA" w:rsidRDefault="00AE5F4E" w:rsidP="008C726D">
            <w:pPr>
              <w:keepLines/>
              <w:rPr>
                <w:rFonts w:ascii="Times New Roman" w:eastAsia="Times New Roman" w:hAnsi="Times New Roman" w:cs="Times New Roman"/>
                <w:b/>
                <w:color w:val="000000"/>
              </w:rPr>
            </w:pPr>
            <w:r w:rsidRPr="00B432FA">
              <w:rPr>
                <w:rFonts w:ascii="Times New Roman" w:eastAsia="Times New Roman" w:hAnsi="Times New Roman" w:cs="Times New Roman"/>
                <w:b/>
                <w:color w:val="000000"/>
              </w:rPr>
              <w:t>Petitions Filed</w:t>
            </w:r>
          </w:p>
        </w:tc>
        <w:tc>
          <w:tcPr>
            <w:tcW w:w="1260" w:type="dxa"/>
            <w:tcBorders>
              <w:top w:val="single" w:sz="18" w:space="0" w:color="auto"/>
              <w:left w:val="single" w:sz="18" w:space="0" w:color="auto"/>
              <w:bottom w:val="single" w:sz="12" w:space="0" w:color="auto"/>
            </w:tcBorders>
            <w:noWrap/>
            <w:hideMark/>
          </w:tcPr>
          <w:p w14:paraId="10148D67" w14:textId="77777777" w:rsidR="00A016E0" w:rsidRDefault="00A016E0" w:rsidP="008C726D">
            <w:pPr>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p w14:paraId="3529342B" w14:textId="77777777" w:rsidR="00AE5F4E" w:rsidRPr="00AE5F4E" w:rsidRDefault="00AE5F4E" w:rsidP="008C726D">
            <w:pPr>
              <w:keepLines/>
              <w:jc w:val="center"/>
              <w:rPr>
                <w:rFonts w:ascii="Times New Roman" w:eastAsia="Times New Roman" w:hAnsi="Times New Roman" w:cs="Times New Roman"/>
                <w:b/>
                <w:bCs/>
                <w:color w:val="000000"/>
              </w:rPr>
            </w:pPr>
            <w:r w:rsidRPr="00AE5F4E">
              <w:rPr>
                <w:rFonts w:ascii="Times New Roman" w:eastAsia="Times New Roman" w:hAnsi="Times New Roman" w:cs="Times New Roman"/>
                <w:b/>
                <w:bCs/>
                <w:color w:val="000000"/>
              </w:rPr>
              <w:t>Number</w:t>
            </w:r>
          </w:p>
        </w:tc>
        <w:tc>
          <w:tcPr>
            <w:tcW w:w="1710" w:type="dxa"/>
            <w:tcBorders>
              <w:top w:val="single" w:sz="18" w:space="0" w:color="auto"/>
              <w:bottom w:val="single" w:sz="12" w:space="0" w:color="auto"/>
              <w:right w:val="single" w:sz="12" w:space="0" w:color="auto"/>
            </w:tcBorders>
            <w:noWrap/>
            <w:hideMark/>
          </w:tcPr>
          <w:p w14:paraId="24020B96" w14:textId="77777777" w:rsidR="00A016E0" w:rsidRDefault="00A016E0" w:rsidP="008C726D">
            <w:pPr>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(B)</w:t>
            </w:r>
          </w:p>
          <w:p w14:paraId="08C317B6" w14:textId="77777777" w:rsidR="00AE5F4E" w:rsidRPr="00AE5F4E" w:rsidRDefault="00AE5F4E" w:rsidP="008C726D">
            <w:pPr>
              <w:keepLines/>
              <w:jc w:val="center"/>
              <w:rPr>
                <w:rFonts w:ascii="Times New Roman" w:eastAsia="Times New Roman" w:hAnsi="Times New Roman" w:cs="Times New Roman"/>
                <w:b/>
                <w:bCs/>
                <w:color w:val="000000"/>
              </w:rPr>
            </w:pPr>
            <w:r w:rsidRPr="00AE5F4E">
              <w:rPr>
                <w:rFonts w:ascii="Times New Roman" w:eastAsia="Times New Roman" w:hAnsi="Times New Roman" w:cs="Times New Roman"/>
                <w:b/>
                <w:bCs/>
                <w:color w:val="000000"/>
              </w:rPr>
              <w:t>% of Total</w:t>
            </w:r>
          </w:p>
        </w:tc>
        <w:tc>
          <w:tcPr>
            <w:tcW w:w="1890" w:type="dxa"/>
            <w:tcBorders>
              <w:top w:val="single" w:sz="18" w:space="0" w:color="auto"/>
              <w:left w:val="single" w:sz="12" w:space="0" w:color="auto"/>
              <w:bottom w:val="single" w:sz="12" w:space="0" w:color="auto"/>
            </w:tcBorders>
            <w:noWrap/>
            <w:hideMark/>
          </w:tcPr>
          <w:p w14:paraId="5281C328" w14:textId="77777777" w:rsidR="00A016E0" w:rsidRDefault="00A016E0" w:rsidP="008C726D">
            <w:pPr>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w:t>
            </w:r>
          </w:p>
          <w:p w14:paraId="3F715C89" w14:textId="5728B4C4" w:rsidR="00AE5F4E" w:rsidRPr="00AE5F4E" w:rsidRDefault="00AE5F4E" w:rsidP="008C726D">
            <w:pPr>
              <w:keepLines/>
              <w:jc w:val="center"/>
              <w:rPr>
                <w:rFonts w:ascii="Times New Roman" w:eastAsia="Times New Roman" w:hAnsi="Times New Roman" w:cs="Times New Roman"/>
                <w:b/>
                <w:bCs/>
                <w:color w:val="000000"/>
              </w:rPr>
            </w:pPr>
            <w:r w:rsidRPr="00AE5F4E">
              <w:rPr>
                <w:rFonts w:ascii="Times New Roman" w:eastAsia="Times New Roman" w:hAnsi="Times New Roman" w:cs="Times New Roman"/>
                <w:b/>
                <w:bCs/>
                <w:color w:val="000000"/>
              </w:rPr>
              <w:t>Number</w:t>
            </w:r>
          </w:p>
        </w:tc>
        <w:tc>
          <w:tcPr>
            <w:tcW w:w="1800" w:type="dxa"/>
            <w:tcBorders>
              <w:top w:val="single" w:sz="18" w:space="0" w:color="auto"/>
              <w:bottom w:val="single" w:sz="12" w:space="0" w:color="auto"/>
            </w:tcBorders>
            <w:noWrap/>
            <w:hideMark/>
          </w:tcPr>
          <w:p w14:paraId="4FAB97DF" w14:textId="77777777" w:rsidR="00A016E0" w:rsidRDefault="00A016E0" w:rsidP="008C726D">
            <w:pPr>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w:t>
            </w:r>
          </w:p>
          <w:p w14:paraId="7AF7CF2E" w14:textId="77777777" w:rsidR="00AE5F4E" w:rsidRPr="00AE5F4E" w:rsidRDefault="00AE5F4E" w:rsidP="008C726D">
            <w:pPr>
              <w:keepLines/>
              <w:jc w:val="center"/>
              <w:rPr>
                <w:rFonts w:ascii="Times New Roman" w:eastAsia="Times New Roman" w:hAnsi="Times New Roman" w:cs="Times New Roman"/>
                <w:b/>
                <w:bCs/>
                <w:color w:val="000000"/>
              </w:rPr>
            </w:pPr>
            <w:r w:rsidRPr="00AE5F4E">
              <w:rPr>
                <w:rFonts w:ascii="Times New Roman" w:eastAsia="Times New Roman" w:hAnsi="Times New Roman" w:cs="Times New Roman"/>
                <w:b/>
                <w:bCs/>
                <w:color w:val="000000"/>
              </w:rPr>
              <w:t>% of Total</w:t>
            </w:r>
          </w:p>
        </w:tc>
      </w:tr>
      <w:tr w:rsidR="00AE5F4E" w:rsidRPr="00AE5F4E" w14:paraId="2366A192" w14:textId="77777777" w:rsidTr="002F13CF">
        <w:trPr>
          <w:trHeight w:val="300"/>
        </w:trPr>
        <w:tc>
          <w:tcPr>
            <w:tcW w:w="1800" w:type="dxa"/>
            <w:tcBorders>
              <w:top w:val="single" w:sz="12" w:space="0" w:color="auto"/>
              <w:right w:val="single" w:sz="18" w:space="0" w:color="auto"/>
            </w:tcBorders>
            <w:noWrap/>
            <w:hideMark/>
          </w:tcPr>
          <w:p w14:paraId="545BD823" w14:textId="7850283C" w:rsidR="00AE5F4E" w:rsidRPr="00DC2EA3" w:rsidRDefault="00AE5F4E" w:rsidP="00DC2EA3">
            <w:pPr>
              <w:pStyle w:val="ListParagraph"/>
              <w:keepLines/>
              <w:numPr>
                <w:ilvl w:val="0"/>
                <w:numId w:val="31"/>
              </w:numPr>
              <w:ind w:hanging="540"/>
              <w:rPr>
                <w:rFonts w:ascii="Times New Roman" w:eastAsia="Times New Roman" w:hAnsi="Times New Roman" w:cs="Times New Roman"/>
                <w:b/>
                <w:bCs/>
                <w:color w:val="000000"/>
              </w:rPr>
            </w:pPr>
            <w:r w:rsidRPr="00DC2EA3">
              <w:rPr>
                <w:rFonts w:ascii="Times New Roman" w:eastAsia="Times New Roman" w:hAnsi="Times New Roman" w:cs="Times New Roman"/>
                <w:b/>
                <w:bCs/>
                <w:color w:val="000000"/>
              </w:rPr>
              <w:t>21+</w:t>
            </w:r>
          </w:p>
        </w:tc>
        <w:tc>
          <w:tcPr>
            <w:tcW w:w="1260" w:type="dxa"/>
            <w:tcBorders>
              <w:top w:val="single" w:sz="12" w:space="0" w:color="auto"/>
              <w:left w:val="single" w:sz="18" w:space="0" w:color="auto"/>
            </w:tcBorders>
            <w:noWrap/>
            <w:hideMark/>
          </w:tcPr>
          <w:p w14:paraId="627F93C6" w14:textId="77777777"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17</w:t>
            </w:r>
          </w:p>
        </w:tc>
        <w:tc>
          <w:tcPr>
            <w:tcW w:w="1710" w:type="dxa"/>
            <w:tcBorders>
              <w:top w:val="single" w:sz="12" w:space="0" w:color="auto"/>
              <w:right w:val="single" w:sz="12" w:space="0" w:color="auto"/>
            </w:tcBorders>
            <w:noWrap/>
            <w:hideMark/>
          </w:tcPr>
          <w:p w14:paraId="535503B2" w14:textId="77777777"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0.7%</w:t>
            </w:r>
          </w:p>
        </w:tc>
        <w:tc>
          <w:tcPr>
            <w:tcW w:w="1890" w:type="dxa"/>
            <w:tcBorders>
              <w:top w:val="single" w:sz="12" w:space="0" w:color="auto"/>
              <w:left w:val="single" w:sz="12" w:space="0" w:color="auto"/>
            </w:tcBorders>
            <w:noWrap/>
            <w:hideMark/>
          </w:tcPr>
          <w:p w14:paraId="7F7BABA9" w14:textId="21975B35"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609</w:t>
            </w:r>
          </w:p>
        </w:tc>
        <w:tc>
          <w:tcPr>
            <w:tcW w:w="1800" w:type="dxa"/>
            <w:tcBorders>
              <w:top w:val="single" w:sz="12" w:space="0" w:color="auto"/>
            </w:tcBorders>
            <w:noWrap/>
            <w:hideMark/>
          </w:tcPr>
          <w:p w14:paraId="46757718" w14:textId="77777777"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10.4%</w:t>
            </w:r>
          </w:p>
        </w:tc>
      </w:tr>
      <w:tr w:rsidR="00AE5F4E" w:rsidRPr="00AE5F4E" w14:paraId="4033F25E" w14:textId="77777777" w:rsidTr="002F13CF">
        <w:trPr>
          <w:trHeight w:val="300"/>
        </w:trPr>
        <w:tc>
          <w:tcPr>
            <w:tcW w:w="1800" w:type="dxa"/>
            <w:tcBorders>
              <w:right w:val="single" w:sz="18" w:space="0" w:color="auto"/>
            </w:tcBorders>
            <w:noWrap/>
            <w:hideMark/>
          </w:tcPr>
          <w:p w14:paraId="33512D50" w14:textId="15B6266C" w:rsidR="00AE5F4E" w:rsidRPr="00DC2EA3" w:rsidRDefault="00AE5F4E" w:rsidP="00DC2EA3">
            <w:pPr>
              <w:pStyle w:val="ListParagraph"/>
              <w:keepLines/>
              <w:numPr>
                <w:ilvl w:val="0"/>
                <w:numId w:val="31"/>
              </w:numPr>
              <w:ind w:hanging="540"/>
              <w:rPr>
                <w:rFonts w:ascii="Times New Roman" w:eastAsia="Times New Roman" w:hAnsi="Times New Roman" w:cs="Times New Roman"/>
                <w:b/>
                <w:bCs/>
                <w:color w:val="000000"/>
              </w:rPr>
            </w:pPr>
            <w:r w:rsidRPr="00DC2EA3">
              <w:rPr>
                <w:rFonts w:ascii="Times New Roman" w:eastAsia="Times New Roman" w:hAnsi="Times New Roman" w:cs="Times New Roman"/>
                <w:b/>
                <w:bCs/>
                <w:color w:val="000000"/>
              </w:rPr>
              <w:t>16 to 20</w:t>
            </w:r>
          </w:p>
        </w:tc>
        <w:tc>
          <w:tcPr>
            <w:tcW w:w="1260" w:type="dxa"/>
            <w:tcBorders>
              <w:left w:val="single" w:sz="18" w:space="0" w:color="auto"/>
            </w:tcBorders>
            <w:noWrap/>
            <w:hideMark/>
          </w:tcPr>
          <w:p w14:paraId="4C4436A5" w14:textId="77777777"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10</w:t>
            </w:r>
          </w:p>
        </w:tc>
        <w:tc>
          <w:tcPr>
            <w:tcW w:w="1710" w:type="dxa"/>
            <w:tcBorders>
              <w:right w:val="single" w:sz="12" w:space="0" w:color="auto"/>
            </w:tcBorders>
            <w:noWrap/>
            <w:hideMark/>
          </w:tcPr>
          <w:p w14:paraId="6FF136F3" w14:textId="77777777"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0.4%</w:t>
            </w:r>
          </w:p>
        </w:tc>
        <w:tc>
          <w:tcPr>
            <w:tcW w:w="1890" w:type="dxa"/>
            <w:tcBorders>
              <w:left w:val="single" w:sz="12" w:space="0" w:color="auto"/>
            </w:tcBorders>
            <w:noWrap/>
            <w:hideMark/>
          </w:tcPr>
          <w:p w14:paraId="13D5EE68" w14:textId="4692C018"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181</w:t>
            </w:r>
          </w:p>
        </w:tc>
        <w:tc>
          <w:tcPr>
            <w:tcW w:w="1800" w:type="dxa"/>
            <w:noWrap/>
            <w:hideMark/>
          </w:tcPr>
          <w:p w14:paraId="1127D570" w14:textId="77777777"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3.1%</w:t>
            </w:r>
          </w:p>
        </w:tc>
      </w:tr>
      <w:tr w:rsidR="00AE5F4E" w:rsidRPr="00AE5F4E" w14:paraId="03584411" w14:textId="77777777" w:rsidTr="002F13CF">
        <w:trPr>
          <w:trHeight w:val="300"/>
        </w:trPr>
        <w:tc>
          <w:tcPr>
            <w:tcW w:w="1800" w:type="dxa"/>
            <w:tcBorders>
              <w:right w:val="single" w:sz="18" w:space="0" w:color="auto"/>
            </w:tcBorders>
            <w:noWrap/>
            <w:hideMark/>
          </w:tcPr>
          <w:p w14:paraId="23E5E155" w14:textId="33F7641F" w:rsidR="00AE5F4E" w:rsidRPr="00DC2EA3" w:rsidRDefault="00AE5F4E" w:rsidP="00DC2EA3">
            <w:pPr>
              <w:pStyle w:val="ListParagraph"/>
              <w:keepLines/>
              <w:numPr>
                <w:ilvl w:val="0"/>
                <w:numId w:val="31"/>
              </w:numPr>
              <w:ind w:hanging="540"/>
              <w:rPr>
                <w:rFonts w:ascii="Times New Roman" w:eastAsia="Times New Roman" w:hAnsi="Times New Roman" w:cs="Times New Roman"/>
                <w:b/>
                <w:bCs/>
                <w:color w:val="000000"/>
              </w:rPr>
            </w:pPr>
            <w:r w:rsidRPr="00DC2EA3">
              <w:rPr>
                <w:rFonts w:ascii="Times New Roman" w:eastAsia="Times New Roman" w:hAnsi="Times New Roman" w:cs="Times New Roman"/>
                <w:b/>
                <w:bCs/>
                <w:color w:val="000000"/>
              </w:rPr>
              <w:t>11 to 15</w:t>
            </w:r>
          </w:p>
        </w:tc>
        <w:tc>
          <w:tcPr>
            <w:tcW w:w="1260" w:type="dxa"/>
            <w:tcBorders>
              <w:left w:val="single" w:sz="18" w:space="0" w:color="auto"/>
            </w:tcBorders>
            <w:noWrap/>
            <w:hideMark/>
          </w:tcPr>
          <w:p w14:paraId="450243E8" w14:textId="77777777"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35</w:t>
            </w:r>
          </w:p>
        </w:tc>
        <w:tc>
          <w:tcPr>
            <w:tcW w:w="1710" w:type="dxa"/>
            <w:tcBorders>
              <w:right w:val="single" w:sz="12" w:space="0" w:color="auto"/>
            </w:tcBorders>
            <w:noWrap/>
            <w:hideMark/>
          </w:tcPr>
          <w:p w14:paraId="02F406CF" w14:textId="77777777"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1.4%</w:t>
            </w:r>
          </w:p>
        </w:tc>
        <w:tc>
          <w:tcPr>
            <w:tcW w:w="1890" w:type="dxa"/>
            <w:tcBorders>
              <w:left w:val="single" w:sz="12" w:space="0" w:color="auto"/>
            </w:tcBorders>
            <w:noWrap/>
            <w:hideMark/>
          </w:tcPr>
          <w:p w14:paraId="66B5D969" w14:textId="06E02945"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453</w:t>
            </w:r>
          </w:p>
        </w:tc>
        <w:tc>
          <w:tcPr>
            <w:tcW w:w="1800" w:type="dxa"/>
            <w:noWrap/>
            <w:hideMark/>
          </w:tcPr>
          <w:p w14:paraId="69628369" w14:textId="77777777"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7.7%</w:t>
            </w:r>
          </w:p>
        </w:tc>
      </w:tr>
      <w:tr w:rsidR="00AE5F4E" w:rsidRPr="00AE5F4E" w14:paraId="6B2BACA1" w14:textId="77777777" w:rsidTr="002F13CF">
        <w:trPr>
          <w:trHeight w:val="300"/>
        </w:trPr>
        <w:tc>
          <w:tcPr>
            <w:tcW w:w="1800" w:type="dxa"/>
            <w:tcBorders>
              <w:right w:val="single" w:sz="18" w:space="0" w:color="auto"/>
            </w:tcBorders>
            <w:noWrap/>
            <w:hideMark/>
          </w:tcPr>
          <w:p w14:paraId="6C37E962" w14:textId="26B196CF" w:rsidR="00AE5F4E" w:rsidRPr="00DC2EA3" w:rsidRDefault="00AE5F4E" w:rsidP="00DC2EA3">
            <w:pPr>
              <w:pStyle w:val="ListParagraph"/>
              <w:keepLines/>
              <w:numPr>
                <w:ilvl w:val="0"/>
                <w:numId w:val="31"/>
              </w:numPr>
              <w:ind w:hanging="540"/>
              <w:rPr>
                <w:rFonts w:ascii="Times New Roman" w:eastAsia="Times New Roman" w:hAnsi="Times New Roman" w:cs="Times New Roman"/>
                <w:b/>
                <w:bCs/>
                <w:color w:val="000000"/>
              </w:rPr>
            </w:pPr>
            <w:r w:rsidRPr="00DC2EA3">
              <w:rPr>
                <w:rFonts w:ascii="Times New Roman" w:eastAsia="Times New Roman" w:hAnsi="Times New Roman" w:cs="Times New Roman"/>
                <w:b/>
                <w:bCs/>
                <w:color w:val="000000"/>
              </w:rPr>
              <w:t>6 to 10</w:t>
            </w:r>
          </w:p>
        </w:tc>
        <w:tc>
          <w:tcPr>
            <w:tcW w:w="1260" w:type="dxa"/>
            <w:tcBorders>
              <w:left w:val="single" w:sz="18" w:space="0" w:color="auto"/>
            </w:tcBorders>
            <w:noWrap/>
            <w:hideMark/>
          </w:tcPr>
          <w:p w14:paraId="3801510F" w14:textId="77777777"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135</w:t>
            </w:r>
          </w:p>
        </w:tc>
        <w:tc>
          <w:tcPr>
            <w:tcW w:w="1710" w:type="dxa"/>
            <w:tcBorders>
              <w:right w:val="single" w:sz="12" w:space="0" w:color="auto"/>
            </w:tcBorders>
            <w:noWrap/>
            <w:hideMark/>
          </w:tcPr>
          <w:p w14:paraId="258F7B0D" w14:textId="77777777"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5.5%</w:t>
            </w:r>
          </w:p>
        </w:tc>
        <w:tc>
          <w:tcPr>
            <w:tcW w:w="1890" w:type="dxa"/>
            <w:tcBorders>
              <w:left w:val="single" w:sz="12" w:space="0" w:color="auto"/>
            </w:tcBorders>
            <w:noWrap/>
            <w:hideMark/>
          </w:tcPr>
          <w:p w14:paraId="0C7069F5" w14:textId="609BF9A8"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998</w:t>
            </w:r>
          </w:p>
        </w:tc>
        <w:tc>
          <w:tcPr>
            <w:tcW w:w="1800" w:type="dxa"/>
            <w:noWrap/>
            <w:hideMark/>
          </w:tcPr>
          <w:p w14:paraId="4F9D9360" w14:textId="77777777"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17.0%</w:t>
            </w:r>
          </w:p>
        </w:tc>
      </w:tr>
      <w:tr w:rsidR="00AE5F4E" w:rsidRPr="00AE5F4E" w14:paraId="3773DEDE" w14:textId="77777777" w:rsidTr="002F13CF">
        <w:trPr>
          <w:trHeight w:val="300"/>
        </w:trPr>
        <w:tc>
          <w:tcPr>
            <w:tcW w:w="1800" w:type="dxa"/>
            <w:tcBorders>
              <w:right w:val="single" w:sz="18" w:space="0" w:color="auto"/>
            </w:tcBorders>
            <w:noWrap/>
            <w:hideMark/>
          </w:tcPr>
          <w:p w14:paraId="058A85C4" w14:textId="49272475" w:rsidR="00AE5F4E" w:rsidRPr="00DC2EA3" w:rsidRDefault="00AE5F4E" w:rsidP="00DC2EA3">
            <w:pPr>
              <w:pStyle w:val="ListParagraph"/>
              <w:keepLines/>
              <w:numPr>
                <w:ilvl w:val="0"/>
                <w:numId w:val="31"/>
              </w:numPr>
              <w:ind w:hanging="540"/>
              <w:rPr>
                <w:rFonts w:ascii="Times New Roman" w:eastAsia="Times New Roman" w:hAnsi="Times New Roman" w:cs="Times New Roman"/>
                <w:b/>
                <w:bCs/>
                <w:color w:val="000000"/>
              </w:rPr>
            </w:pPr>
            <w:r w:rsidRPr="00DC2EA3">
              <w:rPr>
                <w:rFonts w:ascii="Times New Roman" w:eastAsia="Times New Roman" w:hAnsi="Times New Roman" w:cs="Times New Roman"/>
                <w:b/>
                <w:bCs/>
                <w:color w:val="000000"/>
              </w:rPr>
              <w:t>3 to 5</w:t>
            </w:r>
          </w:p>
        </w:tc>
        <w:tc>
          <w:tcPr>
            <w:tcW w:w="1260" w:type="dxa"/>
            <w:tcBorders>
              <w:left w:val="single" w:sz="18" w:space="0" w:color="auto"/>
            </w:tcBorders>
            <w:noWrap/>
            <w:hideMark/>
          </w:tcPr>
          <w:p w14:paraId="2E3A6B9F" w14:textId="77777777"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352</w:t>
            </w:r>
          </w:p>
        </w:tc>
        <w:tc>
          <w:tcPr>
            <w:tcW w:w="1710" w:type="dxa"/>
            <w:tcBorders>
              <w:right w:val="single" w:sz="12" w:space="0" w:color="auto"/>
            </w:tcBorders>
            <w:noWrap/>
            <w:hideMark/>
          </w:tcPr>
          <w:p w14:paraId="123F8E2D" w14:textId="77777777"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14.3%</w:t>
            </w:r>
          </w:p>
        </w:tc>
        <w:tc>
          <w:tcPr>
            <w:tcW w:w="1890" w:type="dxa"/>
            <w:tcBorders>
              <w:left w:val="single" w:sz="12" w:space="0" w:color="auto"/>
            </w:tcBorders>
            <w:noWrap/>
            <w:hideMark/>
          </w:tcPr>
          <w:p w14:paraId="2B3E1EE7" w14:textId="5AC587B5" w:rsidR="00AE5F4E" w:rsidRPr="00AE5F4E" w:rsidRDefault="00737396" w:rsidP="008C726D">
            <w:pPr>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E5F4E" w:rsidRPr="00AE5F4E">
              <w:rPr>
                <w:rFonts w:ascii="Times New Roman" w:eastAsia="Times New Roman" w:hAnsi="Times New Roman" w:cs="Times New Roman"/>
                <w:color w:val="000000"/>
              </w:rPr>
              <w:t>1304</w:t>
            </w:r>
          </w:p>
        </w:tc>
        <w:tc>
          <w:tcPr>
            <w:tcW w:w="1800" w:type="dxa"/>
            <w:noWrap/>
            <w:hideMark/>
          </w:tcPr>
          <w:p w14:paraId="0934537F" w14:textId="77777777"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22.2%</w:t>
            </w:r>
          </w:p>
        </w:tc>
      </w:tr>
      <w:tr w:rsidR="00AE5F4E" w:rsidRPr="00AE5F4E" w14:paraId="0F1941CD" w14:textId="77777777" w:rsidTr="002F13CF">
        <w:trPr>
          <w:trHeight w:val="300"/>
        </w:trPr>
        <w:tc>
          <w:tcPr>
            <w:tcW w:w="1800" w:type="dxa"/>
            <w:tcBorders>
              <w:right w:val="single" w:sz="18" w:space="0" w:color="auto"/>
            </w:tcBorders>
            <w:noWrap/>
            <w:hideMark/>
          </w:tcPr>
          <w:p w14:paraId="7339B92C" w14:textId="216A8339" w:rsidR="00AE5F4E" w:rsidRPr="00DC2EA3" w:rsidRDefault="00AE5F4E" w:rsidP="00DC2EA3">
            <w:pPr>
              <w:pStyle w:val="ListParagraph"/>
              <w:keepLines/>
              <w:numPr>
                <w:ilvl w:val="0"/>
                <w:numId w:val="31"/>
              </w:numPr>
              <w:ind w:hanging="540"/>
              <w:rPr>
                <w:rFonts w:ascii="Times New Roman" w:eastAsia="Times New Roman" w:hAnsi="Times New Roman" w:cs="Times New Roman"/>
                <w:b/>
                <w:bCs/>
                <w:color w:val="000000"/>
              </w:rPr>
            </w:pPr>
            <w:r w:rsidRPr="00DC2EA3">
              <w:rPr>
                <w:rFonts w:ascii="Times New Roman" w:eastAsia="Times New Roman" w:hAnsi="Times New Roman" w:cs="Times New Roman"/>
                <w:b/>
                <w:bCs/>
                <w:color w:val="000000"/>
              </w:rPr>
              <w:t>2</w:t>
            </w:r>
          </w:p>
        </w:tc>
        <w:tc>
          <w:tcPr>
            <w:tcW w:w="1260" w:type="dxa"/>
            <w:tcBorders>
              <w:left w:val="single" w:sz="18" w:space="0" w:color="auto"/>
            </w:tcBorders>
            <w:noWrap/>
            <w:hideMark/>
          </w:tcPr>
          <w:p w14:paraId="0881B49D" w14:textId="77777777"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422</w:t>
            </w:r>
          </w:p>
        </w:tc>
        <w:tc>
          <w:tcPr>
            <w:tcW w:w="1710" w:type="dxa"/>
            <w:tcBorders>
              <w:right w:val="single" w:sz="12" w:space="0" w:color="auto"/>
            </w:tcBorders>
            <w:noWrap/>
            <w:hideMark/>
          </w:tcPr>
          <w:p w14:paraId="72FAA69A" w14:textId="77777777"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17.1%</w:t>
            </w:r>
          </w:p>
        </w:tc>
        <w:tc>
          <w:tcPr>
            <w:tcW w:w="1890" w:type="dxa"/>
            <w:tcBorders>
              <w:left w:val="single" w:sz="12" w:space="0" w:color="auto"/>
            </w:tcBorders>
            <w:noWrap/>
            <w:hideMark/>
          </w:tcPr>
          <w:p w14:paraId="14D64B4C" w14:textId="66F4173F" w:rsidR="00AE5F4E" w:rsidRPr="00AE5F4E" w:rsidRDefault="00737396" w:rsidP="008C726D">
            <w:pPr>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E5F4E" w:rsidRPr="00AE5F4E">
              <w:rPr>
                <w:rFonts w:ascii="Times New Roman" w:eastAsia="Times New Roman" w:hAnsi="Times New Roman" w:cs="Times New Roman"/>
                <w:color w:val="000000"/>
              </w:rPr>
              <w:t>844</w:t>
            </w:r>
          </w:p>
        </w:tc>
        <w:tc>
          <w:tcPr>
            <w:tcW w:w="1800" w:type="dxa"/>
            <w:noWrap/>
            <w:hideMark/>
          </w:tcPr>
          <w:p w14:paraId="7C136511" w14:textId="77777777"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14.3%</w:t>
            </w:r>
          </w:p>
        </w:tc>
      </w:tr>
      <w:tr w:rsidR="00AE5F4E" w:rsidRPr="00AE5F4E" w14:paraId="33690F89" w14:textId="77777777" w:rsidTr="002F13CF">
        <w:trPr>
          <w:trHeight w:val="300"/>
        </w:trPr>
        <w:tc>
          <w:tcPr>
            <w:tcW w:w="1800" w:type="dxa"/>
            <w:tcBorders>
              <w:bottom w:val="double" w:sz="4" w:space="0" w:color="auto"/>
              <w:right w:val="single" w:sz="18" w:space="0" w:color="auto"/>
            </w:tcBorders>
            <w:noWrap/>
            <w:hideMark/>
          </w:tcPr>
          <w:p w14:paraId="56FE1C6E" w14:textId="0B075921" w:rsidR="00AE5F4E" w:rsidRPr="00DC2EA3" w:rsidRDefault="00AE5F4E" w:rsidP="00DC2EA3">
            <w:pPr>
              <w:pStyle w:val="ListParagraph"/>
              <w:keepLines/>
              <w:numPr>
                <w:ilvl w:val="0"/>
                <w:numId w:val="31"/>
              </w:numPr>
              <w:ind w:hanging="540"/>
              <w:rPr>
                <w:rFonts w:ascii="Times New Roman" w:eastAsia="Times New Roman" w:hAnsi="Times New Roman" w:cs="Times New Roman"/>
                <w:b/>
                <w:bCs/>
                <w:color w:val="000000"/>
              </w:rPr>
            </w:pPr>
            <w:r w:rsidRPr="00DC2EA3">
              <w:rPr>
                <w:rFonts w:ascii="Times New Roman" w:eastAsia="Times New Roman" w:hAnsi="Times New Roman" w:cs="Times New Roman"/>
                <w:b/>
                <w:bCs/>
                <w:color w:val="000000"/>
              </w:rPr>
              <w:t>1</w:t>
            </w:r>
          </w:p>
        </w:tc>
        <w:tc>
          <w:tcPr>
            <w:tcW w:w="1260" w:type="dxa"/>
            <w:tcBorders>
              <w:left w:val="single" w:sz="18" w:space="0" w:color="auto"/>
              <w:bottom w:val="double" w:sz="4" w:space="0" w:color="auto"/>
            </w:tcBorders>
            <w:noWrap/>
            <w:hideMark/>
          </w:tcPr>
          <w:p w14:paraId="6D958252" w14:textId="77777777"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1493</w:t>
            </w:r>
          </w:p>
        </w:tc>
        <w:tc>
          <w:tcPr>
            <w:tcW w:w="1710" w:type="dxa"/>
            <w:tcBorders>
              <w:bottom w:val="double" w:sz="4" w:space="0" w:color="auto"/>
              <w:right w:val="single" w:sz="12" w:space="0" w:color="auto"/>
            </w:tcBorders>
            <w:noWrap/>
            <w:hideMark/>
          </w:tcPr>
          <w:p w14:paraId="1BB5863E" w14:textId="77777777"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60.6%</w:t>
            </w:r>
          </w:p>
        </w:tc>
        <w:tc>
          <w:tcPr>
            <w:tcW w:w="1890" w:type="dxa"/>
            <w:tcBorders>
              <w:left w:val="single" w:sz="12" w:space="0" w:color="auto"/>
              <w:bottom w:val="double" w:sz="4" w:space="0" w:color="auto"/>
            </w:tcBorders>
            <w:noWrap/>
            <w:hideMark/>
          </w:tcPr>
          <w:p w14:paraId="1DEBB525" w14:textId="3D2CCCB0" w:rsidR="00AE5F4E" w:rsidRPr="00AE5F4E" w:rsidRDefault="00737396" w:rsidP="008C726D">
            <w:pPr>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E5F4E" w:rsidRPr="00AE5F4E">
              <w:rPr>
                <w:rFonts w:ascii="Times New Roman" w:eastAsia="Times New Roman" w:hAnsi="Times New Roman" w:cs="Times New Roman"/>
                <w:color w:val="000000"/>
              </w:rPr>
              <w:t>1493</w:t>
            </w:r>
          </w:p>
        </w:tc>
        <w:tc>
          <w:tcPr>
            <w:tcW w:w="1800" w:type="dxa"/>
            <w:tcBorders>
              <w:bottom w:val="double" w:sz="4" w:space="0" w:color="auto"/>
            </w:tcBorders>
            <w:noWrap/>
            <w:hideMark/>
          </w:tcPr>
          <w:p w14:paraId="7690FDE4" w14:textId="77777777" w:rsidR="00AE5F4E" w:rsidRPr="00AE5F4E" w:rsidRDefault="00AE5F4E" w:rsidP="008C726D">
            <w:pPr>
              <w:keepLines/>
              <w:jc w:val="right"/>
              <w:rPr>
                <w:rFonts w:ascii="Times New Roman" w:eastAsia="Times New Roman" w:hAnsi="Times New Roman" w:cs="Times New Roman"/>
                <w:color w:val="000000"/>
              </w:rPr>
            </w:pPr>
            <w:r w:rsidRPr="00AE5F4E">
              <w:rPr>
                <w:rFonts w:ascii="Times New Roman" w:eastAsia="Times New Roman" w:hAnsi="Times New Roman" w:cs="Times New Roman"/>
                <w:color w:val="000000"/>
              </w:rPr>
              <w:t>25.4%</w:t>
            </w:r>
          </w:p>
        </w:tc>
      </w:tr>
    </w:tbl>
    <w:p w14:paraId="2EAE2B4F" w14:textId="756A74ED" w:rsidR="00DA651A" w:rsidRPr="00D5356C" w:rsidRDefault="00DA651A" w:rsidP="00EE0E72">
      <w:pPr>
        <w:spacing w:line="480" w:lineRule="auto"/>
        <w:ind w:firstLine="720"/>
        <w:rPr>
          <w:rFonts w:ascii="Times New Roman" w:hAnsi="Times New Roman" w:cs="Times New Roman"/>
        </w:rPr>
      </w:pPr>
    </w:p>
    <w:p w14:paraId="1F4076E3" w14:textId="26A4EAD7" w:rsidR="00EE0E72" w:rsidRPr="00A016E0" w:rsidRDefault="00A016E0" w:rsidP="00EE0E72">
      <w:pPr>
        <w:spacing w:line="480" w:lineRule="auto"/>
        <w:ind w:firstLine="720"/>
        <w:rPr>
          <w:rFonts w:ascii="Times New Roman" w:hAnsi="Times New Roman" w:cs="Times New Roman"/>
        </w:rPr>
      </w:pPr>
      <w:r>
        <w:rPr>
          <w:rFonts w:ascii="Times New Roman" w:hAnsi="Times New Roman" w:cs="Times New Roman"/>
        </w:rPr>
        <w:t xml:space="preserve">The data in </w:t>
      </w:r>
      <w:r w:rsidR="00EE0E72" w:rsidRPr="00D5356C">
        <w:rPr>
          <w:rFonts w:ascii="Times New Roman" w:hAnsi="Times New Roman" w:cs="Times New Roman"/>
        </w:rPr>
        <w:t xml:space="preserve">Table </w:t>
      </w:r>
      <w:r w:rsidR="00315FCA">
        <w:rPr>
          <w:rFonts w:ascii="Times New Roman" w:hAnsi="Times New Roman" w:cs="Times New Roman"/>
        </w:rPr>
        <w:t>8</w:t>
      </w:r>
      <w:r w:rsidR="00EE0E72" w:rsidRPr="00D5356C">
        <w:rPr>
          <w:rFonts w:ascii="Times New Roman" w:hAnsi="Times New Roman" w:cs="Times New Roman"/>
        </w:rPr>
        <w:t xml:space="preserve"> suggest that few attorneys specialize in </w:t>
      </w:r>
      <w:r w:rsidR="00775256">
        <w:rPr>
          <w:rFonts w:ascii="Times New Roman" w:hAnsi="Times New Roman" w:cs="Times New Roman"/>
        </w:rPr>
        <w:t>i</w:t>
      </w:r>
      <w:r w:rsidR="00EE0E72" w:rsidRPr="00D5356C">
        <w:rPr>
          <w:rFonts w:ascii="Times New Roman" w:hAnsi="Times New Roman" w:cs="Times New Roman"/>
        </w:rPr>
        <w:t xml:space="preserve">ndividual </w:t>
      </w:r>
      <w:r w:rsidR="00AA091B">
        <w:rPr>
          <w:rFonts w:ascii="Times New Roman" w:hAnsi="Times New Roman" w:cs="Times New Roman"/>
        </w:rPr>
        <w:t>chapter</w:t>
      </w:r>
      <w:r w:rsidR="00EE0E72" w:rsidRPr="00D5356C">
        <w:rPr>
          <w:rFonts w:ascii="Times New Roman" w:hAnsi="Times New Roman" w:cs="Times New Roman"/>
        </w:rPr>
        <w:t xml:space="preserve"> </w:t>
      </w:r>
      <w:r w:rsidR="002B1DBA">
        <w:rPr>
          <w:rFonts w:ascii="Times New Roman" w:hAnsi="Times New Roman" w:cs="Times New Roman"/>
        </w:rPr>
        <w:t>11 cases</w:t>
      </w:r>
      <w:r w:rsidR="00EE0E72" w:rsidRPr="00D5356C">
        <w:rPr>
          <w:rFonts w:ascii="Times New Roman" w:hAnsi="Times New Roman" w:cs="Times New Roman"/>
        </w:rPr>
        <w:t xml:space="preserve">. </w:t>
      </w:r>
      <w:r w:rsidR="00775256">
        <w:rPr>
          <w:rFonts w:ascii="Times New Roman" w:hAnsi="Times New Roman" w:cs="Times New Roman"/>
        </w:rPr>
        <w:t xml:space="preserve">Only </w:t>
      </w:r>
      <w:r w:rsidR="008C726D">
        <w:rPr>
          <w:rFonts w:ascii="Times New Roman" w:hAnsi="Times New Roman" w:cs="Times New Roman"/>
        </w:rPr>
        <w:t>sixty-two</w:t>
      </w:r>
      <w:r w:rsidR="00EE0E72" w:rsidRPr="00D5356C">
        <w:rPr>
          <w:rFonts w:ascii="Times New Roman" w:hAnsi="Times New Roman" w:cs="Times New Roman"/>
        </w:rPr>
        <w:t xml:space="preserve"> attorneys </w:t>
      </w:r>
      <w:r w:rsidR="00AE5F4E">
        <w:rPr>
          <w:rFonts w:ascii="Times New Roman" w:hAnsi="Times New Roman" w:cs="Times New Roman"/>
        </w:rPr>
        <w:t>handled</w:t>
      </w:r>
      <w:r w:rsidR="00EE0E72" w:rsidRPr="00D5356C">
        <w:rPr>
          <w:rFonts w:ascii="Times New Roman" w:hAnsi="Times New Roman" w:cs="Times New Roman"/>
        </w:rPr>
        <w:t xml:space="preserve"> eleven </w:t>
      </w:r>
      <w:r w:rsidR="00775256">
        <w:rPr>
          <w:rFonts w:ascii="Times New Roman" w:hAnsi="Times New Roman" w:cs="Times New Roman"/>
        </w:rPr>
        <w:t>or more i</w:t>
      </w:r>
      <w:r w:rsidR="00EE0E72" w:rsidRPr="00D5356C">
        <w:rPr>
          <w:rFonts w:ascii="Times New Roman" w:hAnsi="Times New Roman" w:cs="Times New Roman"/>
        </w:rPr>
        <w:t xml:space="preserve">ndividual </w:t>
      </w:r>
      <w:r w:rsidR="00AA091B">
        <w:rPr>
          <w:rFonts w:ascii="Times New Roman" w:hAnsi="Times New Roman" w:cs="Times New Roman"/>
        </w:rPr>
        <w:t>chapter</w:t>
      </w:r>
      <w:r w:rsidR="00EE0E72" w:rsidRPr="00D5356C">
        <w:rPr>
          <w:rFonts w:ascii="Times New Roman" w:hAnsi="Times New Roman" w:cs="Times New Roman"/>
        </w:rPr>
        <w:t xml:space="preserve"> 11 </w:t>
      </w:r>
      <w:r w:rsidR="00AE5F4E">
        <w:rPr>
          <w:rFonts w:ascii="Times New Roman" w:hAnsi="Times New Roman" w:cs="Times New Roman"/>
        </w:rPr>
        <w:t>cases</w:t>
      </w:r>
      <w:r w:rsidR="00AE5F4E" w:rsidRPr="00D5356C">
        <w:rPr>
          <w:rFonts w:ascii="Times New Roman" w:hAnsi="Times New Roman" w:cs="Times New Roman"/>
        </w:rPr>
        <w:t xml:space="preserve"> </w:t>
      </w:r>
      <w:r w:rsidR="00EE0E72" w:rsidRPr="00D5356C">
        <w:rPr>
          <w:rFonts w:ascii="Times New Roman" w:hAnsi="Times New Roman" w:cs="Times New Roman"/>
        </w:rPr>
        <w:t xml:space="preserve">over </w:t>
      </w:r>
      <w:r w:rsidR="00775256">
        <w:rPr>
          <w:rFonts w:ascii="Times New Roman" w:hAnsi="Times New Roman" w:cs="Times New Roman"/>
        </w:rPr>
        <w:t xml:space="preserve">the </w:t>
      </w:r>
      <w:r w:rsidR="00EE0E72" w:rsidRPr="00D5356C">
        <w:rPr>
          <w:rFonts w:ascii="Times New Roman" w:hAnsi="Times New Roman" w:cs="Times New Roman"/>
        </w:rPr>
        <w:t xml:space="preserve">two years </w:t>
      </w:r>
      <w:r w:rsidR="002F573D">
        <w:rPr>
          <w:rFonts w:ascii="Times New Roman" w:hAnsi="Times New Roman" w:cs="Times New Roman"/>
        </w:rPr>
        <w:t>covered by the data</w:t>
      </w:r>
      <w:r w:rsidR="00EE0E72" w:rsidRPr="00D5356C">
        <w:rPr>
          <w:rFonts w:ascii="Times New Roman" w:hAnsi="Times New Roman" w:cs="Times New Roman"/>
        </w:rPr>
        <w:t xml:space="preserve">. </w:t>
      </w:r>
      <w:r>
        <w:rPr>
          <w:rFonts w:ascii="Times New Roman" w:hAnsi="Times New Roman" w:cs="Times New Roman"/>
          <w:i/>
        </w:rPr>
        <w:t xml:space="preserve">See </w:t>
      </w:r>
      <w:r>
        <w:rPr>
          <w:rFonts w:ascii="Times New Roman" w:hAnsi="Times New Roman" w:cs="Times New Roman"/>
        </w:rPr>
        <w:t xml:space="preserve">Column (A) of Table </w:t>
      </w:r>
      <w:r w:rsidR="00315FCA">
        <w:rPr>
          <w:rFonts w:ascii="Times New Roman" w:hAnsi="Times New Roman" w:cs="Times New Roman"/>
        </w:rPr>
        <w:t>8</w:t>
      </w:r>
      <w:r>
        <w:rPr>
          <w:rFonts w:ascii="Times New Roman" w:hAnsi="Times New Roman" w:cs="Times New Roman"/>
        </w:rPr>
        <w:t xml:space="preserve">. </w:t>
      </w:r>
      <w:r w:rsidR="00C279A2" w:rsidRPr="00D5356C">
        <w:rPr>
          <w:rFonts w:ascii="Times New Roman" w:hAnsi="Times New Roman" w:cs="Times New Roman"/>
        </w:rPr>
        <w:t>O</w:t>
      </w:r>
      <w:r w:rsidR="00EE0E72" w:rsidRPr="00D5356C">
        <w:rPr>
          <w:rFonts w:ascii="Times New Roman" w:hAnsi="Times New Roman" w:cs="Times New Roman"/>
        </w:rPr>
        <w:t xml:space="preserve">ver </w:t>
      </w:r>
      <w:r w:rsidR="00AE5F4E">
        <w:rPr>
          <w:rFonts w:ascii="Times New Roman" w:hAnsi="Times New Roman" w:cs="Times New Roman"/>
        </w:rPr>
        <w:t>60</w:t>
      </w:r>
      <w:r w:rsidR="00042036">
        <w:rPr>
          <w:rFonts w:ascii="Times New Roman" w:hAnsi="Times New Roman" w:cs="Times New Roman"/>
        </w:rPr>
        <w:t>%</w:t>
      </w:r>
      <w:r w:rsidR="00AE5F4E">
        <w:rPr>
          <w:rFonts w:ascii="Times New Roman" w:hAnsi="Times New Roman" w:cs="Times New Roman"/>
        </w:rPr>
        <w:t xml:space="preserve"> </w:t>
      </w:r>
      <w:r w:rsidR="00EE0E72" w:rsidRPr="00D5356C">
        <w:rPr>
          <w:rFonts w:ascii="Times New Roman" w:hAnsi="Times New Roman" w:cs="Times New Roman"/>
        </w:rPr>
        <w:t xml:space="preserve">of the </w:t>
      </w:r>
      <w:r w:rsidR="00775256">
        <w:rPr>
          <w:rFonts w:ascii="Times New Roman" w:hAnsi="Times New Roman" w:cs="Times New Roman"/>
        </w:rPr>
        <w:t>i</w:t>
      </w:r>
      <w:r w:rsidR="00EE0E72" w:rsidRPr="00D5356C">
        <w:rPr>
          <w:rFonts w:ascii="Times New Roman" w:hAnsi="Times New Roman" w:cs="Times New Roman"/>
        </w:rPr>
        <w:t xml:space="preserve">ndividual </w:t>
      </w:r>
      <w:r w:rsidR="00AA091B">
        <w:rPr>
          <w:rFonts w:ascii="Times New Roman" w:hAnsi="Times New Roman" w:cs="Times New Roman"/>
        </w:rPr>
        <w:t>chapter</w:t>
      </w:r>
      <w:r w:rsidR="00EE0E72" w:rsidRPr="00D5356C">
        <w:rPr>
          <w:rFonts w:ascii="Times New Roman" w:hAnsi="Times New Roman" w:cs="Times New Roman"/>
        </w:rPr>
        <w:t xml:space="preserve"> </w:t>
      </w:r>
      <w:r w:rsidR="002B1DBA">
        <w:rPr>
          <w:rFonts w:ascii="Times New Roman" w:hAnsi="Times New Roman" w:cs="Times New Roman"/>
        </w:rPr>
        <w:t xml:space="preserve">11 cases </w:t>
      </w:r>
      <w:r w:rsidR="00EE0E72" w:rsidRPr="00D5356C">
        <w:rPr>
          <w:rFonts w:ascii="Times New Roman" w:hAnsi="Times New Roman" w:cs="Times New Roman"/>
        </w:rPr>
        <w:t xml:space="preserve">in </w:t>
      </w:r>
      <w:r w:rsidR="00AE5F4E">
        <w:rPr>
          <w:rFonts w:ascii="Times New Roman" w:hAnsi="Times New Roman" w:cs="Times New Roman"/>
        </w:rPr>
        <w:t xml:space="preserve">our </w:t>
      </w:r>
      <w:r w:rsidR="00775256">
        <w:rPr>
          <w:rFonts w:ascii="Times New Roman" w:hAnsi="Times New Roman" w:cs="Times New Roman"/>
        </w:rPr>
        <w:t>PACER data</w:t>
      </w:r>
      <w:r w:rsidR="00EE0E72" w:rsidRPr="00D5356C">
        <w:rPr>
          <w:rFonts w:ascii="Times New Roman" w:hAnsi="Times New Roman" w:cs="Times New Roman"/>
        </w:rPr>
        <w:t xml:space="preserve"> sample </w:t>
      </w:r>
      <w:r w:rsidR="00775256">
        <w:rPr>
          <w:rFonts w:ascii="Times New Roman" w:hAnsi="Times New Roman" w:cs="Times New Roman"/>
        </w:rPr>
        <w:t>were</w:t>
      </w:r>
      <w:r w:rsidR="00EE0E72" w:rsidRPr="00D5356C">
        <w:rPr>
          <w:rFonts w:ascii="Times New Roman" w:hAnsi="Times New Roman" w:cs="Times New Roman"/>
        </w:rPr>
        <w:t xml:space="preserve"> filed by attorneys who </w:t>
      </w:r>
      <w:r w:rsidR="00775256">
        <w:rPr>
          <w:rFonts w:ascii="Times New Roman" w:hAnsi="Times New Roman" w:cs="Times New Roman"/>
        </w:rPr>
        <w:t xml:space="preserve">had </w:t>
      </w:r>
      <w:r w:rsidR="00EE0E72" w:rsidRPr="00D5356C">
        <w:rPr>
          <w:rFonts w:ascii="Times New Roman" w:hAnsi="Times New Roman" w:cs="Times New Roman"/>
        </w:rPr>
        <w:t xml:space="preserve">filed </w:t>
      </w:r>
      <w:r w:rsidR="00AE5F4E">
        <w:rPr>
          <w:rFonts w:ascii="Times New Roman" w:hAnsi="Times New Roman" w:cs="Times New Roman"/>
        </w:rPr>
        <w:t>five</w:t>
      </w:r>
      <w:r w:rsidR="00AE5F4E" w:rsidRPr="00D5356C">
        <w:rPr>
          <w:rFonts w:ascii="Times New Roman" w:hAnsi="Times New Roman" w:cs="Times New Roman"/>
        </w:rPr>
        <w:t xml:space="preserve"> </w:t>
      </w:r>
      <w:r w:rsidR="00EE0E72" w:rsidRPr="00D5356C">
        <w:rPr>
          <w:rFonts w:ascii="Times New Roman" w:hAnsi="Times New Roman" w:cs="Times New Roman"/>
        </w:rPr>
        <w:t xml:space="preserve">or fewer petitions </w:t>
      </w:r>
      <w:r w:rsidR="00775256">
        <w:rPr>
          <w:rFonts w:ascii="Times New Roman" w:hAnsi="Times New Roman" w:cs="Times New Roman"/>
        </w:rPr>
        <w:t>in 2010 and 2013 combined.</w:t>
      </w:r>
      <w:r w:rsidR="00EE0E72" w:rsidRPr="00D5356C">
        <w:rPr>
          <w:rFonts w:ascii="Times New Roman" w:hAnsi="Times New Roman" w:cs="Times New Roman"/>
        </w:rPr>
        <w:t xml:space="preserve"> </w:t>
      </w:r>
      <w:r w:rsidR="006D37EC">
        <w:rPr>
          <w:rFonts w:ascii="Times New Roman" w:hAnsi="Times New Roman" w:cs="Times New Roman"/>
          <w:i/>
        </w:rPr>
        <w:t xml:space="preserve">See </w:t>
      </w:r>
      <w:r w:rsidR="006D37EC">
        <w:rPr>
          <w:rFonts w:ascii="Times New Roman" w:hAnsi="Times New Roman" w:cs="Times New Roman"/>
        </w:rPr>
        <w:t>Column (D)</w:t>
      </w:r>
      <w:r w:rsidR="00DC2EA3">
        <w:rPr>
          <w:rFonts w:ascii="Times New Roman" w:hAnsi="Times New Roman" w:cs="Times New Roman"/>
        </w:rPr>
        <w:t>, Rows (5)-(7)</w:t>
      </w:r>
      <w:r w:rsidR="006D37EC">
        <w:rPr>
          <w:rFonts w:ascii="Times New Roman" w:hAnsi="Times New Roman" w:cs="Times New Roman"/>
        </w:rPr>
        <w:t xml:space="preserve"> of Table </w:t>
      </w:r>
      <w:r w:rsidR="00315FCA">
        <w:rPr>
          <w:rFonts w:ascii="Times New Roman" w:hAnsi="Times New Roman" w:cs="Times New Roman"/>
        </w:rPr>
        <w:t>8</w:t>
      </w:r>
      <w:r w:rsidR="006D37EC">
        <w:rPr>
          <w:rFonts w:ascii="Times New Roman" w:hAnsi="Times New Roman" w:cs="Times New Roman"/>
        </w:rPr>
        <w:t xml:space="preserve">. </w:t>
      </w:r>
      <w:r w:rsidR="00AE5F4E">
        <w:rPr>
          <w:rFonts w:ascii="Times New Roman" w:hAnsi="Times New Roman" w:cs="Times New Roman"/>
        </w:rPr>
        <w:t xml:space="preserve">By contrast, only around </w:t>
      </w:r>
      <w:r>
        <w:rPr>
          <w:rFonts w:ascii="Times New Roman" w:hAnsi="Times New Roman" w:cs="Times New Roman"/>
        </w:rPr>
        <w:t>21</w:t>
      </w:r>
      <w:r w:rsidR="00042036">
        <w:rPr>
          <w:rFonts w:ascii="Times New Roman" w:hAnsi="Times New Roman" w:cs="Times New Roman"/>
        </w:rPr>
        <w:t>%</w:t>
      </w:r>
      <w:r w:rsidR="00AE5F4E">
        <w:rPr>
          <w:rFonts w:ascii="Times New Roman" w:hAnsi="Times New Roman" w:cs="Times New Roman"/>
        </w:rPr>
        <w:t xml:space="preserve"> of our cases were handled by attorneys who worked on eleven or more cases in 2010 and 2013 combined.</w:t>
      </w:r>
      <w:r>
        <w:rPr>
          <w:rFonts w:ascii="Times New Roman" w:hAnsi="Times New Roman" w:cs="Times New Roman"/>
        </w:rPr>
        <w:t xml:space="preserve"> </w:t>
      </w:r>
      <w:r>
        <w:rPr>
          <w:rFonts w:ascii="Times New Roman" w:hAnsi="Times New Roman" w:cs="Times New Roman"/>
          <w:i/>
        </w:rPr>
        <w:t xml:space="preserve">See </w:t>
      </w:r>
      <w:r>
        <w:rPr>
          <w:rFonts w:ascii="Times New Roman" w:hAnsi="Times New Roman" w:cs="Times New Roman"/>
        </w:rPr>
        <w:t>Column (D)</w:t>
      </w:r>
      <w:r w:rsidR="00DC2EA3">
        <w:rPr>
          <w:rFonts w:ascii="Times New Roman" w:hAnsi="Times New Roman" w:cs="Times New Roman"/>
        </w:rPr>
        <w:t>, Rows (1)-(3)</w:t>
      </w:r>
      <w:r>
        <w:rPr>
          <w:rFonts w:ascii="Times New Roman" w:hAnsi="Times New Roman" w:cs="Times New Roman"/>
        </w:rPr>
        <w:t xml:space="preserve"> of Table </w:t>
      </w:r>
      <w:r w:rsidR="00315FCA">
        <w:rPr>
          <w:rFonts w:ascii="Times New Roman" w:hAnsi="Times New Roman" w:cs="Times New Roman"/>
        </w:rPr>
        <w:t>8</w:t>
      </w:r>
      <w:r>
        <w:rPr>
          <w:rFonts w:ascii="Times New Roman" w:hAnsi="Times New Roman" w:cs="Times New Roman"/>
        </w:rPr>
        <w:t>.</w:t>
      </w:r>
    </w:p>
    <w:p w14:paraId="3994E6F3" w14:textId="575FD316" w:rsidR="00DC2EA3" w:rsidRDefault="003B42E7" w:rsidP="009629EF">
      <w:pPr>
        <w:spacing w:line="480" w:lineRule="auto"/>
        <w:ind w:firstLine="720"/>
        <w:rPr>
          <w:rFonts w:ascii="Times New Roman" w:hAnsi="Times New Roman" w:cs="Times New Roman"/>
          <w:b/>
        </w:rPr>
      </w:pPr>
      <w:r w:rsidRPr="00D5356C">
        <w:rPr>
          <w:rFonts w:ascii="Times New Roman" w:hAnsi="Times New Roman" w:cs="Times New Roman"/>
        </w:rPr>
        <w:t xml:space="preserve">We used two methods to identify pro se filings. First, we looked for the </w:t>
      </w:r>
      <w:r w:rsidR="008C726D">
        <w:rPr>
          <w:rFonts w:ascii="Times New Roman" w:hAnsi="Times New Roman" w:cs="Times New Roman"/>
        </w:rPr>
        <w:t>text “pro se” following “debtor” or “possession.</w:t>
      </w:r>
      <w:r w:rsidRPr="00D5356C">
        <w:rPr>
          <w:rFonts w:ascii="Times New Roman" w:hAnsi="Times New Roman" w:cs="Times New Roman"/>
        </w:rPr>
        <w:t>”</w:t>
      </w:r>
      <w:r w:rsidR="00D02D60">
        <w:rPr>
          <w:rFonts w:ascii="Times New Roman" w:hAnsi="Times New Roman" w:cs="Times New Roman"/>
        </w:rPr>
        <w:t xml:space="preserve"> </w:t>
      </w:r>
      <w:r w:rsidRPr="00D5356C">
        <w:rPr>
          <w:rFonts w:ascii="Times New Roman" w:hAnsi="Times New Roman" w:cs="Times New Roman"/>
        </w:rPr>
        <w:t xml:space="preserve">Using </w:t>
      </w:r>
      <w:r w:rsidR="00775256">
        <w:rPr>
          <w:rFonts w:ascii="Times New Roman" w:hAnsi="Times New Roman" w:cs="Times New Roman"/>
        </w:rPr>
        <w:t xml:space="preserve">the first </w:t>
      </w:r>
      <w:r w:rsidRPr="00D5356C">
        <w:rPr>
          <w:rFonts w:ascii="Times New Roman" w:hAnsi="Times New Roman" w:cs="Times New Roman"/>
        </w:rPr>
        <w:t>method</w:t>
      </w:r>
      <w:r w:rsidR="00775256">
        <w:rPr>
          <w:rFonts w:ascii="Times New Roman" w:hAnsi="Times New Roman" w:cs="Times New Roman"/>
        </w:rPr>
        <w:t>,</w:t>
      </w:r>
      <w:r w:rsidRPr="00D5356C">
        <w:rPr>
          <w:rFonts w:ascii="Times New Roman" w:hAnsi="Times New Roman" w:cs="Times New Roman"/>
        </w:rPr>
        <w:t xml:space="preserve"> we estimate</w:t>
      </w:r>
      <w:r w:rsidR="008C726D">
        <w:rPr>
          <w:rFonts w:ascii="Times New Roman" w:hAnsi="Times New Roman" w:cs="Times New Roman"/>
        </w:rPr>
        <w:t>d</w:t>
      </w:r>
      <w:r w:rsidRPr="00D5356C">
        <w:rPr>
          <w:rFonts w:ascii="Times New Roman" w:hAnsi="Times New Roman" w:cs="Times New Roman"/>
        </w:rPr>
        <w:t xml:space="preserve"> that in our combined sample of 2010 and 2013 filings, about 8.2</w:t>
      </w:r>
      <w:r w:rsidR="00042036">
        <w:rPr>
          <w:rFonts w:ascii="Times New Roman" w:hAnsi="Times New Roman" w:cs="Times New Roman"/>
        </w:rPr>
        <w:t>%</w:t>
      </w:r>
      <w:r w:rsidRPr="00D5356C">
        <w:rPr>
          <w:rFonts w:ascii="Times New Roman" w:hAnsi="Times New Roman" w:cs="Times New Roman"/>
        </w:rPr>
        <w:t xml:space="preserve"> (54</w:t>
      </w:r>
      <w:r w:rsidR="00737396">
        <w:rPr>
          <w:rFonts w:ascii="Times New Roman" w:hAnsi="Times New Roman" w:cs="Times New Roman"/>
        </w:rPr>
        <w:t>6</w:t>
      </w:r>
      <w:r w:rsidRPr="00D5356C">
        <w:rPr>
          <w:rFonts w:ascii="Times New Roman" w:hAnsi="Times New Roman" w:cs="Times New Roman"/>
        </w:rPr>
        <w:t xml:space="preserve"> petitions of 6,666) of the filings were made pro se. Second, we look</w:t>
      </w:r>
      <w:r w:rsidR="00EE0E72" w:rsidRPr="00D5356C">
        <w:rPr>
          <w:rFonts w:ascii="Times New Roman" w:hAnsi="Times New Roman" w:cs="Times New Roman"/>
        </w:rPr>
        <w:t>ed</w:t>
      </w:r>
      <w:r w:rsidRPr="00D5356C">
        <w:rPr>
          <w:rFonts w:ascii="Times New Roman" w:hAnsi="Times New Roman" w:cs="Times New Roman"/>
        </w:rPr>
        <w:t xml:space="preserve"> for cases in which we </w:t>
      </w:r>
      <w:r w:rsidR="00EE0E72" w:rsidRPr="00D5356C">
        <w:rPr>
          <w:rFonts w:ascii="Times New Roman" w:hAnsi="Times New Roman" w:cs="Times New Roman"/>
        </w:rPr>
        <w:t xml:space="preserve">could not identify an attorney name </w:t>
      </w:r>
      <w:r w:rsidR="00C279A2" w:rsidRPr="00D5356C">
        <w:rPr>
          <w:rFonts w:ascii="Times New Roman" w:hAnsi="Times New Roman" w:cs="Times New Roman"/>
        </w:rPr>
        <w:t xml:space="preserve">using the technique </w:t>
      </w:r>
      <w:r w:rsidR="00BC7029">
        <w:rPr>
          <w:rFonts w:ascii="Times New Roman" w:hAnsi="Times New Roman" w:cs="Times New Roman"/>
        </w:rPr>
        <w:t xml:space="preserve">we described </w:t>
      </w:r>
      <w:r w:rsidR="00A016E0">
        <w:rPr>
          <w:rFonts w:ascii="Times New Roman" w:hAnsi="Times New Roman" w:cs="Times New Roman"/>
        </w:rPr>
        <w:t xml:space="preserve">for obtaining the data in </w:t>
      </w:r>
      <w:r w:rsidR="00BC7029">
        <w:rPr>
          <w:rFonts w:ascii="Times New Roman" w:hAnsi="Times New Roman" w:cs="Times New Roman"/>
        </w:rPr>
        <w:t xml:space="preserve">Table </w:t>
      </w:r>
      <w:r w:rsidR="00315FCA">
        <w:rPr>
          <w:rFonts w:ascii="Times New Roman" w:hAnsi="Times New Roman" w:cs="Times New Roman"/>
        </w:rPr>
        <w:t>8</w:t>
      </w:r>
      <w:r w:rsidR="00C279A2" w:rsidRPr="00D5356C">
        <w:rPr>
          <w:rFonts w:ascii="Times New Roman" w:hAnsi="Times New Roman" w:cs="Times New Roman"/>
        </w:rPr>
        <w:t>.</w:t>
      </w:r>
      <w:r w:rsidR="00EE0E72" w:rsidRPr="00D5356C">
        <w:rPr>
          <w:rFonts w:ascii="Times New Roman" w:hAnsi="Times New Roman" w:cs="Times New Roman"/>
        </w:rPr>
        <w:t xml:space="preserve"> </w:t>
      </w:r>
      <w:r w:rsidRPr="00D5356C">
        <w:rPr>
          <w:rFonts w:ascii="Times New Roman" w:hAnsi="Times New Roman" w:cs="Times New Roman"/>
        </w:rPr>
        <w:t xml:space="preserve">This </w:t>
      </w:r>
      <w:r w:rsidR="00775256">
        <w:rPr>
          <w:rFonts w:ascii="Times New Roman" w:hAnsi="Times New Roman" w:cs="Times New Roman"/>
        </w:rPr>
        <w:t xml:space="preserve">second </w:t>
      </w:r>
      <w:r w:rsidR="00C279A2" w:rsidRPr="00D5356C">
        <w:rPr>
          <w:rFonts w:ascii="Times New Roman" w:hAnsi="Times New Roman" w:cs="Times New Roman"/>
        </w:rPr>
        <w:t xml:space="preserve">method </w:t>
      </w:r>
      <w:r w:rsidRPr="00D5356C">
        <w:rPr>
          <w:rFonts w:ascii="Times New Roman" w:hAnsi="Times New Roman" w:cs="Times New Roman"/>
        </w:rPr>
        <w:t>suggests that about 8.1</w:t>
      </w:r>
      <w:r w:rsidR="00042036">
        <w:rPr>
          <w:rFonts w:ascii="Times New Roman" w:hAnsi="Times New Roman" w:cs="Times New Roman"/>
        </w:rPr>
        <w:t>%</w:t>
      </w:r>
      <w:r w:rsidRPr="00D5356C">
        <w:rPr>
          <w:rFonts w:ascii="Times New Roman" w:hAnsi="Times New Roman" w:cs="Times New Roman"/>
        </w:rPr>
        <w:t xml:space="preserve"> (537 of 6,666) of the filings were made pro se. </w:t>
      </w:r>
      <w:r w:rsidR="00775256">
        <w:rPr>
          <w:rFonts w:ascii="Times New Roman" w:hAnsi="Times New Roman" w:cs="Times New Roman"/>
        </w:rPr>
        <w:t>Th</w:t>
      </w:r>
      <w:r w:rsidR="00BC7029">
        <w:rPr>
          <w:rFonts w:ascii="Times New Roman" w:hAnsi="Times New Roman" w:cs="Times New Roman"/>
        </w:rPr>
        <w:t>e</w:t>
      </w:r>
      <w:r w:rsidRPr="00D5356C">
        <w:rPr>
          <w:rFonts w:ascii="Times New Roman" w:hAnsi="Times New Roman" w:cs="Times New Roman"/>
        </w:rPr>
        <w:t xml:space="preserve"> two measures give the same answer in almost all cases.</w:t>
      </w:r>
    </w:p>
    <w:p w14:paraId="603872F6" w14:textId="1BDBDC97" w:rsidR="00BE1E07" w:rsidRPr="00BC7029" w:rsidRDefault="00BE1E07" w:rsidP="00FC5987">
      <w:pPr>
        <w:spacing w:line="480" w:lineRule="auto"/>
        <w:rPr>
          <w:rFonts w:ascii="Times New Roman" w:hAnsi="Times New Roman" w:cs="Times New Roman"/>
          <w:b/>
        </w:rPr>
      </w:pPr>
      <w:r w:rsidRPr="00BC7029">
        <w:rPr>
          <w:rFonts w:ascii="Times New Roman" w:hAnsi="Times New Roman" w:cs="Times New Roman"/>
          <w:b/>
        </w:rPr>
        <w:t>C.</w:t>
      </w:r>
      <w:r w:rsidRPr="00BC7029">
        <w:rPr>
          <w:rFonts w:ascii="Times New Roman" w:hAnsi="Times New Roman" w:cs="Times New Roman"/>
          <w:b/>
        </w:rPr>
        <w:tab/>
      </w:r>
      <w:r w:rsidR="000301B6" w:rsidRPr="00BC7029">
        <w:rPr>
          <w:rFonts w:ascii="Times New Roman" w:hAnsi="Times New Roman" w:cs="Times New Roman"/>
          <w:b/>
        </w:rPr>
        <w:t>Involuntary Chapter 11 Cases</w:t>
      </w:r>
    </w:p>
    <w:p w14:paraId="5DBEC760" w14:textId="1F742C0C" w:rsidR="00FA3C6D" w:rsidRDefault="009652BD" w:rsidP="00CD2C6E">
      <w:pPr>
        <w:spacing w:line="480" w:lineRule="auto"/>
        <w:ind w:firstLine="720"/>
        <w:rPr>
          <w:rFonts w:ascii="Times New Roman" w:hAnsi="Times New Roman" w:cs="Times New Roman"/>
        </w:rPr>
      </w:pPr>
      <w:r>
        <w:rPr>
          <w:rFonts w:ascii="Times New Roman" w:hAnsi="Times New Roman" w:cs="Times New Roman"/>
        </w:rPr>
        <w:t>Bankruptcy courts are like hospitals in that nearly everyone who uses their services would rather tha</w:t>
      </w:r>
      <w:r w:rsidR="00F73584">
        <w:rPr>
          <w:rFonts w:ascii="Times New Roman" w:hAnsi="Times New Roman" w:cs="Times New Roman"/>
        </w:rPr>
        <w:t>t</w:t>
      </w:r>
      <w:r>
        <w:rPr>
          <w:rFonts w:ascii="Times New Roman" w:hAnsi="Times New Roman" w:cs="Times New Roman"/>
        </w:rPr>
        <w:t xml:space="preserve"> their health (financial or otherwise) made these services unnecessary. Our focus in this section is not on those debtors who wish that they had </w:t>
      </w:r>
      <w:r w:rsidR="00F73584">
        <w:rPr>
          <w:rFonts w:ascii="Times New Roman" w:hAnsi="Times New Roman" w:cs="Times New Roman"/>
        </w:rPr>
        <w:t xml:space="preserve">a better alternative than </w:t>
      </w:r>
      <w:r w:rsidR="00AA091B">
        <w:rPr>
          <w:rFonts w:ascii="Times New Roman" w:hAnsi="Times New Roman" w:cs="Times New Roman"/>
        </w:rPr>
        <w:t>chapter</w:t>
      </w:r>
      <w:r w:rsidR="00F73584">
        <w:rPr>
          <w:rFonts w:ascii="Times New Roman" w:hAnsi="Times New Roman" w:cs="Times New Roman"/>
        </w:rPr>
        <w:t xml:space="preserve"> 11, but rather </w:t>
      </w:r>
      <w:r>
        <w:rPr>
          <w:rFonts w:ascii="Times New Roman" w:hAnsi="Times New Roman" w:cs="Times New Roman"/>
        </w:rPr>
        <w:t xml:space="preserve">on those individuals who were in some sense involuntarily committed to </w:t>
      </w:r>
      <w:r w:rsidR="00AA091B">
        <w:rPr>
          <w:rFonts w:ascii="Times New Roman" w:hAnsi="Times New Roman" w:cs="Times New Roman"/>
        </w:rPr>
        <w:t>chapter</w:t>
      </w:r>
      <w:r>
        <w:rPr>
          <w:rFonts w:ascii="Times New Roman" w:hAnsi="Times New Roman" w:cs="Times New Roman"/>
        </w:rPr>
        <w:t xml:space="preserve"> 11</w:t>
      </w:r>
      <w:r w:rsidR="00F73584">
        <w:rPr>
          <w:rFonts w:ascii="Times New Roman" w:hAnsi="Times New Roman" w:cs="Times New Roman"/>
        </w:rPr>
        <w:t>’</w:t>
      </w:r>
      <w:r>
        <w:rPr>
          <w:rFonts w:ascii="Times New Roman" w:hAnsi="Times New Roman" w:cs="Times New Roman"/>
        </w:rPr>
        <w:t xml:space="preserve">s care. </w:t>
      </w:r>
      <w:r w:rsidR="00CD5AFB">
        <w:rPr>
          <w:rFonts w:ascii="Times New Roman" w:hAnsi="Times New Roman" w:cs="Times New Roman"/>
        </w:rPr>
        <w:t>D</w:t>
      </w:r>
      <w:r>
        <w:rPr>
          <w:rFonts w:ascii="Times New Roman" w:hAnsi="Times New Roman" w:cs="Times New Roman"/>
        </w:rPr>
        <w:t>ebtor</w:t>
      </w:r>
      <w:r w:rsidR="00CD5AFB">
        <w:rPr>
          <w:rFonts w:ascii="Times New Roman" w:hAnsi="Times New Roman" w:cs="Times New Roman"/>
        </w:rPr>
        <w:t>s</w:t>
      </w:r>
      <w:r>
        <w:rPr>
          <w:rFonts w:ascii="Times New Roman" w:hAnsi="Times New Roman" w:cs="Times New Roman"/>
        </w:rPr>
        <w:t xml:space="preserve"> may arrive in </w:t>
      </w:r>
      <w:r w:rsidR="00AA091B">
        <w:rPr>
          <w:rFonts w:ascii="Times New Roman" w:hAnsi="Times New Roman" w:cs="Times New Roman"/>
        </w:rPr>
        <w:t>chapter</w:t>
      </w:r>
      <w:r>
        <w:rPr>
          <w:rFonts w:ascii="Times New Roman" w:hAnsi="Times New Roman" w:cs="Times New Roman"/>
        </w:rPr>
        <w:t xml:space="preserve"> 11 against </w:t>
      </w:r>
      <w:r w:rsidR="00CD5AFB">
        <w:rPr>
          <w:rFonts w:ascii="Times New Roman" w:hAnsi="Times New Roman" w:cs="Times New Roman"/>
        </w:rPr>
        <w:t>t</w:t>
      </w:r>
      <w:r>
        <w:rPr>
          <w:rFonts w:ascii="Times New Roman" w:hAnsi="Times New Roman" w:cs="Times New Roman"/>
        </w:rPr>
        <w:t>he</w:t>
      </w:r>
      <w:r w:rsidR="00CD5AFB">
        <w:rPr>
          <w:rFonts w:ascii="Times New Roman" w:hAnsi="Times New Roman" w:cs="Times New Roman"/>
        </w:rPr>
        <w:t>i</w:t>
      </w:r>
      <w:r>
        <w:rPr>
          <w:rFonts w:ascii="Times New Roman" w:hAnsi="Times New Roman" w:cs="Times New Roman"/>
        </w:rPr>
        <w:t xml:space="preserve">r will if creditors </w:t>
      </w:r>
      <w:r w:rsidR="008C726D">
        <w:rPr>
          <w:rFonts w:ascii="Times New Roman" w:hAnsi="Times New Roman" w:cs="Times New Roman"/>
        </w:rPr>
        <w:t>file an involuntary petition</w:t>
      </w:r>
      <w:r>
        <w:rPr>
          <w:rFonts w:ascii="Times New Roman" w:hAnsi="Times New Roman" w:cs="Times New Roman"/>
        </w:rPr>
        <w:t>.</w:t>
      </w:r>
      <w:r>
        <w:rPr>
          <w:rStyle w:val="FootnoteReference"/>
          <w:rFonts w:ascii="Times New Roman" w:hAnsi="Times New Roman" w:cs="Times New Roman"/>
        </w:rPr>
        <w:footnoteReference w:id="77"/>
      </w:r>
      <w:r>
        <w:rPr>
          <w:rFonts w:ascii="Times New Roman" w:hAnsi="Times New Roman" w:cs="Times New Roman"/>
        </w:rPr>
        <w:t xml:space="preserve"> </w:t>
      </w:r>
      <w:r w:rsidR="00CD2C6E">
        <w:rPr>
          <w:rFonts w:ascii="Times New Roman" w:hAnsi="Times New Roman" w:cs="Times New Roman"/>
        </w:rPr>
        <w:t>By contrast, creditors cannot commence a</w:t>
      </w:r>
      <w:r w:rsidR="00F73584">
        <w:rPr>
          <w:rFonts w:ascii="Times New Roman" w:hAnsi="Times New Roman" w:cs="Times New Roman"/>
        </w:rPr>
        <w:t xml:space="preserve">n involuntary </w:t>
      </w:r>
      <w:r w:rsidR="00AA091B">
        <w:rPr>
          <w:rFonts w:ascii="Times New Roman" w:hAnsi="Times New Roman" w:cs="Times New Roman"/>
        </w:rPr>
        <w:t>chapter</w:t>
      </w:r>
      <w:r w:rsidR="00F73584">
        <w:rPr>
          <w:rFonts w:ascii="Times New Roman" w:hAnsi="Times New Roman" w:cs="Times New Roman"/>
        </w:rPr>
        <w:t xml:space="preserve"> 13</w:t>
      </w:r>
      <w:r w:rsidR="00CD2C6E">
        <w:rPr>
          <w:rFonts w:ascii="Times New Roman" w:hAnsi="Times New Roman" w:cs="Times New Roman"/>
        </w:rPr>
        <w:t xml:space="preserve"> case</w:t>
      </w:r>
      <w:r w:rsidR="00B432FA">
        <w:rPr>
          <w:rFonts w:ascii="Times New Roman" w:hAnsi="Times New Roman" w:cs="Times New Roman"/>
        </w:rPr>
        <w:t>.</w:t>
      </w:r>
      <w:r w:rsidR="000301B6" w:rsidRPr="00F73584">
        <w:rPr>
          <w:rStyle w:val="FootnoteReference"/>
          <w:rFonts w:ascii="Times New Roman" w:hAnsi="Times New Roman" w:cs="Times New Roman"/>
        </w:rPr>
        <w:footnoteReference w:id="78"/>
      </w:r>
      <w:r w:rsidR="000301B6" w:rsidRPr="00F73584">
        <w:rPr>
          <w:rFonts w:ascii="Times New Roman" w:hAnsi="Times New Roman" w:cs="Times New Roman"/>
        </w:rPr>
        <w:t xml:space="preserve"> The standard justification for this limitation is that creditors should not be able to force an individual into a bankruptcy regime that requires </w:t>
      </w:r>
      <w:r w:rsidR="00CD5AFB">
        <w:rPr>
          <w:rFonts w:ascii="Times New Roman" w:hAnsi="Times New Roman" w:cs="Times New Roman"/>
        </w:rPr>
        <w:t>payment out of</w:t>
      </w:r>
      <w:r w:rsidR="000301B6" w:rsidRPr="00F73584">
        <w:rPr>
          <w:rFonts w:ascii="Times New Roman" w:hAnsi="Times New Roman" w:cs="Times New Roman"/>
        </w:rPr>
        <w:t xml:space="preserve"> future income.</w:t>
      </w:r>
      <w:bookmarkStart w:id="13" w:name="_Ref276019938"/>
      <w:r w:rsidR="000301B6" w:rsidRPr="00F73584">
        <w:rPr>
          <w:rStyle w:val="FootnoteReference"/>
          <w:rFonts w:ascii="Times New Roman" w:hAnsi="Times New Roman" w:cs="Times New Roman"/>
        </w:rPr>
        <w:footnoteReference w:id="79"/>
      </w:r>
      <w:bookmarkEnd w:id="13"/>
      <w:r w:rsidR="000301B6" w:rsidRPr="00F73584">
        <w:rPr>
          <w:rFonts w:ascii="Times New Roman" w:hAnsi="Times New Roman" w:cs="Times New Roman"/>
        </w:rPr>
        <w:t xml:space="preserve"> </w:t>
      </w:r>
    </w:p>
    <w:p w14:paraId="55A3162A" w14:textId="3C769256" w:rsidR="000301B6" w:rsidRPr="0050146B" w:rsidRDefault="00883B8F" w:rsidP="00883B8F">
      <w:pPr>
        <w:spacing w:line="480" w:lineRule="auto"/>
        <w:ind w:firstLine="720"/>
        <w:rPr>
          <w:rFonts w:ascii="Times New Roman" w:hAnsi="Times New Roman" w:cs="Times New Roman"/>
        </w:rPr>
      </w:pPr>
      <w:r>
        <w:rPr>
          <w:rFonts w:ascii="Times New Roman" w:hAnsi="Times New Roman" w:cs="Times New Roman"/>
        </w:rPr>
        <w:t>Possible</w:t>
      </w:r>
      <w:r w:rsidR="008C726D">
        <w:rPr>
          <w:rFonts w:ascii="Times New Roman" w:hAnsi="Times New Roman" w:cs="Times New Roman"/>
        </w:rPr>
        <w:t xml:space="preserve"> constitutional</w:t>
      </w:r>
      <w:r>
        <w:rPr>
          <w:rFonts w:ascii="Times New Roman" w:hAnsi="Times New Roman" w:cs="Times New Roman"/>
        </w:rPr>
        <w:t xml:space="preserve"> issues </w:t>
      </w:r>
      <w:r w:rsidR="00FA3C6D">
        <w:rPr>
          <w:rFonts w:ascii="Times New Roman" w:hAnsi="Times New Roman" w:cs="Times New Roman"/>
        </w:rPr>
        <w:t>could not be tested until the 2005 Amendments</w:t>
      </w:r>
      <w:r w:rsidR="00562F4F">
        <w:rPr>
          <w:rFonts w:ascii="Times New Roman" w:hAnsi="Times New Roman" w:cs="Times New Roman"/>
        </w:rPr>
        <w:t xml:space="preserve"> </w:t>
      </w:r>
      <w:r w:rsidR="00562F4F" w:rsidRPr="00DC15A3">
        <w:rPr>
          <w:rFonts w:asciiTheme="majorHAnsi" w:hAnsiTheme="majorHAnsi"/>
        </w:rPr>
        <w:t>created t</w:t>
      </w:r>
      <w:r w:rsidR="00761FA5">
        <w:rPr>
          <w:rFonts w:asciiTheme="majorHAnsi" w:hAnsiTheme="majorHAnsi"/>
        </w:rPr>
        <w:t xml:space="preserve">he very statutory configuration in </w:t>
      </w:r>
      <w:r w:rsidR="002F573D">
        <w:rPr>
          <w:rFonts w:asciiTheme="majorHAnsi" w:hAnsiTheme="majorHAnsi"/>
        </w:rPr>
        <w:t>c</w:t>
      </w:r>
      <w:r w:rsidR="00761FA5">
        <w:rPr>
          <w:rFonts w:asciiTheme="majorHAnsi" w:hAnsiTheme="majorHAnsi"/>
        </w:rPr>
        <w:t>hapter 11</w:t>
      </w:r>
      <w:r w:rsidR="00562F4F" w:rsidRPr="00DC15A3">
        <w:rPr>
          <w:rFonts w:asciiTheme="majorHAnsi" w:hAnsiTheme="majorHAnsi"/>
        </w:rPr>
        <w:t xml:space="preserve"> that was thought, decades ago, to raise thirteenth amendment problems—that is, the possibility of an involuntary case against an individual debtor who would be required to devote future income to repayment of prepetition debts. Several changes have produced this possibility. First, the amendments added § 1115</w:t>
      </w:r>
      <w:r w:rsidR="00B86531">
        <w:rPr>
          <w:rFonts w:asciiTheme="majorHAnsi" w:hAnsiTheme="majorHAnsi"/>
        </w:rPr>
        <w:t>, which</w:t>
      </w:r>
      <w:r w:rsidR="00562F4F" w:rsidRPr="00DC15A3">
        <w:rPr>
          <w:rFonts w:asciiTheme="majorHAnsi" w:hAnsiTheme="majorHAnsi"/>
        </w:rPr>
        <w:t xml:space="preserve"> includes as property of the estate “earnings from services performed by the debtor after the commencement of the case.”</w:t>
      </w:r>
      <w:r w:rsidR="00562F4F">
        <w:rPr>
          <w:rStyle w:val="FootnoteReference"/>
          <w:rFonts w:asciiTheme="majorHAnsi" w:hAnsiTheme="majorHAnsi"/>
        </w:rPr>
        <w:footnoteReference w:id="80"/>
      </w:r>
      <w:r w:rsidR="00562F4F" w:rsidRPr="00DC15A3">
        <w:rPr>
          <w:rFonts w:asciiTheme="majorHAnsi" w:hAnsiTheme="majorHAnsi"/>
        </w:rPr>
        <w:t xml:space="preserve"> Second, the amendments added § 1123(a)(8), requiring that an individual debtor’s </w:t>
      </w:r>
      <w:r w:rsidR="002F573D">
        <w:rPr>
          <w:rFonts w:asciiTheme="majorHAnsi" w:hAnsiTheme="majorHAnsi"/>
        </w:rPr>
        <w:t>c</w:t>
      </w:r>
      <w:r w:rsidR="00562F4F" w:rsidRPr="00DC15A3">
        <w:rPr>
          <w:rFonts w:asciiTheme="majorHAnsi" w:hAnsiTheme="majorHAnsi"/>
        </w:rPr>
        <w:t>hapter 11 plan “provide for the payment to creditors . . . of all or such portion of earnings from personal services performed by the debtor after the commencement of the case . . . as is necessary for the execution of the plan.”</w:t>
      </w:r>
      <w:r w:rsidR="0047305B">
        <w:rPr>
          <w:rStyle w:val="FootnoteReference"/>
          <w:rFonts w:asciiTheme="majorHAnsi" w:hAnsiTheme="majorHAnsi"/>
        </w:rPr>
        <w:footnoteReference w:id="81"/>
      </w:r>
      <w:r w:rsidR="00562F4F" w:rsidRPr="00DC15A3">
        <w:rPr>
          <w:rFonts w:asciiTheme="majorHAnsi" w:hAnsiTheme="majorHAnsi"/>
        </w:rPr>
        <w:t xml:space="preserve"> Finally, the amendments added § 1129(a)(15)(B), which requires, as a condition for confirmation, that the debtor commit </w:t>
      </w:r>
      <w:r w:rsidR="00EE0447">
        <w:rPr>
          <w:rFonts w:asciiTheme="majorHAnsi" w:hAnsiTheme="majorHAnsi"/>
        </w:rPr>
        <w:t xml:space="preserve">an amount equal to </w:t>
      </w:r>
      <w:r w:rsidR="00562F4F" w:rsidRPr="00DC15A3">
        <w:rPr>
          <w:rFonts w:asciiTheme="majorHAnsi" w:hAnsiTheme="majorHAnsi"/>
        </w:rPr>
        <w:t xml:space="preserve">his or her “projected disposable income” for the </w:t>
      </w:r>
      <w:r w:rsidR="0047305B">
        <w:rPr>
          <w:rFonts w:asciiTheme="majorHAnsi" w:hAnsiTheme="majorHAnsi"/>
        </w:rPr>
        <w:t xml:space="preserve">longer of the </w:t>
      </w:r>
      <w:r w:rsidR="00562F4F" w:rsidRPr="00DC15A3">
        <w:rPr>
          <w:rFonts w:asciiTheme="majorHAnsi" w:hAnsiTheme="majorHAnsi"/>
        </w:rPr>
        <w:t xml:space="preserve">next five years </w:t>
      </w:r>
      <w:r w:rsidR="0047305B">
        <w:rPr>
          <w:rFonts w:asciiTheme="majorHAnsi" w:hAnsiTheme="majorHAnsi"/>
        </w:rPr>
        <w:t xml:space="preserve">or the period for which the plan provides for payments </w:t>
      </w:r>
      <w:r w:rsidR="00562F4F" w:rsidRPr="00DC15A3">
        <w:rPr>
          <w:rFonts w:asciiTheme="majorHAnsi" w:hAnsiTheme="majorHAnsi"/>
        </w:rPr>
        <w:t>.</w:t>
      </w:r>
      <w:r w:rsidR="00562F4F">
        <w:rPr>
          <w:rStyle w:val="FootnoteReference"/>
          <w:rFonts w:asciiTheme="majorHAnsi" w:hAnsiTheme="majorHAnsi"/>
        </w:rPr>
        <w:footnoteReference w:id="82"/>
      </w:r>
      <w:r w:rsidR="00562F4F">
        <w:rPr>
          <w:rFonts w:asciiTheme="majorHAnsi" w:hAnsiTheme="majorHAnsi"/>
        </w:rPr>
        <w:t xml:space="preserve"> </w:t>
      </w:r>
      <w:r w:rsidR="00562F4F" w:rsidRPr="00DC15A3">
        <w:rPr>
          <w:rFonts w:asciiTheme="majorHAnsi" w:hAnsiTheme="majorHAnsi"/>
        </w:rPr>
        <w:t xml:space="preserve">These new provisions operate in conjunction with preexisting </w:t>
      </w:r>
      <w:r w:rsidR="00E04776">
        <w:rPr>
          <w:rFonts w:asciiTheme="majorHAnsi" w:hAnsiTheme="majorHAnsi"/>
        </w:rPr>
        <w:t>c</w:t>
      </w:r>
      <w:r w:rsidR="00562F4F" w:rsidRPr="00DC15A3">
        <w:rPr>
          <w:rFonts w:asciiTheme="majorHAnsi" w:hAnsiTheme="majorHAnsi"/>
        </w:rPr>
        <w:t xml:space="preserve">hapter 11 rules:  individual </w:t>
      </w:r>
      <w:r w:rsidR="00E04776">
        <w:rPr>
          <w:rFonts w:asciiTheme="majorHAnsi" w:hAnsiTheme="majorHAnsi"/>
        </w:rPr>
        <w:t>c</w:t>
      </w:r>
      <w:r w:rsidR="00562F4F" w:rsidRPr="00DC15A3">
        <w:rPr>
          <w:rFonts w:asciiTheme="majorHAnsi" w:hAnsiTheme="majorHAnsi"/>
        </w:rPr>
        <w:t>hapter 11 debtors cannot convert an involuntary case to another chapter;</w:t>
      </w:r>
      <w:r w:rsidR="00562F4F" w:rsidRPr="00DC15A3">
        <w:rPr>
          <w:rStyle w:val="FootnoteReference"/>
          <w:rFonts w:asciiTheme="majorHAnsi" w:hAnsiTheme="majorHAnsi"/>
        </w:rPr>
        <w:footnoteReference w:id="83"/>
      </w:r>
      <w:r w:rsidR="00562F4F" w:rsidRPr="00DC15A3">
        <w:rPr>
          <w:rFonts w:asciiTheme="majorHAnsi" w:hAnsiTheme="majorHAnsi"/>
        </w:rPr>
        <w:t xml:space="preserve"> </w:t>
      </w:r>
      <w:r w:rsidR="00B86531">
        <w:rPr>
          <w:rFonts w:asciiTheme="majorHAnsi" w:hAnsiTheme="majorHAnsi"/>
        </w:rPr>
        <w:t>c</w:t>
      </w:r>
      <w:r w:rsidR="00562F4F" w:rsidRPr="00DC15A3">
        <w:rPr>
          <w:rFonts w:asciiTheme="majorHAnsi" w:hAnsiTheme="majorHAnsi"/>
        </w:rPr>
        <w:t>hapter 11 plans have no statutory maximum time limit</w:t>
      </w:r>
      <w:r w:rsidR="00562F4F" w:rsidRPr="00DC15A3">
        <w:rPr>
          <w:rStyle w:val="FootnoteReference"/>
          <w:rFonts w:asciiTheme="majorHAnsi" w:hAnsiTheme="majorHAnsi"/>
        </w:rPr>
        <w:footnoteReference w:id="84"/>
      </w:r>
      <w:r w:rsidR="00562F4F" w:rsidRPr="00DC15A3">
        <w:rPr>
          <w:rFonts w:asciiTheme="majorHAnsi" w:hAnsiTheme="majorHAnsi"/>
        </w:rPr>
        <w:t xml:space="preserve"> and can be extended on a creditor’s motion;</w:t>
      </w:r>
      <w:r w:rsidR="00562F4F" w:rsidRPr="00DC15A3">
        <w:rPr>
          <w:rStyle w:val="FootnoteReference"/>
          <w:rFonts w:asciiTheme="majorHAnsi" w:hAnsiTheme="majorHAnsi"/>
        </w:rPr>
        <w:footnoteReference w:id="85"/>
      </w:r>
      <w:r w:rsidR="00562F4F" w:rsidRPr="00DC15A3">
        <w:rPr>
          <w:rFonts w:asciiTheme="majorHAnsi" w:hAnsiTheme="majorHAnsi"/>
        </w:rPr>
        <w:t xml:space="preserve"> creditors can propose a plan in chapter 11</w:t>
      </w:r>
      <w:r w:rsidR="00B86531">
        <w:rPr>
          <w:rFonts w:asciiTheme="majorHAnsi" w:hAnsiTheme="majorHAnsi"/>
        </w:rPr>
        <w:t>, unlike in chapter 13,</w:t>
      </w:r>
      <w:r w:rsidR="00B86531">
        <w:rPr>
          <w:rStyle w:val="FootnoteReference"/>
          <w:rFonts w:asciiTheme="majorHAnsi" w:hAnsiTheme="majorHAnsi"/>
        </w:rPr>
        <w:footnoteReference w:id="86"/>
      </w:r>
      <w:r w:rsidR="00562F4F" w:rsidRPr="00DC15A3">
        <w:rPr>
          <w:rFonts w:asciiTheme="majorHAnsi" w:hAnsiTheme="majorHAnsi"/>
        </w:rPr>
        <w:t xml:space="preserve"> if the debtor has not</w:t>
      </w:r>
      <w:r w:rsidR="00B86531">
        <w:rPr>
          <w:rFonts w:asciiTheme="majorHAnsi" w:hAnsiTheme="majorHAnsi"/>
        </w:rPr>
        <w:t xml:space="preserve"> done so</w:t>
      </w:r>
      <w:r w:rsidR="00562F4F" w:rsidRPr="00DC15A3">
        <w:rPr>
          <w:rFonts w:asciiTheme="majorHAnsi" w:hAnsiTheme="majorHAnsi"/>
        </w:rPr>
        <w:t>;</w:t>
      </w:r>
      <w:r w:rsidR="00562F4F" w:rsidRPr="00DC15A3">
        <w:rPr>
          <w:rStyle w:val="FootnoteReference"/>
          <w:rFonts w:asciiTheme="majorHAnsi" w:hAnsiTheme="majorHAnsi"/>
        </w:rPr>
        <w:footnoteReference w:id="87"/>
      </w:r>
      <w:r w:rsidR="00562F4F" w:rsidRPr="00DC15A3">
        <w:rPr>
          <w:rFonts w:asciiTheme="majorHAnsi" w:hAnsiTheme="majorHAnsi"/>
        </w:rPr>
        <w:t xml:space="preserve"> and, finally, debtors in involuntary cases do not have an absolute right to dismiss the case.</w:t>
      </w:r>
      <w:r w:rsidR="00562F4F" w:rsidRPr="00DC15A3">
        <w:rPr>
          <w:rStyle w:val="FootnoteReference"/>
          <w:rFonts w:asciiTheme="majorHAnsi" w:hAnsiTheme="majorHAnsi"/>
        </w:rPr>
        <w:footnoteReference w:id="88"/>
      </w:r>
      <w:r>
        <w:rPr>
          <w:rFonts w:asciiTheme="majorHAnsi" w:hAnsiTheme="majorHAnsi"/>
        </w:rPr>
        <w:t xml:space="preserve"> </w:t>
      </w:r>
      <w:r w:rsidR="00562F4F" w:rsidRPr="00DC15A3">
        <w:rPr>
          <w:rFonts w:asciiTheme="majorHAnsi" w:hAnsiTheme="majorHAnsi"/>
        </w:rPr>
        <w:t xml:space="preserve">Taken together, these provisions allow creditors to use an involuntary </w:t>
      </w:r>
      <w:r w:rsidR="00E04776">
        <w:rPr>
          <w:rFonts w:asciiTheme="majorHAnsi" w:hAnsiTheme="majorHAnsi"/>
        </w:rPr>
        <w:t>c</w:t>
      </w:r>
      <w:r w:rsidR="00562F4F" w:rsidRPr="00DC15A3">
        <w:rPr>
          <w:rFonts w:asciiTheme="majorHAnsi" w:hAnsiTheme="majorHAnsi"/>
        </w:rPr>
        <w:t xml:space="preserve">hapter 11 bankruptcy to reach a debtor’s future income, rendering the constitutional question no longer theoretical. </w:t>
      </w:r>
      <w:r w:rsidR="00B86531">
        <w:rPr>
          <w:rFonts w:ascii="Times New Roman" w:hAnsi="Times New Roman" w:cs="Times New Roman"/>
        </w:rPr>
        <w:t>Scholars,</w:t>
      </w:r>
      <w:r w:rsidR="00B86531">
        <w:rPr>
          <w:rStyle w:val="FootnoteReference"/>
          <w:rFonts w:ascii="Times New Roman" w:hAnsi="Times New Roman" w:cs="Times New Roman"/>
        </w:rPr>
        <w:footnoteReference w:id="89"/>
      </w:r>
      <w:r w:rsidR="00B86531">
        <w:rPr>
          <w:rFonts w:ascii="Times New Roman" w:hAnsi="Times New Roman" w:cs="Times New Roman"/>
        </w:rPr>
        <w:t xml:space="preserve"> including one of us, have vigorously criticized</w:t>
      </w:r>
      <w:r w:rsidR="00B86531">
        <w:rPr>
          <w:rStyle w:val="FootnoteReference"/>
          <w:rFonts w:ascii="Times New Roman" w:hAnsi="Times New Roman" w:cs="Times New Roman"/>
        </w:rPr>
        <w:footnoteReference w:id="90"/>
      </w:r>
      <w:r w:rsidR="00B86531">
        <w:rPr>
          <w:rFonts w:ascii="Times New Roman" w:hAnsi="Times New Roman" w:cs="Times New Roman"/>
        </w:rPr>
        <w:t xml:space="preserve"> t</w:t>
      </w:r>
      <w:r w:rsidR="00562F4F">
        <w:rPr>
          <w:rFonts w:ascii="Times New Roman" w:hAnsi="Times New Roman" w:cs="Times New Roman"/>
        </w:rPr>
        <w:t>hese changes</w:t>
      </w:r>
      <w:r w:rsidR="00B86531">
        <w:rPr>
          <w:rFonts w:ascii="Times New Roman" w:hAnsi="Times New Roman" w:cs="Times New Roman"/>
        </w:rPr>
        <w:t xml:space="preserve">. </w:t>
      </w:r>
      <w:r w:rsidR="000301B6" w:rsidRPr="00F73584">
        <w:rPr>
          <w:rFonts w:ascii="Times New Roman" w:hAnsi="Times New Roman" w:cs="Times New Roman"/>
        </w:rPr>
        <w:t xml:space="preserve">We do not revisit this debate here. Rather, we </w:t>
      </w:r>
      <w:r w:rsidR="00C41B3C">
        <w:rPr>
          <w:rFonts w:ascii="Times New Roman" w:hAnsi="Times New Roman" w:cs="Times New Roman"/>
        </w:rPr>
        <w:t xml:space="preserve">demonstrate </w:t>
      </w:r>
      <w:r w:rsidR="000301B6" w:rsidRPr="00F73584">
        <w:rPr>
          <w:rFonts w:ascii="Times New Roman" w:hAnsi="Times New Roman" w:cs="Times New Roman"/>
        </w:rPr>
        <w:t xml:space="preserve">that the ability of a creditor to file an involuntary </w:t>
      </w:r>
      <w:r w:rsidR="00AA091B">
        <w:rPr>
          <w:rFonts w:ascii="Times New Roman" w:hAnsi="Times New Roman" w:cs="Times New Roman"/>
        </w:rPr>
        <w:t>chapter</w:t>
      </w:r>
      <w:r w:rsidR="000301B6" w:rsidRPr="00F73584">
        <w:rPr>
          <w:rFonts w:ascii="Times New Roman" w:hAnsi="Times New Roman" w:cs="Times New Roman"/>
        </w:rPr>
        <w:t xml:space="preserve"> 11 petition against an individual likely has little or</w:t>
      </w:r>
      <w:r w:rsidR="000301B6" w:rsidRPr="0050146B">
        <w:rPr>
          <w:rFonts w:ascii="Times New Roman" w:hAnsi="Times New Roman" w:cs="Times New Roman"/>
        </w:rPr>
        <w:t xml:space="preserve"> no practical significance.</w:t>
      </w:r>
    </w:p>
    <w:p w14:paraId="5B277637" w14:textId="759FD191" w:rsidR="00BC7E74" w:rsidRDefault="000301B6" w:rsidP="00BE1E07">
      <w:pPr>
        <w:spacing w:line="480" w:lineRule="auto"/>
        <w:ind w:firstLine="720"/>
        <w:rPr>
          <w:rFonts w:ascii="Times New Roman" w:hAnsi="Times New Roman" w:cs="Times New Roman"/>
        </w:rPr>
      </w:pPr>
      <w:r w:rsidRPr="0050146B">
        <w:rPr>
          <w:rFonts w:ascii="Times New Roman" w:hAnsi="Times New Roman" w:cs="Times New Roman"/>
        </w:rPr>
        <w:t xml:space="preserve">According to the PACER </w:t>
      </w:r>
      <w:r w:rsidR="00B86531">
        <w:rPr>
          <w:rFonts w:ascii="Times New Roman" w:hAnsi="Times New Roman" w:cs="Times New Roman"/>
        </w:rPr>
        <w:t>case r</w:t>
      </w:r>
      <w:r w:rsidRPr="0050146B">
        <w:rPr>
          <w:rFonts w:ascii="Times New Roman" w:hAnsi="Times New Roman" w:cs="Times New Roman"/>
        </w:rPr>
        <w:t xml:space="preserve">eports, just </w:t>
      </w:r>
      <w:r w:rsidR="00883B8F">
        <w:rPr>
          <w:rFonts w:ascii="Times New Roman" w:hAnsi="Times New Roman" w:cs="Times New Roman"/>
        </w:rPr>
        <w:t>twenty-eight</w:t>
      </w:r>
      <w:r w:rsidRPr="0050146B">
        <w:rPr>
          <w:rFonts w:ascii="Times New Roman" w:hAnsi="Times New Roman" w:cs="Times New Roman"/>
        </w:rPr>
        <w:t xml:space="preserve"> of the 6,6</w:t>
      </w:r>
      <w:r w:rsidR="00720075">
        <w:rPr>
          <w:rFonts w:ascii="Times New Roman" w:hAnsi="Times New Roman" w:cs="Times New Roman"/>
        </w:rPr>
        <w:t>66</w:t>
      </w:r>
      <w:r w:rsidR="00EC0B75" w:rsidRPr="0050146B">
        <w:rPr>
          <w:rStyle w:val="FootnoteReference"/>
          <w:rFonts w:ascii="Times New Roman" w:hAnsi="Times New Roman" w:cs="Times New Roman"/>
        </w:rPr>
        <w:footnoteReference w:id="91"/>
      </w:r>
      <w:r w:rsidRPr="0050146B">
        <w:rPr>
          <w:rFonts w:ascii="Times New Roman" w:hAnsi="Times New Roman" w:cs="Times New Roman"/>
        </w:rPr>
        <w:t xml:space="preserve"> individual </w:t>
      </w:r>
      <w:r w:rsidR="00AA091B">
        <w:rPr>
          <w:rFonts w:ascii="Times New Roman" w:hAnsi="Times New Roman" w:cs="Times New Roman"/>
        </w:rPr>
        <w:t>chapter</w:t>
      </w:r>
      <w:r w:rsidRPr="0050146B">
        <w:rPr>
          <w:rFonts w:ascii="Times New Roman" w:hAnsi="Times New Roman" w:cs="Times New Roman"/>
        </w:rPr>
        <w:t xml:space="preserve"> 11 bankruptcies in our sample (0.4</w:t>
      </w:r>
      <w:r w:rsidR="00042036">
        <w:rPr>
          <w:rFonts w:ascii="Times New Roman" w:hAnsi="Times New Roman" w:cs="Times New Roman"/>
        </w:rPr>
        <w:t>%</w:t>
      </w:r>
      <w:r w:rsidRPr="0050146B">
        <w:rPr>
          <w:rFonts w:ascii="Times New Roman" w:hAnsi="Times New Roman" w:cs="Times New Roman"/>
        </w:rPr>
        <w:t xml:space="preserve">) were started with an involuntary </w:t>
      </w:r>
      <w:r w:rsidR="00AA091B">
        <w:rPr>
          <w:rFonts w:ascii="Times New Roman" w:hAnsi="Times New Roman" w:cs="Times New Roman"/>
        </w:rPr>
        <w:t>chapter</w:t>
      </w:r>
      <w:r w:rsidR="00720075">
        <w:rPr>
          <w:rFonts w:ascii="Times New Roman" w:hAnsi="Times New Roman" w:cs="Times New Roman"/>
        </w:rPr>
        <w:t xml:space="preserve"> 11 </w:t>
      </w:r>
      <w:r w:rsidRPr="0050146B">
        <w:rPr>
          <w:rFonts w:ascii="Times New Roman" w:hAnsi="Times New Roman" w:cs="Times New Roman"/>
        </w:rPr>
        <w:t>petition. Because there were so few involuntary petitions, we examined each one.</w:t>
      </w:r>
    </w:p>
    <w:p w14:paraId="16340E98" w14:textId="13490743" w:rsidR="003176DF" w:rsidRPr="0050146B" w:rsidRDefault="003176DF" w:rsidP="0050146B">
      <w:pPr>
        <w:pStyle w:val="FootnoteText"/>
        <w:spacing w:line="480" w:lineRule="auto"/>
        <w:ind w:firstLine="720"/>
        <w:rPr>
          <w:rFonts w:ascii="Times New Roman" w:hAnsi="Times New Roman" w:cs="Times New Roman"/>
        </w:rPr>
      </w:pPr>
      <w:r w:rsidRPr="0050146B">
        <w:rPr>
          <w:rFonts w:ascii="Times New Roman" w:hAnsi="Times New Roman" w:cs="Times New Roman"/>
        </w:rPr>
        <w:t xml:space="preserve">In 2010, only </w:t>
      </w:r>
      <w:r w:rsidR="00B34DD5">
        <w:rPr>
          <w:rFonts w:ascii="Times New Roman" w:hAnsi="Times New Roman" w:cs="Times New Roman"/>
        </w:rPr>
        <w:t>fourteen</w:t>
      </w:r>
      <w:r>
        <w:rPr>
          <w:rFonts w:ascii="Times New Roman" w:hAnsi="Times New Roman" w:cs="Times New Roman"/>
        </w:rPr>
        <w:t xml:space="preserve"> </w:t>
      </w:r>
      <w:r w:rsidRPr="0050146B">
        <w:rPr>
          <w:rFonts w:ascii="Times New Roman" w:hAnsi="Times New Roman" w:cs="Times New Roman"/>
        </w:rPr>
        <w:t xml:space="preserve">individual cases began with an involuntary petition in </w:t>
      </w:r>
      <w:r w:rsidR="00AA091B">
        <w:rPr>
          <w:rFonts w:ascii="Times New Roman" w:hAnsi="Times New Roman" w:cs="Times New Roman"/>
        </w:rPr>
        <w:t>chapter</w:t>
      </w:r>
      <w:r w:rsidRPr="0050146B">
        <w:rPr>
          <w:rFonts w:ascii="Times New Roman" w:hAnsi="Times New Roman" w:cs="Times New Roman"/>
        </w:rPr>
        <w:t xml:space="preserve"> 11. </w:t>
      </w:r>
      <w:r w:rsidR="00B34DD5">
        <w:rPr>
          <w:rFonts w:ascii="Times New Roman" w:hAnsi="Times New Roman" w:cs="Times New Roman"/>
        </w:rPr>
        <w:t>Two of these fourteen cases, however, were mistakenly filed as involuntary petitions,</w:t>
      </w:r>
      <w:r w:rsidR="00B34DD5">
        <w:rPr>
          <w:rStyle w:val="FootnoteReference"/>
          <w:rFonts w:ascii="Times New Roman" w:hAnsi="Times New Roman" w:cs="Times New Roman"/>
        </w:rPr>
        <w:footnoteReference w:id="92"/>
      </w:r>
      <w:r w:rsidR="00B34DD5">
        <w:rPr>
          <w:rFonts w:ascii="Times New Roman" w:hAnsi="Times New Roman" w:cs="Times New Roman"/>
        </w:rPr>
        <w:t xml:space="preserve"> while </w:t>
      </w:r>
      <w:r w:rsidR="00B34DD5" w:rsidRPr="00B34DD5">
        <w:rPr>
          <w:rFonts w:ascii="Times New Roman" w:hAnsi="Times New Roman" w:cs="Times New Roman"/>
        </w:rPr>
        <w:t>a</w:t>
      </w:r>
      <w:r w:rsidR="00B34DD5" w:rsidRPr="00447920">
        <w:rPr>
          <w:rFonts w:ascii="Times New Roman" w:hAnsi="Times New Roman" w:cs="Times New Roman"/>
        </w:rPr>
        <w:t xml:space="preserve"> third case was transferred intra-district and </w:t>
      </w:r>
      <w:r w:rsidR="00B34DD5">
        <w:rPr>
          <w:rFonts w:ascii="Times New Roman" w:hAnsi="Times New Roman" w:cs="Times New Roman"/>
        </w:rPr>
        <w:t xml:space="preserve">PACER counted it as </w:t>
      </w:r>
      <w:r w:rsidR="00B34DD5" w:rsidRPr="00447920">
        <w:rPr>
          <w:rFonts w:ascii="Times New Roman" w:hAnsi="Times New Roman" w:cs="Times New Roman"/>
        </w:rPr>
        <w:t>two, rather than one, involuntary filing.</w:t>
      </w:r>
      <w:r w:rsidR="00B34DD5">
        <w:rPr>
          <w:rStyle w:val="FootnoteReference"/>
          <w:rFonts w:ascii="Times New Roman" w:hAnsi="Times New Roman" w:cs="Times New Roman"/>
        </w:rPr>
        <w:footnoteReference w:id="93"/>
      </w:r>
      <w:r w:rsidR="00B34DD5">
        <w:rPr>
          <w:rFonts w:ascii="Times New Roman" w:hAnsi="Times New Roman" w:cs="Times New Roman"/>
        </w:rPr>
        <w:t xml:space="preserve"> Thus, there were really only eleven involuntary </w:t>
      </w:r>
      <w:r w:rsidR="00AA091B">
        <w:rPr>
          <w:rFonts w:ascii="Times New Roman" w:hAnsi="Times New Roman" w:cs="Times New Roman"/>
        </w:rPr>
        <w:t>chapter</w:t>
      </w:r>
      <w:r w:rsidR="00B34DD5">
        <w:rPr>
          <w:rFonts w:ascii="Times New Roman" w:hAnsi="Times New Roman" w:cs="Times New Roman"/>
        </w:rPr>
        <w:t xml:space="preserve"> 11 petitions filed in 2010. </w:t>
      </w:r>
      <w:r w:rsidRPr="0050146B">
        <w:rPr>
          <w:rFonts w:ascii="Times New Roman" w:hAnsi="Times New Roman" w:cs="Times New Roman"/>
        </w:rPr>
        <w:t xml:space="preserve">Another </w:t>
      </w:r>
      <w:r>
        <w:rPr>
          <w:rFonts w:ascii="Times New Roman" w:hAnsi="Times New Roman" w:cs="Times New Roman"/>
        </w:rPr>
        <w:t>three</w:t>
      </w:r>
      <w:r w:rsidRPr="0050146B">
        <w:rPr>
          <w:rFonts w:ascii="Times New Roman" w:hAnsi="Times New Roman" w:cs="Times New Roman"/>
        </w:rPr>
        <w:t xml:space="preserve"> cases began as involuntary </w:t>
      </w:r>
      <w:r w:rsidR="00AA091B">
        <w:rPr>
          <w:rFonts w:ascii="Times New Roman" w:hAnsi="Times New Roman" w:cs="Times New Roman"/>
        </w:rPr>
        <w:t>chapter</w:t>
      </w:r>
      <w:r w:rsidRPr="0050146B">
        <w:rPr>
          <w:rFonts w:ascii="Times New Roman" w:hAnsi="Times New Roman" w:cs="Times New Roman"/>
        </w:rPr>
        <w:t xml:space="preserve"> 7 cases that converted to </w:t>
      </w:r>
      <w:r w:rsidR="00AA091B">
        <w:rPr>
          <w:rFonts w:ascii="Times New Roman" w:hAnsi="Times New Roman" w:cs="Times New Roman"/>
        </w:rPr>
        <w:t>chapter</w:t>
      </w:r>
      <w:r w:rsidRPr="0050146B">
        <w:rPr>
          <w:rFonts w:ascii="Times New Roman" w:hAnsi="Times New Roman" w:cs="Times New Roman"/>
        </w:rPr>
        <w:t xml:space="preserve"> 11.</w:t>
      </w:r>
      <w:r w:rsidRPr="0050146B">
        <w:rPr>
          <w:rStyle w:val="FootnoteReference"/>
          <w:rFonts w:ascii="Times New Roman" w:hAnsi="Times New Roman" w:cs="Times New Roman"/>
        </w:rPr>
        <w:footnoteReference w:id="94"/>
      </w:r>
      <w:r w:rsidRPr="0050146B">
        <w:rPr>
          <w:rFonts w:ascii="Times New Roman" w:hAnsi="Times New Roman" w:cs="Times New Roman"/>
        </w:rPr>
        <w:t xml:space="preserve"> Of these </w:t>
      </w:r>
      <w:r>
        <w:rPr>
          <w:rFonts w:ascii="Times New Roman" w:hAnsi="Times New Roman" w:cs="Times New Roman"/>
        </w:rPr>
        <w:t xml:space="preserve">fourteen </w:t>
      </w:r>
      <w:r w:rsidRPr="0050146B">
        <w:rPr>
          <w:rFonts w:ascii="Times New Roman" w:hAnsi="Times New Roman" w:cs="Times New Roman"/>
        </w:rPr>
        <w:t xml:space="preserve">cases, however, the bankruptcy court entered an order for relief in </w:t>
      </w:r>
      <w:r>
        <w:rPr>
          <w:rFonts w:ascii="Times New Roman" w:hAnsi="Times New Roman" w:cs="Times New Roman"/>
        </w:rPr>
        <w:t>four</w:t>
      </w:r>
      <w:r w:rsidRPr="0050146B">
        <w:rPr>
          <w:rFonts w:ascii="Times New Roman" w:hAnsi="Times New Roman" w:cs="Times New Roman"/>
        </w:rPr>
        <w:t xml:space="preserve"> cases, only </w:t>
      </w:r>
      <w:r>
        <w:rPr>
          <w:rFonts w:ascii="Times New Roman" w:hAnsi="Times New Roman" w:cs="Times New Roman"/>
        </w:rPr>
        <w:t>two</w:t>
      </w:r>
      <w:r w:rsidRPr="0050146B">
        <w:rPr>
          <w:rFonts w:ascii="Times New Roman" w:hAnsi="Times New Roman" w:cs="Times New Roman"/>
        </w:rPr>
        <w:t xml:space="preserve"> of whi</w:t>
      </w:r>
      <w:r w:rsidRPr="003176DF">
        <w:rPr>
          <w:rFonts w:ascii="Times New Roman" w:hAnsi="Times New Roman" w:cs="Times New Roman"/>
        </w:rPr>
        <w:t xml:space="preserve">ch started with </w:t>
      </w:r>
      <w:r>
        <w:rPr>
          <w:rFonts w:ascii="Times New Roman" w:hAnsi="Times New Roman" w:cs="Times New Roman"/>
        </w:rPr>
        <w:t xml:space="preserve">the filing of </w:t>
      </w:r>
      <w:r w:rsidRPr="003176DF">
        <w:rPr>
          <w:rFonts w:ascii="Times New Roman" w:hAnsi="Times New Roman" w:cs="Times New Roman"/>
        </w:rPr>
        <w:t xml:space="preserve">an involuntary </w:t>
      </w:r>
      <w:r w:rsidR="00AA091B">
        <w:rPr>
          <w:rFonts w:ascii="Times New Roman" w:hAnsi="Times New Roman" w:cs="Times New Roman"/>
        </w:rPr>
        <w:t>chapter</w:t>
      </w:r>
      <w:r w:rsidRPr="0050146B">
        <w:rPr>
          <w:rFonts w:ascii="Times New Roman" w:hAnsi="Times New Roman" w:cs="Times New Roman"/>
        </w:rPr>
        <w:t xml:space="preserve"> 11 petition.</w:t>
      </w:r>
      <w:r w:rsidRPr="0050146B">
        <w:rPr>
          <w:rStyle w:val="FootnoteReference"/>
          <w:rFonts w:ascii="Times New Roman" w:hAnsi="Times New Roman" w:cs="Times New Roman"/>
        </w:rPr>
        <w:footnoteReference w:id="95"/>
      </w:r>
      <w:r w:rsidRPr="0050146B">
        <w:rPr>
          <w:rFonts w:ascii="Times New Roman" w:hAnsi="Times New Roman" w:cs="Times New Roman"/>
        </w:rPr>
        <w:t xml:space="preserve"> </w:t>
      </w:r>
      <w:r w:rsidR="0028362D">
        <w:rPr>
          <w:rFonts w:ascii="Times New Roman" w:hAnsi="Times New Roman" w:cs="Times New Roman"/>
        </w:rPr>
        <w:t>Neither o</w:t>
      </w:r>
      <w:r w:rsidR="00567541">
        <w:rPr>
          <w:rFonts w:ascii="Times New Roman" w:hAnsi="Times New Roman" w:cs="Times New Roman"/>
        </w:rPr>
        <w:t>f these two involuntary</w:t>
      </w:r>
      <w:r w:rsidR="00930EB3">
        <w:rPr>
          <w:rFonts w:ascii="Times New Roman" w:hAnsi="Times New Roman" w:cs="Times New Roman"/>
        </w:rPr>
        <w:t xml:space="preserve"> </w:t>
      </w:r>
      <w:r w:rsidR="00AA091B">
        <w:rPr>
          <w:rFonts w:ascii="Times New Roman" w:hAnsi="Times New Roman" w:cs="Times New Roman"/>
        </w:rPr>
        <w:t>chapter</w:t>
      </w:r>
      <w:r w:rsidR="00567541">
        <w:rPr>
          <w:rFonts w:ascii="Times New Roman" w:hAnsi="Times New Roman" w:cs="Times New Roman"/>
        </w:rPr>
        <w:t xml:space="preserve"> 11 cases, however, progressed to plan confirmation. In one case, the bankruptcy court dismissed the case less than four months after entering the order for relief.</w:t>
      </w:r>
      <w:r w:rsidR="00567541">
        <w:rPr>
          <w:rStyle w:val="FootnoteReference"/>
          <w:rFonts w:ascii="Times New Roman" w:hAnsi="Times New Roman" w:cs="Times New Roman"/>
        </w:rPr>
        <w:footnoteReference w:id="96"/>
      </w:r>
      <w:r w:rsidR="00567541">
        <w:rPr>
          <w:rFonts w:ascii="Times New Roman" w:hAnsi="Times New Roman" w:cs="Times New Roman"/>
        </w:rPr>
        <w:t xml:space="preserve"> In the other, the bankruptcy court ordered the joi</w:t>
      </w:r>
      <w:r w:rsidR="00E04776">
        <w:rPr>
          <w:rFonts w:ascii="Times New Roman" w:hAnsi="Times New Roman" w:cs="Times New Roman"/>
        </w:rPr>
        <w:t>nt administration of the debtor-</w:t>
      </w:r>
      <w:r w:rsidR="00567541">
        <w:rPr>
          <w:rFonts w:ascii="Times New Roman" w:hAnsi="Times New Roman" w:cs="Times New Roman"/>
        </w:rPr>
        <w:t>wife’s i</w:t>
      </w:r>
      <w:r w:rsidR="00E04776">
        <w:rPr>
          <w:rFonts w:ascii="Times New Roman" w:hAnsi="Times New Roman" w:cs="Times New Roman"/>
        </w:rPr>
        <w:t>nvoluntary case with her debtor-</w:t>
      </w:r>
      <w:r w:rsidR="00567541">
        <w:rPr>
          <w:rFonts w:ascii="Times New Roman" w:hAnsi="Times New Roman" w:cs="Times New Roman"/>
        </w:rPr>
        <w:t xml:space="preserve">husband’s voluntary </w:t>
      </w:r>
      <w:r w:rsidR="00AA091B">
        <w:rPr>
          <w:rFonts w:ascii="Times New Roman" w:hAnsi="Times New Roman" w:cs="Times New Roman"/>
        </w:rPr>
        <w:t>chapter</w:t>
      </w:r>
      <w:r w:rsidR="00567541">
        <w:rPr>
          <w:rFonts w:ascii="Times New Roman" w:hAnsi="Times New Roman" w:cs="Times New Roman"/>
        </w:rPr>
        <w:t xml:space="preserve"> 11 case</w:t>
      </w:r>
      <w:r w:rsidR="00883B8F">
        <w:rPr>
          <w:rFonts w:ascii="Times New Roman" w:hAnsi="Times New Roman" w:cs="Times New Roman"/>
        </w:rPr>
        <w:t>,</w:t>
      </w:r>
      <w:r w:rsidR="00567541">
        <w:rPr>
          <w:rStyle w:val="FootnoteReference"/>
          <w:rFonts w:ascii="Times New Roman" w:hAnsi="Times New Roman" w:cs="Times New Roman"/>
        </w:rPr>
        <w:footnoteReference w:id="97"/>
      </w:r>
      <w:r w:rsidR="00567541">
        <w:rPr>
          <w:rFonts w:ascii="Times New Roman" w:hAnsi="Times New Roman" w:cs="Times New Roman"/>
        </w:rPr>
        <w:t xml:space="preserve"> and later granted the married debtors’ motion to convert to </w:t>
      </w:r>
      <w:r w:rsidR="00AA091B">
        <w:rPr>
          <w:rFonts w:ascii="Times New Roman" w:hAnsi="Times New Roman" w:cs="Times New Roman"/>
        </w:rPr>
        <w:t>chapter</w:t>
      </w:r>
      <w:r w:rsidR="00567541">
        <w:rPr>
          <w:rFonts w:ascii="Times New Roman" w:hAnsi="Times New Roman" w:cs="Times New Roman"/>
        </w:rPr>
        <w:t xml:space="preserve"> 7.</w:t>
      </w:r>
      <w:r w:rsidR="00567541">
        <w:rPr>
          <w:rStyle w:val="FootnoteReference"/>
          <w:rFonts w:ascii="Times New Roman" w:hAnsi="Times New Roman" w:cs="Times New Roman"/>
        </w:rPr>
        <w:footnoteReference w:id="98"/>
      </w:r>
      <w:r w:rsidR="00567541">
        <w:rPr>
          <w:rFonts w:ascii="Times New Roman" w:hAnsi="Times New Roman" w:cs="Times New Roman"/>
        </w:rPr>
        <w:t xml:space="preserve"> Thus, in none of the ca</w:t>
      </w:r>
      <w:r w:rsidR="00883B8F">
        <w:rPr>
          <w:rFonts w:ascii="Times New Roman" w:hAnsi="Times New Roman" w:cs="Times New Roman"/>
        </w:rPr>
        <w:t>ses in 2010 was a</w:t>
      </w:r>
      <w:r w:rsidR="00567541">
        <w:rPr>
          <w:rFonts w:ascii="Times New Roman" w:hAnsi="Times New Roman" w:cs="Times New Roman"/>
        </w:rPr>
        <w:t xml:space="preserve"> debtor forced into proposing and </w:t>
      </w:r>
      <w:r w:rsidR="00447920">
        <w:rPr>
          <w:rFonts w:ascii="Times New Roman" w:hAnsi="Times New Roman" w:cs="Times New Roman"/>
        </w:rPr>
        <w:t xml:space="preserve">confirming </w:t>
      </w:r>
      <w:r w:rsidR="00567541">
        <w:rPr>
          <w:rFonts w:ascii="Times New Roman" w:hAnsi="Times New Roman" w:cs="Times New Roman"/>
        </w:rPr>
        <w:t xml:space="preserve">a </w:t>
      </w:r>
      <w:r w:rsidR="00AA091B">
        <w:rPr>
          <w:rFonts w:ascii="Times New Roman" w:hAnsi="Times New Roman" w:cs="Times New Roman"/>
        </w:rPr>
        <w:t>chapter</w:t>
      </w:r>
      <w:r w:rsidR="00567541">
        <w:rPr>
          <w:rFonts w:ascii="Times New Roman" w:hAnsi="Times New Roman" w:cs="Times New Roman"/>
        </w:rPr>
        <w:t xml:space="preserve"> 11 plan.</w:t>
      </w:r>
    </w:p>
    <w:p w14:paraId="5D411F07" w14:textId="4A60B803" w:rsidR="003176DF" w:rsidRDefault="003176DF" w:rsidP="003176DF">
      <w:pPr>
        <w:spacing w:line="480" w:lineRule="auto"/>
        <w:ind w:firstLine="720"/>
        <w:rPr>
          <w:rFonts w:ascii="Times New Roman" w:hAnsi="Times New Roman" w:cs="Times New Roman"/>
        </w:rPr>
      </w:pPr>
      <w:r w:rsidRPr="0050146B">
        <w:rPr>
          <w:rFonts w:ascii="Times New Roman" w:hAnsi="Times New Roman" w:cs="Times New Roman"/>
        </w:rPr>
        <w:t xml:space="preserve">In 2013, only </w:t>
      </w:r>
      <w:r w:rsidR="002F40A7">
        <w:rPr>
          <w:rFonts w:ascii="Times New Roman" w:hAnsi="Times New Roman" w:cs="Times New Roman"/>
        </w:rPr>
        <w:t xml:space="preserve">seven </w:t>
      </w:r>
      <w:r w:rsidRPr="0050146B">
        <w:rPr>
          <w:rFonts w:ascii="Times New Roman" w:hAnsi="Times New Roman" w:cs="Times New Roman"/>
        </w:rPr>
        <w:t xml:space="preserve">cases began with the filing of an involuntary </w:t>
      </w:r>
      <w:r w:rsidR="00AA091B">
        <w:rPr>
          <w:rFonts w:ascii="Times New Roman" w:hAnsi="Times New Roman" w:cs="Times New Roman"/>
        </w:rPr>
        <w:t>chapter</w:t>
      </w:r>
      <w:r w:rsidRPr="0050146B">
        <w:rPr>
          <w:rFonts w:ascii="Times New Roman" w:hAnsi="Times New Roman" w:cs="Times New Roman"/>
        </w:rPr>
        <w:t xml:space="preserve"> 11 petition</w:t>
      </w:r>
      <w:r w:rsidR="002F40A7">
        <w:rPr>
          <w:rFonts w:ascii="Times New Roman" w:hAnsi="Times New Roman" w:cs="Times New Roman"/>
        </w:rPr>
        <w:t xml:space="preserve">. </w:t>
      </w:r>
      <w:r w:rsidRPr="0050146B">
        <w:rPr>
          <w:rFonts w:ascii="Times New Roman" w:hAnsi="Times New Roman" w:cs="Times New Roman"/>
        </w:rPr>
        <w:t xml:space="preserve">Another </w:t>
      </w:r>
      <w:r w:rsidR="002F40A7">
        <w:rPr>
          <w:rFonts w:ascii="Times New Roman" w:hAnsi="Times New Roman" w:cs="Times New Roman"/>
        </w:rPr>
        <w:t>four</w:t>
      </w:r>
      <w:r w:rsidRPr="0050146B">
        <w:rPr>
          <w:rFonts w:ascii="Times New Roman" w:hAnsi="Times New Roman" w:cs="Times New Roman"/>
        </w:rPr>
        <w:t xml:space="preserve"> cases started with an involuntary </w:t>
      </w:r>
      <w:r w:rsidR="00AA091B">
        <w:rPr>
          <w:rFonts w:ascii="Times New Roman" w:hAnsi="Times New Roman" w:cs="Times New Roman"/>
        </w:rPr>
        <w:t>chapter</w:t>
      </w:r>
      <w:r w:rsidRPr="0050146B">
        <w:rPr>
          <w:rFonts w:ascii="Times New Roman" w:hAnsi="Times New Roman" w:cs="Times New Roman"/>
        </w:rPr>
        <w:t xml:space="preserve"> 7 petition followed by conversion to </w:t>
      </w:r>
      <w:r w:rsidR="00AA091B">
        <w:rPr>
          <w:rFonts w:ascii="Times New Roman" w:hAnsi="Times New Roman" w:cs="Times New Roman"/>
        </w:rPr>
        <w:t>chapter</w:t>
      </w:r>
      <w:r w:rsidRPr="0050146B">
        <w:rPr>
          <w:rFonts w:ascii="Times New Roman" w:hAnsi="Times New Roman" w:cs="Times New Roman"/>
        </w:rPr>
        <w:t xml:space="preserve"> 11</w:t>
      </w:r>
      <w:r w:rsidR="002F40A7">
        <w:rPr>
          <w:rFonts w:ascii="Times New Roman" w:hAnsi="Times New Roman" w:cs="Times New Roman"/>
        </w:rPr>
        <w:t>, but PACER coded one of these cases as an individual filing when it was an involuntary corporate filing</w:t>
      </w:r>
      <w:r w:rsidRPr="0050146B">
        <w:rPr>
          <w:rFonts w:ascii="Times New Roman" w:hAnsi="Times New Roman" w:cs="Times New Roman"/>
        </w:rPr>
        <w:t>.</w:t>
      </w:r>
      <w:r w:rsidRPr="0050146B">
        <w:rPr>
          <w:rStyle w:val="FootnoteReference"/>
          <w:rFonts w:ascii="Times New Roman" w:hAnsi="Times New Roman" w:cs="Times New Roman"/>
        </w:rPr>
        <w:footnoteReference w:id="99"/>
      </w:r>
      <w:r w:rsidRPr="0050146B">
        <w:rPr>
          <w:rFonts w:ascii="Times New Roman" w:hAnsi="Times New Roman" w:cs="Times New Roman"/>
        </w:rPr>
        <w:t xml:space="preserve"> The bankruptcy court entered an order for relief in only three of these ten cases, but these three were involuntary </w:t>
      </w:r>
      <w:r w:rsidR="00AA091B">
        <w:rPr>
          <w:rFonts w:ascii="Times New Roman" w:hAnsi="Times New Roman" w:cs="Times New Roman"/>
        </w:rPr>
        <w:t>chapter</w:t>
      </w:r>
      <w:r w:rsidRPr="0050146B">
        <w:rPr>
          <w:rFonts w:ascii="Times New Roman" w:hAnsi="Times New Roman" w:cs="Times New Roman"/>
        </w:rPr>
        <w:t xml:space="preserve"> 7 filings. An order for relief was not entered in any of the involuntary </w:t>
      </w:r>
      <w:r w:rsidR="00AA091B">
        <w:rPr>
          <w:rFonts w:ascii="Times New Roman" w:hAnsi="Times New Roman" w:cs="Times New Roman"/>
        </w:rPr>
        <w:t>chapter</w:t>
      </w:r>
      <w:r w:rsidRPr="0050146B">
        <w:rPr>
          <w:rFonts w:ascii="Times New Roman" w:hAnsi="Times New Roman" w:cs="Times New Roman"/>
        </w:rPr>
        <w:t xml:space="preserve"> 11 cases. </w:t>
      </w:r>
    </w:p>
    <w:p w14:paraId="751B592C" w14:textId="4E8092EF" w:rsidR="003176DF" w:rsidRPr="0050146B" w:rsidRDefault="00CD5AFB" w:rsidP="00641ADB">
      <w:pPr>
        <w:spacing w:line="480" w:lineRule="auto"/>
        <w:ind w:firstLine="720"/>
      </w:pPr>
      <w:r>
        <w:rPr>
          <w:rFonts w:ascii="Times New Roman" w:hAnsi="Times New Roman" w:cs="Times New Roman"/>
        </w:rPr>
        <w:t>D</w:t>
      </w:r>
      <w:r w:rsidR="00CD2C6E">
        <w:rPr>
          <w:rFonts w:ascii="Times New Roman" w:hAnsi="Times New Roman" w:cs="Times New Roman"/>
        </w:rPr>
        <w:t>ebtor</w:t>
      </w:r>
      <w:r>
        <w:rPr>
          <w:rFonts w:ascii="Times New Roman" w:hAnsi="Times New Roman" w:cs="Times New Roman"/>
        </w:rPr>
        <w:t>s</w:t>
      </w:r>
      <w:r w:rsidR="00CD2C6E">
        <w:rPr>
          <w:rFonts w:ascii="Times New Roman" w:hAnsi="Times New Roman" w:cs="Times New Roman"/>
        </w:rPr>
        <w:t xml:space="preserve"> may also arrive in </w:t>
      </w:r>
      <w:r w:rsidR="00AA091B">
        <w:rPr>
          <w:rFonts w:ascii="Times New Roman" w:hAnsi="Times New Roman" w:cs="Times New Roman"/>
        </w:rPr>
        <w:t>chapter</w:t>
      </w:r>
      <w:r w:rsidR="00CD2C6E">
        <w:rPr>
          <w:rFonts w:ascii="Times New Roman" w:hAnsi="Times New Roman" w:cs="Times New Roman"/>
        </w:rPr>
        <w:t xml:space="preserve"> 11 against </w:t>
      </w:r>
      <w:r>
        <w:rPr>
          <w:rFonts w:ascii="Times New Roman" w:hAnsi="Times New Roman" w:cs="Times New Roman"/>
        </w:rPr>
        <w:t>t</w:t>
      </w:r>
      <w:r w:rsidR="00CD2C6E">
        <w:rPr>
          <w:rFonts w:ascii="Times New Roman" w:hAnsi="Times New Roman" w:cs="Times New Roman"/>
        </w:rPr>
        <w:t>he</w:t>
      </w:r>
      <w:r>
        <w:rPr>
          <w:rFonts w:ascii="Times New Roman" w:hAnsi="Times New Roman" w:cs="Times New Roman"/>
        </w:rPr>
        <w:t>i</w:t>
      </w:r>
      <w:r w:rsidR="00CD2C6E">
        <w:rPr>
          <w:rFonts w:ascii="Times New Roman" w:hAnsi="Times New Roman" w:cs="Times New Roman"/>
        </w:rPr>
        <w:t xml:space="preserve">r will if </w:t>
      </w:r>
      <w:r>
        <w:rPr>
          <w:rFonts w:ascii="Times New Roman" w:hAnsi="Times New Roman" w:cs="Times New Roman"/>
        </w:rPr>
        <w:t>they</w:t>
      </w:r>
      <w:r w:rsidR="00CD2C6E">
        <w:rPr>
          <w:rFonts w:ascii="Times New Roman" w:hAnsi="Times New Roman" w:cs="Times New Roman"/>
        </w:rPr>
        <w:t xml:space="preserve"> file a voluntary petition in another chapter and creditors or the bankruptcy trustee move to convert the case to </w:t>
      </w:r>
      <w:r w:rsidR="00AA091B">
        <w:rPr>
          <w:rFonts w:ascii="Times New Roman" w:hAnsi="Times New Roman" w:cs="Times New Roman"/>
        </w:rPr>
        <w:t>chapter</w:t>
      </w:r>
      <w:r w:rsidR="00CD2C6E">
        <w:rPr>
          <w:rFonts w:ascii="Times New Roman" w:hAnsi="Times New Roman" w:cs="Times New Roman"/>
        </w:rPr>
        <w:t xml:space="preserve"> 11.</w:t>
      </w:r>
      <w:r w:rsidR="00CD2C6E">
        <w:rPr>
          <w:rStyle w:val="FootnoteReference"/>
          <w:rFonts w:ascii="Times New Roman" w:hAnsi="Times New Roman" w:cs="Times New Roman"/>
        </w:rPr>
        <w:footnoteReference w:id="100"/>
      </w:r>
      <w:r w:rsidR="00CD2C6E">
        <w:rPr>
          <w:rFonts w:ascii="Times New Roman" w:hAnsi="Times New Roman" w:cs="Times New Roman"/>
        </w:rPr>
        <w:t xml:space="preserve">  We focused </w:t>
      </w:r>
      <w:r w:rsidR="0028362D">
        <w:rPr>
          <w:rFonts w:ascii="Times New Roman" w:hAnsi="Times New Roman" w:cs="Times New Roman"/>
        </w:rPr>
        <w:t xml:space="preserve">our analysis </w:t>
      </w:r>
      <w:r w:rsidR="00CD2C6E">
        <w:rPr>
          <w:rFonts w:ascii="Times New Roman" w:hAnsi="Times New Roman" w:cs="Times New Roman"/>
        </w:rPr>
        <w:t xml:space="preserve">on debtors who initially filed in </w:t>
      </w:r>
      <w:r w:rsidR="00AA091B">
        <w:rPr>
          <w:rFonts w:ascii="Times New Roman" w:hAnsi="Times New Roman" w:cs="Times New Roman"/>
        </w:rPr>
        <w:t>chapter</w:t>
      </w:r>
      <w:r w:rsidR="00CD2C6E">
        <w:rPr>
          <w:rFonts w:ascii="Times New Roman" w:hAnsi="Times New Roman" w:cs="Times New Roman"/>
        </w:rPr>
        <w:t xml:space="preserve"> 7 because </w:t>
      </w:r>
      <w:r w:rsidR="00883B8F">
        <w:rPr>
          <w:rFonts w:ascii="Times New Roman" w:hAnsi="Times New Roman" w:cs="Times New Roman"/>
        </w:rPr>
        <w:t>the</w:t>
      </w:r>
      <w:r w:rsidR="00CD2C6E">
        <w:rPr>
          <w:rFonts w:ascii="Times New Roman" w:hAnsi="Times New Roman" w:cs="Times New Roman"/>
        </w:rPr>
        <w:t xml:space="preserve"> </w:t>
      </w:r>
      <w:r w:rsidR="003176DF" w:rsidRPr="0050146B">
        <w:t xml:space="preserve">post-petition earnings </w:t>
      </w:r>
      <w:r w:rsidR="00883B8F">
        <w:t xml:space="preserve">of chapter 7 debtors </w:t>
      </w:r>
      <w:r w:rsidR="003176DF" w:rsidRPr="0050146B">
        <w:t xml:space="preserve">are not available to </w:t>
      </w:r>
      <w:r w:rsidR="007A470E">
        <w:t>their</w:t>
      </w:r>
      <w:r w:rsidR="003176DF" w:rsidRPr="0050146B">
        <w:t xml:space="preserve"> creditors. </w:t>
      </w:r>
    </w:p>
    <w:p w14:paraId="607C33EA" w14:textId="77B43148" w:rsidR="003176DF" w:rsidRPr="0050146B" w:rsidRDefault="003176DF" w:rsidP="00122E54">
      <w:pPr>
        <w:pStyle w:val="FootnoteText"/>
        <w:spacing w:line="480" w:lineRule="auto"/>
        <w:ind w:firstLine="720"/>
        <w:rPr>
          <w:rFonts w:ascii="Times New Roman" w:hAnsi="Times New Roman" w:cs="Times New Roman"/>
        </w:rPr>
      </w:pPr>
      <w:r w:rsidRPr="0050146B">
        <w:rPr>
          <w:rFonts w:ascii="Times New Roman" w:hAnsi="Times New Roman" w:cs="Times New Roman"/>
        </w:rPr>
        <w:t>Of the 6,6</w:t>
      </w:r>
      <w:r w:rsidR="0034276C">
        <w:rPr>
          <w:rFonts w:ascii="Times New Roman" w:hAnsi="Times New Roman" w:cs="Times New Roman"/>
        </w:rPr>
        <w:t>66</w:t>
      </w:r>
      <w:r w:rsidRPr="0050146B">
        <w:rPr>
          <w:rFonts w:ascii="Times New Roman" w:hAnsi="Times New Roman" w:cs="Times New Roman"/>
        </w:rPr>
        <w:t xml:space="preserve"> individual cases </w:t>
      </w:r>
      <w:r w:rsidR="00883B8F">
        <w:rPr>
          <w:rFonts w:ascii="Times New Roman" w:hAnsi="Times New Roman" w:cs="Times New Roman"/>
        </w:rPr>
        <w:t>filed in 2010 and 2013 in the seventy-eight</w:t>
      </w:r>
      <w:r w:rsidRPr="0050146B">
        <w:rPr>
          <w:rFonts w:ascii="Times New Roman" w:hAnsi="Times New Roman" w:cs="Times New Roman"/>
        </w:rPr>
        <w:t xml:space="preserve"> judicial districts covered by this </w:t>
      </w:r>
      <w:r w:rsidR="00F72088">
        <w:rPr>
          <w:rFonts w:ascii="Times New Roman" w:hAnsi="Times New Roman" w:cs="Times New Roman"/>
        </w:rPr>
        <w:t>study</w:t>
      </w:r>
      <w:r w:rsidRPr="0050146B">
        <w:rPr>
          <w:rFonts w:ascii="Times New Roman" w:hAnsi="Times New Roman" w:cs="Times New Roman"/>
        </w:rPr>
        <w:t>, only 145, or 2.2</w:t>
      </w:r>
      <w:r w:rsidR="00042036">
        <w:rPr>
          <w:rFonts w:ascii="Times New Roman" w:hAnsi="Times New Roman" w:cs="Times New Roman"/>
        </w:rPr>
        <w:t>%</w:t>
      </w:r>
      <w:r w:rsidRPr="0050146B">
        <w:rPr>
          <w:rFonts w:ascii="Times New Roman" w:hAnsi="Times New Roman" w:cs="Times New Roman"/>
        </w:rPr>
        <w:t xml:space="preserve">, ended up in chapter 11 after conversion from an initial filing under chapter 7 of the Code. </w:t>
      </w:r>
      <w:r w:rsidR="00E04776">
        <w:rPr>
          <w:rFonts w:ascii="Times New Roman" w:hAnsi="Times New Roman" w:cs="Times New Roman"/>
        </w:rPr>
        <w:t>I</w:t>
      </w:r>
      <w:r w:rsidRPr="0050146B">
        <w:rPr>
          <w:rFonts w:ascii="Times New Roman" w:hAnsi="Times New Roman" w:cs="Times New Roman"/>
        </w:rPr>
        <w:t>n almost all of these 145 cases</w:t>
      </w:r>
      <w:r w:rsidR="00E04776">
        <w:rPr>
          <w:rFonts w:ascii="Times New Roman" w:hAnsi="Times New Roman" w:cs="Times New Roman"/>
        </w:rPr>
        <w:t>, however,</w:t>
      </w:r>
      <w:r w:rsidRPr="0050146B">
        <w:rPr>
          <w:rFonts w:ascii="Times New Roman" w:hAnsi="Times New Roman" w:cs="Times New Roman"/>
        </w:rPr>
        <w:t xml:space="preserve"> the debtor alone filed the motion to conve</w:t>
      </w:r>
      <w:r w:rsidR="00E04776">
        <w:rPr>
          <w:rFonts w:ascii="Times New Roman" w:hAnsi="Times New Roman" w:cs="Times New Roman"/>
        </w:rPr>
        <w:t>rt to chapter 11 from chapter 7;</w:t>
      </w:r>
      <w:r w:rsidRPr="0050146B">
        <w:rPr>
          <w:rStyle w:val="FootnoteReference"/>
          <w:rFonts w:ascii="Times New Roman" w:hAnsi="Times New Roman" w:cs="Times New Roman"/>
        </w:rPr>
        <w:footnoteReference w:id="101"/>
      </w:r>
      <w:r w:rsidRPr="0050146B">
        <w:rPr>
          <w:rFonts w:ascii="Times New Roman" w:hAnsi="Times New Roman" w:cs="Times New Roman"/>
        </w:rPr>
        <w:t xml:space="preserve"> </w:t>
      </w:r>
      <w:r w:rsidR="00E04776">
        <w:rPr>
          <w:rFonts w:ascii="Times New Roman" w:hAnsi="Times New Roman" w:cs="Times New Roman"/>
        </w:rPr>
        <w:t>only two of these 145 cases</w:t>
      </w:r>
      <w:r w:rsidR="00720075">
        <w:rPr>
          <w:rFonts w:ascii="Times New Roman" w:hAnsi="Times New Roman" w:cs="Times New Roman"/>
        </w:rPr>
        <w:t xml:space="preserve"> (one filed in each of 2010 and 2013</w:t>
      </w:r>
      <w:r w:rsidR="00122E54">
        <w:rPr>
          <w:rFonts w:ascii="Times New Roman" w:hAnsi="Times New Roman" w:cs="Times New Roman"/>
        </w:rPr>
        <w:t>) were</w:t>
      </w:r>
      <w:r w:rsidR="00720075">
        <w:rPr>
          <w:rFonts w:ascii="Times New Roman" w:hAnsi="Times New Roman" w:cs="Times New Roman"/>
        </w:rPr>
        <w:t xml:space="preserve"> converted </w:t>
      </w:r>
      <w:r w:rsidR="00122E54">
        <w:rPr>
          <w:rFonts w:ascii="Times New Roman" w:hAnsi="Times New Roman" w:cs="Times New Roman"/>
        </w:rPr>
        <w:t xml:space="preserve">to </w:t>
      </w:r>
      <w:r w:rsidR="00AA091B">
        <w:rPr>
          <w:rFonts w:ascii="Times New Roman" w:hAnsi="Times New Roman" w:cs="Times New Roman"/>
        </w:rPr>
        <w:t>chapter</w:t>
      </w:r>
      <w:r w:rsidR="00122E54">
        <w:rPr>
          <w:rFonts w:ascii="Times New Roman" w:hAnsi="Times New Roman" w:cs="Times New Roman"/>
        </w:rPr>
        <w:t xml:space="preserve"> 11 </w:t>
      </w:r>
      <w:r w:rsidR="00720075">
        <w:rPr>
          <w:rFonts w:ascii="Times New Roman" w:hAnsi="Times New Roman" w:cs="Times New Roman"/>
        </w:rPr>
        <w:t>without the debtor’s consent.</w:t>
      </w:r>
      <w:bookmarkStart w:id="14" w:name="_Ref333839339"/>
      <w:r w:rsidR="00720075" w:rsidRPr="0050146B">
        <w:rPr>
          <w:rStyle w:val="FootnoteReference"/>
          <w:rFonts w:ascii="Times New Roman" w:hAnsi="Times New Roman" w:cs="Times New Roman"/>
        </w:rPr>
        <w:footnoteReference w:id="102"/>
      </w:r>
      <w:bookmarkEnd w:id="14"/>
      <w:r w:rsidRPr="0050146B">
        <w:rPr>
          <w:rFonts w:ascii="Times New Roman" w:hAnsi="Times New Roman" w:cs="Times New Roman"/>
        </w:rPr>
        <w:t xml:space="preserve"> </w:t>
      </w:r>
      <w:r w:rsidR="00486FDF">
        <w:rPr>
          <w:rFonts w:ascii="Times New Roman" w:hAnsi="Times New Roman" w:cs="Times New Roman"/>
        </w:rPr>
        <w:t xml:space="preserve">In one of these two cases, the bankruptcy court granted the married debtors’ motion to dismiss the case shortly after conversion to </w:t>
      </w:r>
      <w:r w:rsidR="00AA091B">
        <w:rPr>
          <w:rFonts w:ascii="Times New Roman" w:hAnsi="Times New Roman" w:cs="Times New Roman"/>
        </w:rPr>
        <w:t>chapter</w:t>
      </w:r>
      <w:r w:rsidR="00486FDF">
        <w:rPr>
          <w:rFonts w:ascii="Times New Roman" w:hAnsi="Times New Roman" w:cs="Times New Roman"/>
        </w:rPr>
        <w:t xml:space="preserve"> 11.</w:t>
      </w:r>
      <w:r w:rsidR="00486FDF">
        <w:rPr>
          <w:rStyle w:val="FootnoteReference"/>
          <w:rFonts w:ascii="Times New Roman" w:hAnsi="Times New Roman" w:cs="Times New Roman"/>
        </w:rPr>
        <w:footnoteReference w:id="103"/>
      </w:r>
      <w:r w:rsidR="00883B8F">
        <w:rPr>
          <w:rFonts w:ascii="Times New Roman" w:hAnsi="Times New Roman" w:cs="Times New Roman"/>
        </w:rPr>
        <w:t xml:space="preserve"> The other case wa</w:t>
      </w:r>
      <w:r w:rsidR="00486FDF">
        <w:rPr>
          <w:rFonts w:ascii="Times New Roman" w:hAnsi="Times New Roman" w:cs="Times New Roman"/>
        </w:rPr>
        <w:t>s s</w:t>
      </w:r>
      <w:r w:rsidR="00E04776">
        <w:rPr>
          <w:rFonts w:ascii="Times New Roman" w:hAnsi="Times New Roman" w:cs="Times New Roman"/>
        </w:rPr>
        <w:t>till pending as of this writing;</w:t>
      </w:r>
      <w:r w:rsidR="00486FDF">
        <w:rPr>
          <w:rFonts w:ascii="Times New Roman" w:hAnsi="Times New Roman" w:cs="Times New Roman"/>
        </w:rPr>
        <w:t xml:space="preserve"> the debtor </w:t>
      </w:r>
      <w:r w:rsidR="0028362D">
        <w:rPr>
          <w:rFonts w:ascii="Times New Roman" w:hAnsi="Times New Roman" w:cs="Times New Roman"/>
        </w:rPr>
        <w:t>recently</w:t>
      </w:r>
      <w:r w:rsidR="00486FDF">
        <w:rPr>
          <w:rFonts w:ascii="Times New Roman" w:hAnsi="Times New Roman" w:cs="Times New Roman"/>
        </w:rPr>
        <w:t xml:space="preserve"> filed a </w:t>
      </w:r>
      <w:r w:rsidR="00AA091B">
        <w:rPr>
          <w:rFonts w:ascii="Times New Roman" w:hAnsi="Times New Roman" w:cs="Times New Roman"/>
        </w:rPr>
        <w:t>chapter</w:t>
      </w:r>
      <w:r w:rsidR="00486FDF">
        <w:rPr>
          <w:rFonts w:ascii="Times New Roman" w:hAnsi="Times New Roman" w:cs="Times New Roman"/>
        </w:rPr>
        <w:t xml:space="preserve"> 11 plan, </w:t>
      </w:r>
      <w:r w:rsidR="0028362D">
        <w:rPr>
          <w:rFonts w:ascii="Times New Roman" w:hAnsi="Times New Roman" w:cs="Times New Roman"/>
        </w:rPr>
        <w:t xml:space="preserve">but a confirmation hearing </w:t>
      </w:r>
      <w:r w:rsidR="00883B8F">
        <w:rPr>
          <w:rFonts w:ascii="Times New Roman" w:hAnsi="Times New Roman" w:cs="Times New Roman"/>
        </w:rPr>
        <w:t>ha</w:t>
      </w:r>
      <w:r w:rsidR="00F72088">
        <w:rPr>
          <w:rFonts w:ascii="Times New Roman" w:hAnsi="Times New Roman" w:cs="Times New Roman"/>
        </w:rPr>
        <w:t>s</w:t>
      </w:r>
      <w:r w:rsidR="0028362D">
        <w:rPr>
          <w:rFonts w:ascii="Times New Roman" w:hAnsi="Times New Roman" w:cs="Times New Roman"/>
        </w:rPr>
        <w:t xml:space="preserve"> not yet </w:t>
      </w:r>
      <w:r w:rsidR="00883B8F">
        <w:rPr>
          <w:rFonts w:ascii="Times New Roman" w:hAnsi="Times New Roman" w:cs="Times New Roman"/>
        </w:rPr>
        <w:t xml:space="preserve">been </w:t>
      </w:r>
      <w:r w:rsidR="0028362D">
        <w:rPr>
          <w:rFonts w:ascii="Times New Roman" w:hAnsi="Times New Roman" w:cs="Times New Roman"/>
        </w:rPr>
        <w:t>scheduled.</w:t>
      </w:r>
      <w:r w:rsidR="00486FDF">
        <w:rPr>
          <w:rStyle w:val="FootnoteReference"/>
          <w:rFonts w:ascii="Times New Roman" w:hAnsi="Times New Roman" w:cs="Times New Roman"/>
        </w:rPr>
        <w:footnoteReference w:id="104"/>
      </w:r>
      <w:r w:rsidR="00486FDF">
        <w:rPr>
          <w:rFonts w:ascii="Times New Roman" w:hAnsi="Times New Roman" w:cs="Times New Roman"/>
        </w:rPr>
        <w:t xml:space="preserve"> </w:t>
      </w:r>
    </w:p>
    <w:p w14:paraId="17E0761F" w14:textId="39C7D44D" w:rsidR="003176DF" w:rsidRPr="00504057" w:rsidRDefault="00E04776" w:rsidP="0050146B">
      <w:pPr>
        <w:pStyle w:val="FootnoteText"/>
        <w:spacing w:line="480" w:lineRule="auto"/>
        <w:ind w:firstLine="720"/>
        <w:rPr>
          <w:rFonts w:ascii="Times New Roman" w:hAnsi="Times New Roman" w:cs="Times New Roman"/>
          <w:i/>
        </w:rPr>
      </w:pPr>
      <w:r>
        <w:rPr>
          <w:rFonts w:ascii="Times New Roman" w:hAnsi="Times New Roman" w:cs="Times New Roman"/>
        </w:rPr>
        <w:t>I</w:t>
      </w:r>
      <w:r w:rsidR="00122E54">
        <w:rPr>
          <w:rFonts w:ascii="Times New Roman" w:hAnsi="Times New Roman" w:cs="Times New Roman"/>
        </w:rPr>
        <w:t>nvoluntary cases are exceedingly rare</w:t>
      </w:r>
      <w:r w:rsidR="0028362D">
        <w:rPr>
          <w:rFonts w:ascii="Times New Roman" w:hAnsi="Times New Roman" w:cs="Times New Roman"/>
        </w:rPr>
        <w:t>,</w:t>
      </w:r>
      <w:r>
        <w:rPr>
          <w:rFonts w:ascii="Times New Roman" w:hAnsi="Times New Roman" w:cs="Times New Roman"/>
        </w:rPr>
        <w:t xml:space="preserve"> regardless of how we count them</w:t>
      </w:r>
      <w:r w:rsidR="00122E54">
        <w:rPr>
          <w:rFonts w:ascii="Times New Roman" w:hAnsi="Times New Roman" w:cs="Times New Roman"/>
        </w:rPr>
        <w:t xml:space="preserve">. The broadest plausible definition would </w:t>
      </w:r>
      <w:r>
        <w:rPr>
          <w:rFonts w:ascii="Times New Roman" w:hAnsi="Times New Roman" w:cs="Times New Roman"/>
        </w:rPr>
        <w:t xml:space="preserve">begin with </w:t>
      </w:r>
      <w:r w:rsidR="00481BEE">
        <w:rPr>
          <w:rFonts w:ascii="Times New Roman" w:hAnsi="Times New Roman" w:cs="Times New Roman"/>
        </w:rPr>
        <w:t xml:space="preserve">involuntary </w:t>
      </w:r>
      <w:r w:rsidR="00AA091B">
        <w:rPr>
          <w:rFonts w:ascii="Times New Roman" w:hAnsi="Times New Roman" w:cs="Times New Roman"/>
        </w:rPr>
        <w:t>chapter</w:t>
      </w:r>
      <w:r w:rsidR="00481BEE">
        <w:rPr>
          <w:rFonts w:ascii="Times New Roman" w:hAnsi="Times New Roman" w:cs="Times New Roman"/>
        </w:rPr>
        <w:t xml:space="preserve"> 11 petitions not filed by mistake</w:t>
      </w:r>
      <w:r w:rsidR="00530A0E">
        <w:rPr>
          <w:rFonts w:ascii="Times New Roman" w:hAnsi="Times New Roman" w:cs="Times New Roman"/>
        </w:rPr>
        <w:t>,</w:t>
      </w:r>
      <w:r w:rsidR="00481BEE">
        <w:rPr>
          <w:rFonts w:ascii="Times New Roman" w:hAnsi="Times New Roman" w:cs="Times New Roman"/>
        </w:rPr>
        <w:t xml:space="preserve"> and add cases converted from </w:t>
      </w:r>
      <w:r w:rsidR="00AA091B">
        <w:rPr>
          <w:rFonts w:ascii="Times New Roman" w:hAnsi="Times New Roman" w:cs="Times New Roman"/>
        </w:rPr>
        <w:t>chapter</w:t>
      </w:r>
      <w:r w:rsidR="00481BEE">
        <w:rPr>
          <w:rFonts w:ascii="Times New Roman" w:hAnsi="Times New Roman" w:cs="Times New Roman"/>
        </w:rPr>
        <w:t xml:space="preserve"> 7 without the debtor</w:t>
      </w:r>
      <w:r w:rsidR="00530A0E">
        <w:rPr>
          <w:rFonts w:ascii="Times New Roman" w:hAnsi="Times New Roman" w:cs="Times New Roman"/>
        </w:rPr>
        <w:t>’</w:t>
      </w:r>
      <w:r w:rsidR="00481BEE">
        <w:rPr>
          <w:rFonts w:ascii="Times New Roman" w:hAnsi="Times New Roman" w:cs="Times New Roman"/>
        </w:rPr>
        <w:t>s consent. By this measure</w:t>
      </w:r>
      <w:r w:rsidR="0028362D">
        <w:rPr>
          <w:rFonts w:ascii="Times New Roman" w:hAnsi="Times New Roman" w:cs="Times New Roman"/>
        </w:rPr>
        <w:t>,</w:t>
      </w:r>
      <w:r w:rsidR="00481BEE">
        <w:rPr>
          <w:rFonts w:ascii="Times New Roman" w:hAnsi="Times New Roman" w:cs="Times New Roman"/>
        </w:rPr>
        <w:t xml:space="preserve"> </w:t>
      </w:r>
      <w:r w:rsidR="00F72088">
        <w:rPr>
          <w:rFonts w:ascii="Times New Roman" w:hAnsi="Times New Roman" w:cs="Times New Roman"/>
        </w:rPr>
        <w:t>twenty</w:t>
      </w:r>
      <w:r w:rsidR="0028362D">
        <w:rPr>
          <w:rFonts w:ascii="Times New Roman" w:hAnsi="Times New Roman" w:cs="Times New Roman"/>
        </w:rPr>
        <w:t xml:space="preserve"> </w:t>
      </w:r>
      <w:r w:rsidR="00481BEE">
        <w:rPr>
          <w:rFonts w:ascii="Times New Roman" w:hAnsi="Times New Roman" w:cs="Times New Roman"/>
        </w:rPr>
        <w:t xml:space="preserve">of our 6,666 individual </w:t>
      </w:r>
      <w:r w:rsidR="00AA091B">
        <w:rPr>
          <w:rFonts w:ascii="Times New Roman" w:hAnsi="Times New Roman" w:cs="Times New Roman"/>
        </w:rPr>
        <w:t>chapter</w:t>
      </w:r>
      <w:r w:rsidR="00481BEE">
        <w:rPr>
          <w:rFonts w:ascii="Times New Roman" w:hAnsi="Times New Roman" w:cs="Times New Roman"/>
        </w:rPr>
        <w:t xml:space="preserve"> 11 cases (0.</w:t>
      </w:r>
      <w:r w:rsidR="00F72088">
        <w:rPr>
          <w:rFonts w:ascii="Times New Roman" w:hAnsi="Times New Roman" w:cs="Times New Roman"/>
        </w:rPr>
        <w:t>3</w:t>
      </w:r>
      <w:r w:rsidR="00042036">
        <w:rPr>
          <w:rFonts w:ascii="Times New Roman" w:hAnsi="Times New Roman" w:cs="Times New Roman"/>
        </w:rPr>
        <w:t>%</w:t>
      </w:r>
      <w:r w:rsidR="0033638D">
        <w:rPr>
          <w:rFonts w:ascii="Times New Roman" w:hAnsi="Times New Roman" w:cs="Times New Roman"/>
        </w:rPr>
        <w:t>) we</w:t>
      </w:r>
      <w:r w:rsidR="00481BEE">
        <w:rPr>
          <w:rFonts w:ascii="Times New Roman" w:hAnsi="Times New Roman" w:cs="Times New Roman"/>
        </w:rPr>
        <w:t>re involuntary. The next broadest measure would focus only on cases in which the court entered an order for relief. By this measure</w:t>
      </w:r>
      <w:r w:rsidR="00530A0E">
        <w:rPr>
          <w:rFonts w:ascii="Times New Roman" w:hAnsi="Times New Roman" w:cs="Times New Roman"/>
        </w:rPr>
        <w:t>,</w:t>
      </w:r>
      <w:r w:rsidR="00481BEE">
        <w:rPr>
          <w:rFonts w:ascii="Times New Roman" w:hAnsi="Times New Roman" w:cs="Times New Roman"/>
        </w:rPr>
        <w:t xml:space="preserve"> just </w:t>
      </w:r>
      <w:r w:rsidR="00F72088">
        <w:rPr>
          <w:rFonts w:ascii="Times New Roman" w:hAnsi="Times New Roman" w:cs="Times New Roman"/>
        </w:rPr>
        <w:t>two</w:t>
      </w:r>
      <w:r w:rsidR="0028362D">
        <w:rPr>
          <w:rFonts w:ascii="Times New Roman" w:hAnsi="Times New Roman" w:cs="Times New Roman"/>
        </w:rPr>
        <w:t xml:space="preserve"> </w:t>
      </w:r>
      <w:r w:rsidR="00481BEE">
        <w:rPr>
          <w:rFonts w:ascii="Times New Roman" w:hAnsi="Times New Roman" w:cs="Times New Roman"/>
        </w:rPr>
        <w:t>of our 6,666 cases (0.0</w:t>
      </w:r>
      <w:r w:rsidR="00F72088">
        <w:rPr>
          <w:rFonts w:ascii="Times New Roman" w:hAnsi="Times New Roman" w:cs="Times New Roman"/>
        </w:rPr>
        <w:t>3</w:t>
      </w:r>
      <w:r w:rsidR="00042036">
        <w:rPr>
          <w:rFonts w:ascii="Times New Roman" w:hAnsi="Times New Roman" w:cs="Times New Roman"/>
        </w:rPr>
        <w:t>%</w:t>
      </w:r>
      <w:r w:rsidR="0033638D">
        <w:rPr>
          <w:rFonts w:ascii="Times New Roman" w:hAnsi="Times New Roman" w:cs="Times New Roman"/>
        </w:rPr>
        <w:t>) we</w:t>
      </w:r>
      <w:r w:rsidR="00481BEE">
        <w:rPr>
          <w:rFonts w:ascii="Times New Roman" w:hAnsi="Times New Roman" w:cs="Times New Roman"/>
        </w:rPr>
        <w:t xml:space="preserve">re involuntary. Finally, because </w:t>
      </w:r>
      <w:r w:rsidR="00530A0E">
        <w:rPr>
          <w:rFonts w:ascii="Times New Roman" w:hAnsi="Times New Roman" w:cs="Times New Roman"/>
        </w:rPr>
        <w:t>of</w:t>
      </w:r>
      <w:r w:rsidR="00481BEE">
        <w:rPr>
          <w:rFonts w:ascii="Times New Roman" w:hAnsi="Times New Roman" w:cs="Times New Roman"/>
        </w:rPr>
        <w:t xml:space="preserve"> concern that individuals may be forced to pay out of their future income, one could restrict the definition to cases in which a plan of reorganization has been confirmed. This ha</w:t>
      </w:r>
      <w:r w:rsidR="0033638D">
        <w:rPr>
          <w:rFonts w:ascii="Times New Roman" w:hAnsi="Times New Roman" w:cs="Times New Roman"/>
        </w:rPr>
        <w:t>d</w:t>
      </w:r>
      <w:r w:rsidR="00481BEE">
        <w:rPr>
          <w:rFonts w:ascii="Times New Roman" w:hAnsi="Times New Roman" w:cs="Times New Roman"/>
        </w:rPr>
        <w:t xml:space="preserve"> not occurred in any of the cases in our sample, </w:t>
      </w:r>
      <w:r w:rsidR="0028362D">
        <w:rPr>
          <w:rFonts w:ascii="Times New Roman" w:hAnsi="Times New Roman" w:cs="Times New Roman"/>
        </w:rPr>
        <w:t>al</w:t>
      </w:r>
      <w:r w:rsidR="0033638D">
        <w:rPr>
          <w:rFonts w:ascii="Times New Roman" w:hAnsi="Times New Roman" w:cs="Times New Roman"/>
        </w:rPr>
        <w:t>though one case wa</w:t>
      </w:r>
      <w:r w:rsidR="00481BEE">
        <w:rPr>
          <w:rFonts w:ascii="Times New Roman" w:hAnsi="Times New Roman" w:cs="Times New Roman"/>
        </w:rPr>
        <w:t xml:space="preserve">s still pending. </w:t>
      </w:r>
      <w:r w:rsidR="003176DF" w:rsidRPr="0050146B">
        <w:rPr>
          <w:rFonts w:ascii="Times New Roman" w:hAnsi="Times New Roman" w:cs="Times New Roman"/>
        </w:rPr>
        <w:t xml:space="preserve">Thus, while BAPCPA’s amendments to chapter 11 created the possibility of </w:t>
      </w:r>
      <w:r w:rsidR="00530A0E">
        <w:rPr>
          <w:rFonts w:ascii="Times New Roman" w:hAnsi="Times New Roman" w:cs="Times New Roman"/>
        </w:rPr>
        <w:t>t</w:t>
      </w:r>
      <w:r w:rsidR="003176DF" w:rsidRPr="0050146B">
        <w:rPr>
          <w:rFonts w:ascii="Times New Roman" w:hAnsi="Times New Roman" w:cs="Times New Roman"/>
        </w:rPr>
        <w:t xml:space="preserve">hirteenth </w:t>
      </w:r>
      <w:r w:rsidR="00530A0E">
        <w:rPr>
          <w:rFonts w:ascii="Times New Roman" w:hAnsi="Times New Roman" w:cs="Times New Roman"/>
        </w:rPr>
        <w:t>a</w:t>
      </w:r>
      <w:r w:rsidR="003176DF" w:rsidRPr="0050146B">
        <w:rPr>
          <w:rFonts w:ascii="Times New Roman" w:hAnsi="Times New Roman" w:cs="Times New Roman"/>
        </w:rPr>
        <w:t xml:space="preserve">mendment involuntary servitude problems for individual </w:t>
      </w:r>
      <w:r w:rsidR="0033638D">
        <w:rPr>
          <w:rFonts w:ascii="Times New Roman" w:hAnsi="Times New Roman" w:cs="Times New Roman"/>
        </w:rPr>
        <w:t xml:space="preserve">chapter 11 </w:t>
      </w:r>
      <w:r w:rsidR="003176DF" w:rsidRPr="0050146B">
        <w:rPr>
          <w:rFonts w:ascii="Times New Roman" w:hAnsi="Times New Roman" w:cs="Times New Roman"/>
        </w:rPr>
        <w:t xml:space="preserve">debtors, in practice there are virtually no </w:t>
      </w:r>
      <w:r w:rsidR="0033638D">
        <w:rPr>
          <w:rFonts w:ascii="Times New Roman" w:hAnsi="Times New Roman" w:cs="Times New Roman"/>
        </w:rPr>
        <w:t xml:space="preserve">such </w:t>
      </w:r>
      <w:r w:rsidR="003176DF" w:rsidRPr="0050146B">
        <w:rPr>
          <w:rFonts w:ascii="Times New Roman" w:hAnsi="Times New Roman" w:cs="Times New Roman"/>
        </w:rPr>
        <w:t>cases</w:t>
      </w:r>
      <w:r w:rsidR="00447920">
        <w:rPr>
          <w:rFonts w:ascii="Times New Roman" w:hAnsi="Times New Roman" w:cs="Times New Roman"/>
        </w:rPr>
        <w:t>.</w:t>
      </w:r>
    </w:p>
    <w:p w14:paraId="5891BABF" w14:textId="139BC246" w:rsidR="00275526" w:rsidRPr="00EB7FD9" w:rsidRDefault="00BB427C" w:rsidP="00335C21">
      <w:pPr>
        <w:keepNext/>
        <w:spacing w:line="480" w:lineRule="auto"/>
        <w:ind w:hanging="86"/>
        <w:rPr>
          <w:rFonts w:ascii="Times New Roman" w:hAnsi="Times New Roman" w:cs="Times New Roman"/>
          <w:b/>
        </w:rPr>
      </w:pPr>
      <w:r w:rsidRPr="00EB7FD9">
        <w:rPr>
          <w:rFonts w:ascii="Times New Roman" w:hAnsi="Times New Roman" w:cs="Times New Roman"/>
          <w:b/>
        </w:rPr>
        <w:t>III.</w:t>
      </w:r>
      <w:r w:rsidRPr="00EB7FD9">
        <w:rPr>
          <w:rFonts w:ascii="Times New Roman" w:hAnsi="Times New Roman" w:cs="Times New Roman"/>
          <w:b/>
        </w:rPr>
        <w:tab/>
        <w:t>Coding Individual Cases</w:t>
      </w:r>
    </w:p>
    <w:p w14:paraId="587DD1C1" w14:textId="6AB3CB51" w:rsidR="008373AC" w:rsidRPr="00537498" w:rsidRDefault="00F72088" w:rsidP="008373AC">
      <w:pPr>
        <w:spacing w:line="480" w:lineRule="auto"/>
        <w:ind w:firstLine="720"/>
        <w:rPr>
          <w:rFonts w:ascii="Times New Roman" w:hAnsi="Times New Roman" w:cs="Times New Roman"/>
          <w:b/>
        </w:rPr>
      </w:pPr>
      <w:r>
        <w:rPr>
          <w:rFonts w:ascii="Times New Roman" w:hAnsi="Times New Roman" w:cs="Times New Roman"/>
        </w:rPr>
        <w:t xml:space="preserve">The </w:t>
      </w:r>
      <w:r w:rsidR="00530A0E">
        <w:rPr>
          <w:rFonts w:ascii="Times New Roman" w:hAnsi="Times New Roman" w:cs="Times New Roman"/>
        </w:rPr>
        <w:t>PACER dat</w:t>
      </w:r>
      <w:r w:rsidR="009234FF">
        <w:rPr>
          <w:rFonts w:ascii="Times New Roman" w:hAnsi="Times New Roman" w:cs="Times New Roman"/>
        </w:rPr>
        <w:t>a</w:t>
      </w:r>
      <w:r>
        <w:rPr>
          <w:rFonts w:ascii="Times New Roman" w:hAnsi="Times New Roman" w:cs="Times New Roman"/>
        </w:rPr>
        <w:t>,</w:t>
      </w:r>
      <w:r w:rsidR="00530A0E">
        <w:rPr>
          <w:rFonts w:ascii="Times New Roman" w:hAnsi="Times New Roman" w:cs="Times New Roman"/>
        </w:rPr>
        <w:t xml:space="preserve"> discussed i</w:t>
      </w:r>
      <w:r w:rsidR="008373AC" w:rsidRPr="00B026E4">
        <w:rPr>
          <w:rFonts w:ascii="Times New Roman" w:hAnsi="Times New Roman" w:cs="Times New Roman"/>
        </w:rPr>
        <w:t xml:space="preserve">n </w:t>
      </w:r>
      <w:r w:rsidR="009234FF">
        <w:rPr>
          <w:rFonts w:ascii="Times New Roman" w:hAnsi="Times New Roman" w:cs="Times New Roman"/>
        </w:rPr>
        <w:t>Section</w:t>
      </w:r>
      <w:r w:rsidR="008373AC" w:rsidRPr="00B026E4">
        <w:rPr>
          <w:rFonts w:ascii="Times New Roman" w:hAnsi="Times New Roman" w:cs="Times New Roman"/>
        </w:rPr>
        <w:t xml:space="preserve"> II</w:t>
      </w:r>
      <w:r w:rsidR="00530A0E">
        <w:rPr>
          <w:rFonts w:ascii="Times New Roman" w:hAnsi="Times New Roman" w:cs="Times New Roman"/>
        </w:rPr>
        <w:t xml:space="preserve">, </w:t>
      </w:r>
      <w:r w:rsidR="003914E2">
        <w:rPr>
          <w:rFonts w:ascii="Times New Roman" w:hAnsi="Times New Roman" w:cs="Times New Roman"/>
        </w:rPr>
        <w:t xml:space="preserve">allowed us to analyze information on a massive number of cases. </w:t>
      </w:r>
      <w:r w:rsidR="003914E2" w:rsidRPr="006D3D0A">
        <w:rPr>
          <w:rFonts w:ascii="Times New Roman" w:hAnsi="Times New Roman" w:cs="Times New Roman"/>
        </w:rPr>
        <w:t xml:space="preserve">The disadvantage is that we were limited to variables the courts chose to code. To provide a richer and more nuanced analysis of individual chapter 11 cases, we </w:t>
      </w:r>
      <w:r w:rsidR="003914E2">
        <w:rPr>
          <w:rFonts w:ascii="Times New Roman" w:hAnsi="Times New Roman" w:cs="Times New Roman"/>
        </w:rPr>
        <w:t>used a random number generator to draw</w:t>
      </w:r>
      <w:r w:rsidR="003914E2" w:rsidRPr="006D3D0A">
        <w:rPr>
          <w:rFonts w:ascii="Times New Roman" w:hAnsi="Times New Roman" w:cs="Times New Roman"/>
        </w:rPr>
        <w:t xml:space="preserve"> </w:t>
      </w:r>
      <w:r w:rsidR="00707908">
        <w:rPr>
          <w:rFonts w:ascii="Times New Roman" w:hAnsi="Times New Roman" w:cs="Times New Roman"/>
        </w:rPr>
        <w:t xml:space="preserve">a </w:t>
      </w:r>
      <w:r w:rsidR="003914E2" w:rsidRPr="006D3D0A">
        <w:rPr>
          <w:rFonts w:ascii="Times New Roman" w:hAnsi="Times New Roman" w:cs="Times New Roman"/>
        </w:rPr>
        <w:t>smaller sample from the individual chapter 11 cases identified in the courts’ PACER spreadsheets for 2010 and 2013.</w:t>
      </w:r>
      <w:r w:rsidR="003914E2">
        <w:rPr>
          <w:rFonts w:ascii="Times New Roman" w:hAnsi="Times New Roman" w:cs="Times New Roman"/>
        </w:rPr>
        <w:t xml:space="preserve"> </w:t>
      </w:r>
      <w:r w:rsidR="008373AC" w:rsidRPr="00933FD2">
        <w:rPr>
          <w:rFonts w:ascii="Times New Roman" w:hAnsi="Times New Roman" w:cs="Times New Roman"/>
        </w:rPr>
        <w:t xml:space="preserve">Because we received our PACER waivers over </w:t>
      </w:r>
      <w:r w:rsidR="00530A0E">
        <w:rPr>
          <w:rFonts w:ascii="Times New Roman" w:hAnsi="Times New Roman" w:cs="Times New Roman"/>
        </w:rPr>
        <w:t>time</w:t>
      </w:r>
      <w:r w:rsidR="008373AC" w:rsidRPr="00933FD2">
        <w:rPr>
          <w:rFonts w:ascii="Times New Roman" w:hAnsi="Times New Roman" w:cs="Times New Roman"/>
        </w:rPr>
        <w:t>, we estimated probabilities of inclusion that would yield approximately 100 cases in each year and we applied these same probabilities as we received additional waivers. The final sample contain</w:t>
      </w:r>
      <w:r w:rsidR="00707908">
        <w:rPr>
          <w:rFonts w:ascii="Times New Roman" w:hAnsi="Times New Roman" w:cs="Times New Roman"/>
        </w:rPr>
        <w:t>s</w:t>
      </w:r>
      <w:r w:rsidR="008373AC" w:rsidRPr="00933FD2">
        <w:rPr>
          <w:rFonts w:ascii="Times New Roman" w:hAnsi="Times New Roman" w:cs="Times New Roman"/>
        </w:rPr>
        <w:t xml:space="preserve"> 109 cases from 2010 and 114 from 2013 (the “random sample data”).</w:t>
      </w:r>
      <w:r w:rsidR="008423F6">
        <w:rPr>
          <w:rStyle w:val="FootnoteReference"/>
          <w:rFonts w:ascii="Times New Roman" w:hAnsi="Times New Roman" w:cs="Times New Roman"/>
        </w:rPr>
        <w:footnoteReference w:id="105"/>
      </w:r>
    </w:p>
    <w:p w14:paraId="6DE4CC5A" w14:textId="3B787C78" w:rsidR="008373AC" w:rsidRPr="00537498" w:rsidRDefault="008373AC" w:rsidP="008373AC">
      <w:pPr>
        <w:spacing w:line="480" w:lineRule="auto"/>
        <w:ind w:firstLine="720"/>
        <w:rPr>
          <w:rFonts w:ascii="Times New Roman" w:hAnsi="Times New Roman" w:cs="Times New Roman"/>
        </w:rPr>
      </w:pPr>
      <w:r w:rsidRPr="00537498">
        <w:rPr>
          <w:rFonts w:ascii="Times New Roman" w:hAnsi="Times New Roman" w:cs="Times New Roman"/>
        </w:rPr>
        <w:t>Initially</w:t>
      </w:r>
      <w:r w:rsidR="00B1083A">
        <w:rPr>
          <w:rFonts w:ascii="Times New Roman" w:hAnsi="Times New Roman" w:cs="Times New Roman"/>
        </w:rPr>
        <w:t>,</w:t>
      </w:r>
      <w:r w:rsidRPr="00537498">
        <w:rPr>
          <w:rFonts w:ascii="Times New Roman" w:hAnsi="Times New Roman" w:cs="Times New Roman"/>
        </w:rPr>
        <w:t xml:space="preserve"> we selected only those cases for which PACER listed the debtor type as an individual. </w:t>
      </w:r>
      <w:r w:rsidR="000F3C47">
        <w:rPr>
          <w:rFonts w:ascii="Times New Roman" w:hAnsi="Times New Roman" w:cs="Times New Roman"/>
        </w:rPr>
        <w:t>To verify the accuracy of PACER’s coding, we conducted s</w:t>
      </w:r>
      <w:r w:rsidRPr="00537498">
        <w:rPr>
          <w:rFonts w:ascii="Times New Roman" w:hAnsi="Times New Roman" w:cs="Times New Roman"/>
        </w:rPr>
        <w:t xml:space="preserve">earches of </w:t>
      </w:r>
      <w:r w:rsidR="008E5064">
        <w:rPr>
          <w:rFonts w:ascii="Times New Roman" w:hAnsi="Times New Roman" w:cs="Times New Roman"/>
        </w:rPr>
        <w:t xml:space="preserve">chapter 11 cases </w:t>
      </w:r>
      <w:r w:rsidR="000F3C47">
        <w:rPr>
          <w:rFonts w:ascii="Times New Roman" w:hAnsi="Times New Roman" w:cs="Times New Roman"/>
        </w:rPr>
        <w:t xml:space="preserve">in which the debtor was </w:t>
      </w:r>
      <w:r w:rsidR="008E5064">
        <w:rPr>
          <w:rFonts w:ascii="Times New Roman" w:hAnsi="Times New Roman" w:cs="Times New Roman"/>
        </w:rPr>
        <w:t>listed as a partnership or corporation</w:t>
      </w:r>
      <w:r w:rsidR="000F3C47">
        <w:rPr>
          <w:rFonts w:ascii="Times New Roman" w:hAnsi="Times New Roman" w:cs="Times New Roman"/>
        </w:rPr>
        <w:t xml:space="preserve">; </w:t>
      </w:r>
      <w:r w:rsidR="007D3667">
        <w:rPr>
          <w:rFonts w:ascii="Times New Roman" w:hAnsi="Times New Roman" w:cs="Times New Roman"/>
        </w:rPr>
        <w:t xml:space="preserve">unsurprisingly, </w:t>
      </w:r>
      <w:r w:rsidRPr="00537498">
        <w:rPr>
          <w:rFonts w:ascii="Times New Roman" w:hAnsi="Times New Roman" w:cs="Times New Roman"/>
        </w:rPr>
        <w:t xml:space="preserve">few, if any, of these cases involved individual </w:t>
      </w:r>
      <w:r w:rsidR="000C2BAF">
        <w:rPr>
          <w:rFonts w:ascii="Times New Roman" w:hAnsi="Times New Roman" w:cs="Times New Roman"/>
        </w:rPr>
        <w:t>d</w:t>
      </w:r>
      <w:r w:rsidRPr="00537498">
        <w:rPr>
          <w:rFonts w:ascii="Times New Roman" w:hAnsi="Times New Roman" w:cs="Times New Roman"/>
        </w:rPr>
        <w:t xml:space="preserve">ebtors. </w:t>
      </w:r>
      <w:r w:rsidR="000F3C47">
        <w:rPr>
          <w:rFonts w:ascii="Times New Roman" w:hAnsi="Times New Roman" w:cs="Times New Roman"/>
        </w:rPr>
        <w:t xml:space="preserve">But, PACER also has a category of debtor type listed as “other”; searches of this category produced a </w:t>
      </w:r>
      <w:r w:rsidRPr="00537498">
        <w:rPr>
          <w:rFonts w:ascii="Times New Roman" w:hAnsi="Times New Roman" w:cs="Times New Roman"/>
        </w:rPr>
        <w:t xml:space="preserve">few individual </w:t>
      </w:r>
      <w:r w:rsidR="00AA091B">
        <w:rPr>
          <w:rFonts w:ascii="Times New Roman" w:hAnsi="Times New Roman" w:cs="Times New Roman"/>
        </w:rPr>
        <w:t>chapter</w:t>
      </w:r>
      <w:r w:rsidRPr="00537498">
        <w:rPr>
          <w:rFonts w:ascii="Times New Roman" w:hAnsi="Times New Roman" w:cs="Times New Roman"/>
        </w:rPr>
        <w:t xml:space="preserve"> 11 filings. We included these miscoded cases at the same probability that we used for the cases coded as individual.  </w:t>
      </w:r>
    </w:p>
    <w:p w14:paraId="7D808078" w14:textId="184BE33C" w:rsidR="008373AC" w:rsidRPr="00537498" w:rsidRDefault="003914E2" w:rsidP="008373AC">
      <w:pPr>
        <w:spacing w:line="480" w:lineRule="auto"/>
        <w:ind w:firstLine="720"/>
        <w:rPr>
          <w:rFonts w:ascii="Times New Roman" w:hAnsi="Times New Roman" w:cs="Times New Roman"/>
        </w:rPr>
      </w:pPr>
      <w:r>
        <w:rPr>
          <w:rFonts w:ascii="Times New Roman" w:hAnsi="Times New Roman" w:cs="Times New Roman"/>
        </w:rPr>
        <w:t>Using this data set, w</w:t>
      </w:r>
      <w:r w:rsidRPr="006D3D0A">
        <w:rPr>
          <w:rFonts w:ascii="Times New Roman" w:hAnsi="Times New Roman" w:cs="Times New Roman"/>
        </w:rPr>
        <w:t>e then coded for a host of variables</w:t>
      </w:r>
      <w:r w:rsidR="00707908">
        <w:rPr>
          <w:rFonts w:ascii="Times New Roman" w:hAnsi="Times New Roman" w:cs="Times New Roman"/>
        </w:rPr>
        <w:t xml:space="preserve">, including many that </w:t>
      </w:r>
      <w:r w:rsidRPr="006D3D0A">
        <w:rPr>
          <w:rFonts w:ascii="Times New Roman" w:hAnsi="Times New Roman" w:cs="Times New Roman"/>
        </w:rPr>
        <w:t xml:space="preserve">the PACER </w:t>
      </w:r>
      <w:r>
        <w:rPr>
          <w:rFonts w:ascii="Times New Roman" w:hAnsi="Times New Roman" w:cs="Times New Roman"/>
        </w:rPr>
        <w:t xml:space="preserve">spreadsheets </w:t>
      </w:r>
      <w:r w:rsidRPr="006D3D0A">
        <w:rPr>
          <w:rFonts w:ascii="Times New Roman" w:hAnsi="Times New Roman" w:cs="Times New Roman"/>
        </w:rPr>
        <w:t>do not provide</w:t>
      </w:r>
      <w:r>
        <w:rPr>
          <w:rFonts w:ascii="Times New Roman" w:hAnsi="Times New Roman" w:cs="Times New Roman"/>
        </w:rPr>
        <w:t xml:space="preserve">. </w:t>
      </w:r>
      <w:r w:rsidR="00FB12B0">
        <w:rPr>
          <w:rFonts w:ascii="Times New Roman" w:hAnsi="Times New Roman" w:cs="Times New Roman"/>
        </w:rPr>
        <w:t xml:space="preserve">We coded for the debtor’s financial information using the last-filed schedules in the </w:t>
      </w:r>
      <w:r w:rsidR="00AA091B">
        <w:rPr>
          <w:rFonts w:ascii="Times New Roman" w:hAnsi="Times New Roman" w:cs="Times New Roman"/>
        </w:rPr>
        <w:t>chapter</w:t>
      </w:r>
      <w:r w:rsidR="00FB12B0">
        <w:rPr>
          <w:rFonts w:ascii="Times New Roman" w:hAnsi="Times New Roman" w:cs="Times New Roman"/>
        </w:rPr>
        <w:t xml:space="preserve"> 11 case.</w:t>
      </w:r>
      <w:bookmarkStart w:id="15" w:name="_Ref333839450"/>
      <w:r w:rsidR="008E5064">
        <w:rPr>
          <w:rStyle w:val="FootnoteReference"/>
          <w:rFonts w:ascii="Times New Roman" w:hAnsi="Times New Roman" w:cs="Times New Roman"/>
        </w:rPr>
        <w:footnoteReference w:id="106"/>
      </w:r>
      <w:bookmarkEnd w:id="15"/>
      <w:r w:rsidR="00FB12B0">
        <w:rPr>
          <w:rFonts w:ascii="Times New Roman" w:hAnsi="Times New Roman" w:cs="Times New Roman"/>
        </w:rPr>
        <w:t xml:space="preserve"> </w:t>
      </w:r>
      <w:r w:rsidR="008373AC" w:rsidRPr="00537498">
        <w:rPr>
          <w:rFonts w:ascii="Times New Roman" w:hAnsi="Times New Roman" w:cs="Times New Roman"/>
        </w:rPr>
        <w:t>We were unable to code some information because of missing, incomplete or incomprehensible schedules. We denote</w:t>
      </w:r>
      <w:r w:rsidR="007D3667">
        <w:rPr>
          <w:rFonts w:ascii="Times New Roman" w:hAnsi="Times New Roman" w:cs="Times New Roman"/>
        </w:rPr>
        <w:t>d</w:t>
      </w:r>
      <w:r w:rsidR="008373AC" w:rsidRPr="00537498">
        <w:rPr>
          <w:rFonts w:ascii="Times New Roman" w:hAnsi="Times New Roman" w:cs="Times New Roman"/>
        </w:rPr>
        <w:t xml:space="preserve"> these records as “unknown” and present the </w:t>
      </w:r>
      <w:r w:rsidR="00C63E6E">
        <w:rPr>
          <w:rFonts w:ascii="Times New Roman" w:hAnsi="Times New Roman" w:cs="Times New Roman"/>
        </w:rPr>
        <w:t xml:space="preserve">percentage </w:t>
      </w:r>
      <w:r w:rsidR="008373AC" w:rsidRPr="00537498">
        <w:rPr>
          <w:rFonts w:ascii="Times New Roman" w:hAnsi="Times New Roman" w:cs="Times New Roman"/>
        </w:rPr>
        <w:t xml:space="preserve">of such cases in each table because it varies from question to question (e.g. some debtors complete some schedules but not others). </w:t>
      </w:r>
      <w:r w:rsidR="00C63E6E">
        <w:rPr>
          <w:rFonts w:ascii="Times New Roman" w:hAnsi="Times New Roman" w:cs="Times New Roman"/>
        </w:rPr>
        <w:t>Some</w:t>
      </w:r>
      <w:r w:rsidR="008373AC" w:rsidRPr="00537498">
        <w:rPr>
          <w:rFonts w:ascii="Times New Roman" w:hAnsi="Times New Roman" w:cs="Times New Roman"/>
        </w:rPr>
        <w:t xml:space="preserve"> debtors listed assets or liabilities without declaring a</w:t>
      </w:r>
      <w:r w:rsidR="008373AC">
        <w:rPr>
          <w:rFonts w:ascii="Times New Roman" w:hAnsi="Times New Roman" w:cs="Times New Roman"/>
        </w:rPr>
        <w:t>n</w:t>
      </w:r>
      <w:r w:rsidR="008373AC" w:rsidRPr="00537498">
        <w:rPr>
          <w:rFonts w:ascii="Times New Roman" w:hAnsi="Times New Roman" w:cs="Times New Roman"/>
        </w:rPr>
        <w:t xml:space="preserve"> itemized value and with an implicit valuation of zero in the totals. These entries</w:t>
      </w:r>
      <w:r w:rsidR="008373AC">
        <w:rPr>
          <w:rFonts w:ascii="Times New Roman" w:hAnsi="Times New Roman" w:cs="Times New Roman"/>
        </w:rPr>
        <w:t>,</w:t>
      </w:r>
      <w:r w:rsidR="008373AC" w:rsidRPr="00537498">
        <w:rPr>
          <w:rFonts w:ascii="Times New Roman" w:hAnsi="Times New Roman" w:cs="Times New Roman"/>
        </w:rPr>
        <w:t xml:space="preserve"> therefore</w:t>
      </w:r>
      <w:r w:rsidR="008373AC">
        <w:rPr>
          <w:rFonts w:ascii="Times New Roman" w:hAnsi="Times New Roman" w:cs="Times New Roman"/>
        </w:rPr>
        <w:t>,</w:t>
      </w:r>
      <w:r w:rsidR="008373AC" w:rsidRPr="00537498">
        <w:rPr>
          <w:rFonts w:ascii="Times New Roman" w:hAnsi="Times New Roman" w:cs="Times New Roman"/>
        </w:rPr>
        <w:t xml:space="preserve"> almost certainly understate the true values.</w:t>
      </w:r>
    </w:p>
    <w:p w14:paraId="2B492D64" w14:textId="1D59A93A" w:rsidR="00277CC4" w:rsidRDefault="007B43BB" w:rsidP="008373AC">
      <w:pPr>
        <w:spacing w:line="480" w:lineRule="auto"/>
        <w:ind w:firstLine="720"/>
        <w:rPr>
          <w:rFonts w:ascii="Times New Roman" w:hAnsi="Times New Roman" w:cs="Times New Roman"/>
        </w:rPr>
      </w:pPr>
      <w:r>
        <w:rPr>
          <w:rFonts w:ascii="Times New Roman" w:hAnsi="Times New Roman" w:cs="Times New Roman"/>
        </w:rPr>
        <w:t>T</w:t>
      </w:r>
      <w:r w:rsidR="00707908">
        <w:rPr>
          <w:rFonts w:ascii="Times New Roman" w:hAnsi="Times New Roman" w:cs="Times New Roman"/>
        </w:rPr>
        <w:t xml:space="preserve">he analysis </w:t>
      </w:r>
      <w:r w:rsidR="007D3667">
        <w:rPr>
          <w:rFonts w:ascii="Times New Roman" w:hAnsi="Times New Roman" w:cs="Times New Roman"/>
        </w:rPr>
        <w:t>in</w:t>
      </w:r>
      <w:r w:rsidR="00707908">
        <w:rPr>
          <w:rFonts w:ascii="Times New Roman" w:hAnsi="Times New Roman" w:cs="Times New Roman"/>
        </w:rPr>
        <w:t xml:space="preserve"> this Section, </w:t>
      </w:r>
      <w:r>
        <w:rPr>
          <w:rFonts w:ascii="Times New Roman" w:hAnsi="Times New Roman" w:cs="Times New Roman"/>
        </w:rPr>
        <w:t xml:space="preserve">like the </w:t>
      </w:r>
      <w:r w:rsidR="00707908">
        <w:rPr>
          <w:rFonts w:ascii="Times New Roman" w:hAnsi="Times New Roman" w:cs="Times New Roman"/>
        </w:rPr>
        <w:t xml:space="preserve">analysis of the </w:t>
      </w:r>
      <w:r>
        <w:rPr>
          <w:rFonts w:ascii="Times New Roman" w:hAnsi="Times New Roman" w:cs="Times New Roman"/>
        </w:rPr>
        <w:t xml:space="preserve">PACER data in Section </w:t>
      </w:r>
      <w:r w:rsidR="00707908">
        <w:rPr>
          <w:rFonts w:ascii="Times New Roman" w:hAnsi="Times New Roman" w:cs="Times New Roman"/>
        </w:rPr>
        <w:t>II</w:t>
      </w:r>
      <w:r>
        <w:rPr>
          <w:rFonts w:ascii="Times New Roman" w:hAnsi="Times New Roman" w:cs="Times New Roman"/>
        </w:rPr>
        <w:t xml:space="preserve">, is largely descriptive. Hand coding the cases in the 2010 and 2013 </w:t>
      </w:r>
      <w:r w:rsidR="00F72088">
        <w:rPr>
          <w:rFonts w:ascii="Times New Roman" w:hAnsi="Times New Roman" w:cs="Times New Roman"/>
        </w:rPr>
        <w:t xml:space="preserve">random </w:t>
      </w:r>
      <w:r>
        <w:rPr>
          <w:rFonts w:ascii="Times New Roman" w:hAnsi="Times New Roman" w:cs="Times New Roman"/>
        </w:rPr>
        <w:t>sample, however, allowed us to provide a more detailed picture</w:t>
      </w:r>
      <w:r w:rsidR="00277CC4">
        <w:rPr>
          <w:rFonts w:ascii="Times New Roman" w:hAnsi="Times New Roman" w:cs="Times New Roman"/>
        </w:rPr>
        <w:t xml:space="preserve"> of individual</w:t>
      </w:r>
      <w:r w:rsidR="007D3667">
        <w:rPr>
          <w:rFonts w:ascii="Times New Roman" w:hAnsi="Times New Roman" w:cs="Times New Roman"/>
        </w:rPr>
        <w:t>s</w:t>
      </w:r>
      <w:r w:rsidR="00277CC4">
        <w:rPr>
          <w:rFonts w:ascii="Times New Roman" w:hAnsi="Times New Roman" w:cs="Times New Roman"/>
        </w:rPr>
        <w:t xml:space="preserve"> who file for relief under chapter 11. Our</w:t>
      </w:r>
      <w:r w:rsidR="00277CC4" w:rsidRPr="00B026E4">
        <w:rPr>
          <w:rFonts w:ascii="Times New Roman" w:hAnsi="Times New Roman" w:cs="Times New Roman"/>
        </w:rPr>
        <w:t xml:space="preserve"> main goals </w:t>
      </w:r>
      <w:r w:rsidR="007D3667">
        <w:rPr>
          <w:rFonts w:ascii="Times New Roman" w:hAnsi="Times New Roman" w:cs="Times New Roman"/>
        </w:rPr>
        <w:t>were</w:t>
      </w:r>
      <w:r w:rsidR="00277CC4" w:rsidRPr="00B026E4">
        <w:rPr>
          <w:rFonts w:ascii="Times New Roman" w:hAnsi="Times New Roman" w:cs="Times New Roman"/>
        </w:rPr>
        <w:t xml:space="preserve"> </w:t>
      </w:r>
      <w:r w:rsidR="00F72088">
        <w:rPr>
          <w:rFonts w:ascii="Times New Roman" w:hAnsi="Times New Roman" w:cs="Times New Roman"/>
        </w:rPr>
        <w:t xml:space="preserve">to </w:t>
      </w:r>
      <w:r w:rsidR="00277CC4" w:rsidRPr="00B026E4">
        <w:rPr>
          <w:rFonts w:ascii="Times New Roman" w:hAnsi="Times New Roman" w:cs="Times New Roman"/>
        </w:rPr>
        <w:t xml:space="preserve">determine whether </w:t>
      </w:r>
      <w:r w:rsidR="00277CC4">
        <w:rPr>
          <w:rFonts w:ascii="Times New Roman" w:hAnsi="Times New Roman" w:cs="Times New Roman"/>
        </w:rPr>
        <w:t>chapter</w:t>
      </w:r>
      <w:r w:rsidR="00277CC4" w:rsidRPr="00B026E4">
        <w:rPr>
          <w:rFonts w:ascii="Times New Roman" w:hAnsi="Times New Roman" w:cs="Times New Roman"/>
        </w:rPr>
        <w:t xml:space="preserve"> 11 debtors look more like </w:t>
      </w:r>
      <w:r w:rsidR="00277CC4">
        <w:rPr>
          <w:rFonts w:ascii="Times New Roman" w:hAnsi="Times New Roman" w:cs="Times New Roman"/>
        </w:rPr>
        <w:t>chapter</w:t>
      </w:r>
      <w:r w:rsidR="00277CC4" w:rsidRPr="00B026E4">
        <w:rPr>
          <w:rFonts w:ascii="Times New Roman" w:hAnsi="Times New Roman" w:cs="Times New Roman"/>
        </w:rPr>
        <w:t xml:space="preserve"> 13 debtors or small</w:t>
      </w:r>
      <w:r w:rsidR="00277CC4">
        <w:rPr>
          <w:rFonts w:ascii="Times New Roman" w:hAnsi="Times New Roman" w:cs="Times New Roman"/>
        </w:rPr>
        <w:t xml:space="preserve"> and </w:t>
      </w:r>
      <w:r w:rsidR="00277CC4" w:rsidRPr="00B026E4">
        <w:rPr>
          <w:rFonts w:ascii="Times New Roman" w:hAnsi="Times New Roman" w:cs="Times New Roman"/>
        </w:rPr>
        <w:t>medium</w:t>
      </w:r>
      <w:r w:rsidR="00277CC4">
        <w:rPr>
          <w:rFonts w:ascii="Times New Roman" w:hAnsi="Times New Roman" w:cs="Times New Roman"/>
        </w:rPr>
        <w:t xml:space="preserve">-sized </w:t>
      </w:r>
      <w:r w:rsidR="00277CC4" w:rsidRPr="00B026E4">
        <w:rPr>
          <w:rFonts w:ascii="Times New Roman" w:hAnsi="Times New Roman" w:cs="Times New Roman"/>
        </w:rPr>
        <w:t>enterprises,</w:t>
      </w:r>
      <w:r w:rsidR="00277CC4">
        <w:rPr>
          <w:rStyle w:val="FootnoteReference"/>
          <w:rFonts w:ascii="Times New Roman" w:hAnsi="Times New Roman" w:cs="Times New Roman"/>
        </w:rPr>
        <w:footnoteReference w:id="107"/>
      </w:r>
      <w:r w:rsidR="00277CC4" w:rsidRPr="00B026E4">
        <w:rPr>
          <w:rFonts w:ascii="Times New Roman" w:hAnsi="Times New Roman" w:cs="Times New Roman"/>
        </w:rPr>
        <w:t xml:space="preserve"> </w:t>
      </w:r>
      <w:r w:rsidR="00277CC4">
        <w:rPr>
          <w:rFonts w:ascii="Times New Roman" w:hAnsi="Times New Roman" w:cs="Times New Roman"/>
        </w:rPr>
        <w:t xml:space="preserve">and </w:t>
      </w:r>
      <w:r w:rsidR="00277CC4" w:rsidRPr="00B026E4">
        <w:rPr>
          <w:rFonts w:ascii="Times New Roman" w:hAnsi="Times New Roman" w:cs="Times New Roman"/>
        </w:rPr>
        <w:t>whether debtors appear to mak</w:t>
      </w:r>
      <w:r w:rsidR="00277CC4">
        <w:rPr>
          <w:rFonts w:ascii="Times New Roman" w:hAnsi="Times New Roman" w:cs="Times New Roman"/>
        </w:rPr>
        <w:t>e</w:t>
      </w:r>
      <w:r w:rsidR="00277CC4" w:rsidRPr="00B026E4">
        <w:rPr>
          <w:rFonts w:ascii="Times New Roman" w:hAnsi="Times New Roman" w:cs="Times New Roman"/>
        </w:rPr>
        <w:t xml:space="preserve"> good use of the flexibility afforded by </w:t>
      </w:r>
      <w:r w:rsidR="00277CC4">
        <w:rPr>
          <w:rFonts w:ascii="Times New Roman" w:hAnsi="Times New Roman" w:cs="Times New Roman"/>
        </w:rPr>
        <w:t>chapter</w:t>
      </w:r>
      <w:r w:rsidR="00277CC4" w:rsidRPr="00B026E4">
        <w:rPr>
          <w:rFonts w:ascii="Times New Roman" w:hAnsi="Times New Roman" w:cs="Times New Roman"/>
        </w:rPr>
        <w:t xml:space="preserve"> 11</w:t>
      </w:r>
      <w:r w:rsidR="00277CC4">
        <w:rPr>
          <w:rFonts w:ascii="Times New Roman" w:hAnsi="Times New Roman" w:cs="Times New Roman"/>
        </w:rPr>
        <w:t xml:space="preserve">. </w:t>
      </w:r>
    </w:p>
    <w:p w14:paraId="289CB21B" w14:textId="0F81B8D5" w:rsidR="00277CC4" w:rsidRDefault="00277CC4" w:rsidP="008373AC">
      <w:pPr>
        <w:spacing w:line="480" w:lineRule="auto"/>
        <w:ind w:firstLine="720"/>
        <w:rPr>
          <w:rFonts w:ascii="Times New Roman" w:hAnsi="Times New Roman" w:cs="Times New Roman"/>
        </w:rPr>
      </w:pPr>
      <w:r>
        <w:rPr>
          <w:rFonts w:ascii="Times New Roman" w:hAnsi="Times New Roman" w:cs="Times New Roman"/>
        </w:rPr>
        <w:t xml:space="preserve">In Section III.A.1 and 2, we provide basic demographic information about the random sample debtors and </w:t>
      </w:r>
      <w:r w:rsidR="007D3667">
        <w:rPr>
          <w:rFonts w:ascii="Times New Roman" w:hAnsi="Times New Roman" w:cs="Times New Roman"/>
        </w:rPr>
        <w:t>their</w:t>
      </w:r>
      <w:r>
        <w:rPr>
          <w:rFonts w:ascii="Times New Roman" w:hAnsi="Times New Roman" w:cs="Times New Roman"/>
        </w:rPr>
        <w:t xml:space="preserve"> business operations. We </w:t>
      </w:r>
      <w:r w:rsidR="007D3667">
        <w:rPr>
          <w:rFonts w:ascii="Times New Roman" w:hAnsi="Times New Roman" w:cs="Times New Roman"/>
        </w:rPr>
        <w:t xml:space="preserve">found </w:t>
      </w:r>
      <w:r>
        <w:rPr>
          <w:rFonts w:ascii="Times New Roman" w:hAnsi="Times New Roman" w:cs="Times New Roman"/>
        </w:rPr>
        <w:t xml:space="preserve">that apart from joint filings, men account for three to four times as many individual chapter 11 filings as women. In addition, unlike chapter 13, a significant proportion of the individual debtors in our random sample </w:t>
      </w:r>
      <w:r w:rsidR="00C110EB">
        <w:rPr>
          <w:rFonts w:ascii="Times New Roman" w:hAnsi="Times New Roman" w:cs="Times New Roman"/>
        </w:rPr>
        <w:t>were engaged in business.</w:t>
      </w:r>
      <w:r>
        <w:rPr>
          <w:rFonts w:ascii="Times New Roman" w:hAnsi="Times New Roman" w:cs="Times New Roman"/>
        </w:rPr>
        <w:t xml:space="preserve"> In Section III.A.3, we look at the rate of repeat bankruptcy filing and </w:t>
      </w:r>
      <w:r w:rsidR="00F72088">
        <w:rPr>
          <w:rFonts w:ascii="Times New Roman" w:hAnsi="Times New Roman" w:cs="Times New Roman"/>
        </w:rPr>
        <w:t>find</w:t>
      </w:r>
      <w:r w:rsidR="00C110EB">
        <w:rPr>
          <w:rFonts w:ascii="Times New Roman" w:hAnsi="Times New Roman" w:cs="Times New Roman"/>
        </w:rPr>
        <w:t xml:space="preserve"> a fairly high rate of repeat, although not necessarily abusive, filing</w:t>
      </w:r>
      <w:r w:rsidR="007D3667">
        <w:rPr>
          <w:rFonts w:ascii="Times New Roman" w:hAnsi="Times New Roman" w:cs="Times New Roman"/>
        </w:rPr>
        <w:t>s</w:t>
      </w:r>
      <w:r w:rsidR="00C110EB">
        <w:rPr>
          <w:rFonts w:ascii="Times New Roman" w:hAnsi="Times New Roman" w:cs="Times New Roman"/>
        </w:rPr>
        <w:t>. For example, about</w:t>
      </w:r>
      <w:r>
        <w:rPr>
          <w:rFonts w:ascii="Times New Roman" w:hAnsi="Times New Roman" w:cs="Times New Roman"/>
        </w:rPr>
        <w:t xml:space="preserve"> one-third of the debtors in the 2010 random sample </w:t>
      </w:r>
      <w:r w:rsidR="00C110EB">
        <w:rPr>
          <w:rFonts w:ascii="Times New Roman" w:hAnsi="Times New Roman" w:cs="Times New Roman"/>
        </w:rPr>
        <w:t>had filed for bankruptcy more than once.</w:t>
      </w:r>
      <w:r>
        <w:rPr>
          <w:rFonts w:ascii="Times New Roman" w:hAnsi="Times New Roman" w:cs="Times New Roman"/>
        </w:rPr>
        <w:t xml:space="preserve"> We wrap up Section III.A with an examination of data </w:t>
      </w:r>
      <w:r w:rsidR="00C110EB">
        <w:rPr>
          <w:rFonts w:ascii="Times New Roman" w:hAnsi="Times New Roman" w:cs="Times New Roman"/>
        </w:rPr>
        <w:t>about</w:t>
      </w:r>
      <w:r>
        <w:rPr>
          <w:rFonts w:ascii="Times New Roman" w:hAnsi="Times New Roman" w:cs="Times New Roman"/>
        </w:rPr>
        <w:t xml:space="preserve"> debtor size</w:t>
      </w:r>
      <w:r w:rsidR="00C110EB">
        <w:rPr>
          <w:rFonts w:ascii="Times New Roman" w:hAnsi="Times New Roman" w:cs="Times New Roman"/>
        </w:rPr>
        <w:t>, using size</w:t>
      </w:r>
      <w:r>
        <w:rPr>
          <w:rFonts w:ascii="Times New Roman" w:hAnsi="Times New Roman" w:cs="Times New Roman"/>
        </w:rPr>
        <w:t xml:space="preserve"> as a proxy for complexity; these measures show that most debtors in the random sample are small.  </w:t>
      </w:r>
    </w:p>
    <w:p w14:paraId="45CD6B76" w14:textId="54FB508C" w:rsidR="008373AC" w:rsidRPr="00B026E4" w:rsidRDefault="00C110EB" w:rsidP="008373AC">
      <w:pPr>
        <w:spacing w:line="480" w:lineRule="auto"/>
        <w:ind w:firstLine="720"/>
        <w:rPr>
          <w:rFonts w:ascii="Times New Roman" w:hAnsi="Times New Roman" w:cs="Times New Roman"/>
        </w:rPr>
      </w:pPr>
      <w:r>
        <w:rPr>
          <w:rFonts w:ascii="Times New Roman" w:hAnsi="Times New Roman" w:cs="Times New Roman"/>
        </w:rPr>
        <w:t>I</w:t>
      </w:r>
      <w:r w:rsidR="00277CC4">
        <w:rPr>
          <w:rFonts w:ascii="Times New Roman" w:hAnsi="Times New Roman" w:cs="Times New Roman"/>
        </w:rPr>
        <w:t xml:space="preserve">n Section III.B, we present </w:t>
      </w:r>
      <w:r>
        <w:rPr>
          <w:rFonts w:ascii="Times New Roman" w:hAnsi="Times New Roman" w:cs="Times New Roman"/>
        </w:rPr>
        <w:t xml:space="preserve">a </w:t>
      </w:r>
      <w:r w:rsidR="00277CC4">
        <w:rPr>
          <w:rFonts w:ascii="Times New Roman" w:hAnsi="Times New Roman" w:cs="Times New Roman"/>
        </w:rPr>
        <w:t xml:space="preserve">more in-depth </w:t>
      </w:r>
      <w:r>
        <w:rPr>
          <w:rFonts w:ascii="Times New Roman" w:hAnsi="Times New Roman" w:cs="Times New Roman"/>
        </w:rPr>
        <w:t xml:space="preserve">analysis of the financial condition of the random sample debtors. </w:t>
      </w:r>
      <w:r w:rsidR="00277CC4">
        <w:rPr>
          <w:rFonts w:ascii="Times New Roman" w:hAnsi="Times New Roman" w:cs="Times New Roman"/>
        </w:rPr>
        <w:t xml:space="preserve">The income, expense, home ownership, and asset and liability data show that the debtors in the 2010 and 2013 random sample have higher incomes, higher rates of home ownership, and more significant assets than the typical American and the average chapter 13 debtor.  </w:t>
      </w:r>
      <w:r w:rsidR="008E5064">
        <w:rPr>
          <w:rFonts w:ascii="Times New Roman" w:hAnsi="Times New Roman" w:cs="Times New Roman"/>
        </w:rPr>
        <w:t xml:space="preserve"> </w:t>
      </w:r>
    </w:p>
    <w:p w14:paraId="74A06F0C" w14:textId="0E5BDCA6" w:rsidR="008373AC" w:rsidRPr="00B026E4" w:rsidRDefault="008373AC" w:rsidP="008373AC">
      <w:pPr>
        <w:spacing w:line="480" w:lineRule="auto"/>
        <w:rPr>
          <w:rFonts w:ascii="Times New Roman" w:hAnsi="Times New Roman" w:cs="Times New Roman"/>
          <w:b/>
        </w:rPr>
      </w:pPr>
      <w:r w:rsidRPr="00B026E4">
        <w:rPr>
          <w:rFonts w:ascii="Times New Roman" w:hAnsi="Times New Roman" w:cs="Times New Roman"/>
          <w:b/>
        </w:rPr>
        <w:t>A.</w:t>
      </w:r>
      <w:r w:rsidRPr="00B026E4">
        <w:rPr>
          <w:rFonts w:ascii="Times New Roman" w:hAnsi="Times New Roman" w:cs="Times New Roman"/>
          <w:b/>
        </w:rPr>
        <w:tab/>
        <w:t xml:space="preserve"> Do Individuals </w:t>
      </w:r>
      <w:r w:rsidR="005710F3">
        <w:rPr>
          <w:rFonts w:ascii="Times New Roman" w:hAnsi="Times New Roman" w:cs="Times New Roman"/>
          <w:b/>
        </w:rPr>
        <w:t>i</w:t>
      </w:r>
      <w:r w:rsidRPr="00B026E4">
        <w:rPr>
          <w:rFonts w:ascii="Times New Roman" w:hAnsi="Times New Roman" w:cs="Times New Roman"/>
          <w:b/>
        </w:rPr>
        <w:t>n Chapter 11 Look Like Those in Chapter 13?</w:t>
      </w:r>
    </w:p>
    <w:p w14:paraId="49D10FC0" w14:textId="081664FC" w:rsidR="008373AC" w:rsidRPr="00B026E4" w:rsidRDefault="00C459CB" w:rsidP="002224C4">
      <w:pPr>
        <w:spacing w:line="480" w:lineRule="auto"/>
        <w:ind w:firstLine="720"/>
        <w:rPr>
          <w:rFonts w:ascii="Times New Roman" w:hAnsi="Times New Roman" w:cs="Times New Roman"/>
        </w:rPr>
      </w:pPr>
      <w:r w:rsidRPr="00B6103A">
        <w:t xml:space="preserve">One of the </w:t>
      </w:r>
      <w:r w:rsidR="008B65D2">
        <w:t>major</w:t>
      </w:r>
      <w:r w:rsidRPr="00B6103A">
        <w:t xml:space="preserve"> </w:t>
      </w:r>
      <w:r w:rsidR="008B65D2">
        <w:t xml:space="preserve">reasons for undertaking this project was to examine </w:t>
      </w:r>
      <w:r w:rsidRPr="00B6103A">
        <w:t xml:space="preserve">whether </w:t>
      </w:r>
      <w:r w:rsidR="008B65D2">
        <w:t>chapter 13 or some hybrid subchapter tailored to the specific needs of bankrupt individuals would serve individual</w:t>
      </w:r>
      <w:r w:rsidR="007D3667">
        <w:t xml:space="preserve"> debtors</w:t>
      </w:r>
      <w:r w:rsidR="008B65D2">
        <w:t xml:space="preserve"> </w:t>
      </w:r>
      <w:r w:rsidR="007D3667">
        <w:t xml:space="preserve">better than </w:t>
      </w:r>
      <w:r w:rsidR="008B65D2">
        <w:t>filin</w:t>
      </w:r>
      <w:r w:rsidR="00E07673">
        <w:t xml:space="preserve">g for relief under chapter 11. </w:t>
      </w:r>
      <w:r w:rsidR="00530A0E">
        <w:rPr>
          <w:rFonts w:ascii="Times New Roman" w:hAnsi="Times New Roman" w:cs="Times New Roman"/>
        </w:rPr>
        <w:t>Admittedly,</w:t>
      </w:r>
      <w:r w:rsidR="006D6170">
        <w:rPr>
          <w:rFonts w:ascii="Times New Roman" w:hAnsi="Times New Roman" w:cs="Times New Roman"/>
        </w:rPr>
        <w:t xml:space="preserve"> it is not at all clear that </w:t>
      </w:r>
      <w:r w:rsidR="00AA091B">
        <w:rPr>
          <w:rFonts w:ascii="Times New Roman" w:hAnsi="Times New Roman" w:cs="Times New Roman"/>
        </w:rPr>
        <w:t>chapter</w:t>
      </w:r>
      <w:r w:rsidR="006D6170">
        <w:rPr>
          <w:rFonts w:ascii="Times New Roman" w:hAnsi="Times New Roman" w:cs="Times New Roman"/>
        </w:rPr>
        <w:t xml:space="preserve"> 13 effectively provides a fresh start to consumers or that </w:t>
      </w:r>
      <w:r w:rsidR="00AA091B">
        <w:rPr>
          <w:rFonts w:ascii="Times New Roman" w:hAnsi="Times New Roman" w:cs="Times New Roman"/>
        </w:rPr>
        <w:t>chapter</w:t>
      </w:r>
      <w:r w:rsidR="006D6170">
        <w:rPr>
          <w:rFonts w:ascii="Times New Roman" w:hAnsi="Times New Roman" w:cs="Times New Roman"/>
        </w:rPr>
        <w:t xml:space="preserve"> 11 effectively reorganizes the small</w:t>
      </w:r>
      <w:r w:rsidR="00EC2FA9">
        <w:rPr>
          <w:rFonts w:ascii="Times New Roman" w:hAnsi="Times New Roman" w:cs="Times New Roman"/>
        </w:rPr>
        <w:t xml:space="preserve"> and </w:t>
      </w:r>
      <w:r w:rsidR="006D6170">
        <w:rPr>
          <w:rFonts w:ascii="Times New Roman" w:hAnsi="Times New Roman" w:cs="Times New Roman"/>
        </w:rPr>
        <w:t>medium</w:t>
      </w:r>
      <w:r w:rsidR="00EC2FA9">
        <w:rPr>
          <w:rFonts w:ascii="Times New Roman" w:hAnsi="Times New Roman" w:cs="Times New Roman"/>
        </w:rPr>
        <w:t>-</w:t>
      </w:r>
      <w:r w:rsidR="003C39B9">
        <w:rPr>
          <w:rFonts w:ascii="Times New Roman" w:hAnsi="Times New Roman" w:cs="Times New Roman"/>
        </w:rPr>
        <w:t xml:space="preserve">sized </w:t>
      </w:r>
      <w:r w:rsidR="006D6170">
        <w:rPr>
          <w:rFonts w:ascii="Times New Roman" w:hAnsi="Times New Roman" w:cs="Times New Roman"/>
        </w:rPr>
        <w:t xml:space="preserve">enterprises </w:t>
      </w:r>
      <w:r w:rsidR="00530A0E">
        <w:rPr>
          <w:rFonts w:ascii="Times New Roman" w:hAnsi="Times New Roman" w:cs="Times New Roman"/>
        </w:rPr>
        <w:t>dominating</w:t>
      </w:r>
      <w:r w:rsidR="006D6170">
        <w:rPr>
          <w:rFonts w:ascii="Times New Roman" w:hAnsi="Times New Roman" w:cs="Times New Roman"/>
        </w:rPr>
        <w:t xml:space="preserve"> its docket. Still, </w:t>
      </w:r>
      <w:r w:rsidR="00C8575E">
        <w:rPr>
          <w:rFonts w:ascii="Times New Roman" w:hAnsi="Times New Roman" w:cs="Times New Roman"/>
        </w:rPr>
        <w:t xml:space="preserve">it is </w:t>
      </w:r>
      <w:r w:rsidR="006D6170">
        <w:rPr>
          <w:rFonts w:ascii="Times New Roman" w:hAnsi="Times New Roman" w:cs="Times New Roman"/>
        </w:rPr>
        <w:t xml:space="preserve">worth asking whether </w:t>
      </w:r>
      <w:r w:rsidR="00835D79">
        <w:rPr>
          <w:rFonts w:ascii="Times New Roman" w:hAnsi="Times New Roman" w:cs="Times New Roman"/>
        </w:rPr>
        <w:t xml:space="preserve">individual </w:t>
      </w:r>
      <w:r w:rsidR="00AA091B">
        <w:rPr>
          <w:rFonts w:ascii="Times New Roman" w:hAnsi="Times New Roman" w:cs="Times New Roman"/>
        </w:rPr>
        <w:t>chapter</w:t>
      </w:r>
      <w:r w:rsidR="00835D79">
        <w:rPr>
          <w:rFonts w:ascii="Times New Roman" w:hAnsi="Times New Roman" w:cs="Times New Roman"/>
        </w:rPr>
        <w:t xml:space="preserve"> 11 debtors look </w:t>
      </w:r>
      <w:r w:rsidR="006D6170">
        <w:rPr>
          <w:rFonts w:ascii="Times New Roman" w:hAnsi="Times New Roman" w:cs="Times New Roman"/>
        </w:rPr>
        <w:t xml:space="preserve">more like </w:t>
      </w:r>
      <w:r w:rsidR="00AA091B">
        <w:rPr>
          <w:rFonts w:ascii="Times New Roman" w:hAnsi="Times New Roman" w:cs="Times New Roman"/>
        </w:rPr>
        <w:t>chapter</w:t>
      </w:r>
      <w:r w:rsidR="00835D79">
        <w:rPr>
          <w:rFonts w:ascii="Times New Roman" w:hAnsi="Times New Roman" w:cs="Times New Roman"/>
        </w:rPr>
        <w:t xml:space="preserve"> 13 </w:t>
      </w:r>
      <w:r w:rsidR="006D6170">
        <w:rPr>
          <w:rFonts w:ascii="Times New Roman" w:hAnsi="Times New Roman" w:cs="Times New Roman"/>
        </w:rPr>
        <w:t>consumers</w:t>
      </w:r>
      <w:r w:rsidR="008B65D2">
        <w:rPr>
          <w:rFonts w:ascii="Times New Roman" w:hAnsi="Times New Roman" w:cs="Times New Roman"/>
        </w:rPr>
        <w:t xml:space="preserve">, </w:t>
      </w:r>
      <w:r w:rsidR="00530A0E">
        <w:rPr>
          <w:rFonts w:ascii="Times New Roman" w:hAnsi="Times New Roman" w:cs="Times New Roman"/>
        </w:rPr>
        <w:t xml:space="preserve">albeit </w:t>
      </w:r>
      <w:r w:rsidR="00835D79">
        <w:rPr>
          <w:rFonts w:ascii="Times New Roman" w:hAnsi="Times New Roman" w:cs="Times New Roman"/>
        </w:rPr>
        <w:t>with just a little more debt</w:t>
      </w:r>
      <w:r w:rsidR="005B5DD7">
        <w:rPr>
          <w:rFonts w:ascii="Times New Roman" w:hAnsi="Times New Roman" w:cs="Times New Roman"/>
        </w:rPr>
        <w:t>, or</w:t>
      </w:r>
      <w:r w:rsidR="006D6170">
        <w:rPr>
          <w:rFonts w:ascii="Times New Roman" w:hAnsi="Times New Roman" w:cs="Times New Roman"/>
        </w:rPr>
        <w:t xml:space="preserve"> </w:t>
      </w:r>
      <w:r w:rsidR="00A42155">
        <w:rPr>
          <w:rFonts w:ascii="Times New Roman" w:hAnsi="Times New Roman" w:cs="Times New Roman"/>
        </w:rPr>
        <w:t xml:space="preserve">like </w:t>
      </w:r>
      <w:r w:rsidR="006D6170">
        <w:rPr>
          <w:rFonts w:ascii="Times New Roman" w:hAnsi="Times New Roman" w:cs="Times New Roman"/>
        </w:rPr>
        <w:t>small</w:t>
      </w:r>
      <w:r w:rsidR="00EC2FA9">
        <w:rPr>
          <w:rFonts w:ascii="Times New Roman" w:hAnsi="Times New Roman" w:cs="Times New Roman"/>
        </w:rPr>
        <w:t xml:space="preserve"> and </w:t>
      </w:r>
      <w:r w:rsidR="006D6170">
        <w:rPr>
          <w:rFonts w:ascii="Times New Roman" w:hAnsi="Times New Roman" w:cs="Times New Roman"/>
        </w:rPr>
        <w:t>medium</w:t>
      </w:r>
      <w:r w:rsidR="00EC2FA9">
        <w:rPr>
          <w:rFonts w:ascii="Times New Roman" w:hAnsi="Times New Roman" w:cs="Times New Roman"/>
        </w:rPr>
        <w:t>-</w:t>
      </w:r>
      <w:r w:rsidR="003C39B9">
        <w:rPr>
          <w:rFonts w:ascii="Times New Roman" w:hAnsi="Times New Roman" w:cs="Times New Roman"/>
        </w:rPr>
        <w:t xml:space="preserve">sized </w:t>
      </w:r>
      <w:r w:rsidR="006D6170">
        <w:rPr>
          <w:rFonts w:ascii="Times New Roman" w:hAnsi="Times New Roman" w:cs="Times New Roman"/>
        </w:rPr>
        <w:t>enterprises</w:t>
      </w:r>
      <w:r w:rsidR="00C8575E">
        <w:rPr>
          <w:rFonts w:ascii="Times New Roman" w:hAnsi="Times New Roman" w:cs="Times New Roman"/>
        </w:rPr>
        <w:t>.</w:t>
      </w:r>
    </w:p>
    <w:p w14:paraId="74562445" w14:textId="77777777" w:rsidR="008373AC" w:rsidRPr="00EB7FD9" w:rsidRDefault="008373AC" w:rsidP="008373AC">
      <w:pPr>
        <w:spacing w:line="480" w:lineRule="auto"/>
        <w:rPr>
          <w:rFonts w:ascii="Times New Roman" w:hAnsi="Times New Roman" w:cs="Times New Roman"/>
          <w:i/>
        </w:rPr>
      </w:pPr>
      <w:r w:rsidRPr="00EB7FD9">
        <w:rPr>
          <w:rFonts w:ascii="Times New Roman" w:hAnsi="Times New Roman" w:cs="Times New Roman"/>
          <w:i/>
        </w:rPr>
        <w:t>1.</w:t>
      </w:r>
      <w:r w:rsidRPr="00EB7FD9">
        <w:rPr>
          <w:rFonts w:ascii="Times New Roman" w:hAnsi="Times New Roman" w:cs="Times New Roman"/>
          <w:i/>
        </w:rPr>
        <w:tab/>
        <w:t>Demographic Information</w:t>
      </w:r>
    </w:p>
    <w:p w14:paraId="49BB5F10" w14:textId="5E2CD8F5" w:rsidR="00E64D00" w:rsidRDefault="008373AC" w:rsidP="008373AC">
      <w:pPr>
        <w:spacing w:line="480" w:lineRule="auto"/>
        <w:ind w:firstLine="720"/>
        <w:rPr>
          <w:rFonts w:ascii="Times New Roman" w:hAnsi="Times New Roman" w:cs="Times New Roman"/>
        </w:rPr>
      </w:pPr>
      <w:r w:rsidRPr="00B026E4">
        <w:rPr>
          <w:rFonts w:ascii="Times New Roman" w:hAnsi="Times New Roman" w:cs="Times New Roman"/>
        </w:rPr>
        <w:t xml:space="preserve">Tables </w:t>
      </w:r>
      <w:r w:rsidR="00D80370">
        <w:rPr>
          <w:rFonts w:ascii="Times New Roman" w:hAnsi="Times New Roman" w:cs="Times New Roman"/>
        </w:rPr>
        <w:t>9</w:t>
      </w:r>
      <w:r w:rsidRPr="00B026E4">
        <w:rPr>
          <w:rFonts w:ascii="Times New Roman" w:hAnsi="Times New Roman" w:cs="Times New Roman"/>
        </w:rPr>
        <w:t xml:space="preserve"> and </w:t>
      </w:r>
      <w:r w:rsidR="00D80370">
        <w:rPr>
          <w:rFonts w:ascii="Times New Roman" w:hAnsi="Times New Roman" w:cs="Times New Roman"/>
        </w:rPr>
        <w:t>10</w:t>
      </w:r>
      <w:r w:rsidRPr="00B026E4">
        <w:rPr>
          <w:rFonts w:ascii="Times New Roman" w:hAnsi="Times New Roman" w:cs="Times New Roman"/>
        </w:rPr>
        <w:t xml:space="preserve"> present basic demographic information</w:t>
      </w:r>
      <w:r w:rsidR="00530A0E">
        <w:rPr>
          <w:rFonts w:ascii="Times New Roman" w:hAnsi="Times New Roman" w:cs="Times New Roman"/>
        </w:rPr>
        <w:t xml:space="preserve"> </w:t>
      </w:r>
      <w:r w:rsidR="00E64D00">
        <w:rPr>
          <w:rFonts w:ascii="Times New Roman" w:hAnsi="Times New Roman" w:cs="Times New Roman"/>
        </w:rPr>
        <w:t xml:space="preserve">as we </w:t>
      </w:r>
      <w:r w:rsidR="00530A0E">
        <w:rPr>
          <w:rFonts w:ascii="Times New Roman" w:hAnsi="Times New Roman" w:cs="Times New Roman"/>
        </w:rPr>
        <w:t xml:space="preserve">begin </w:t>
      </w:r>
      <w:r w:rsidR="00530A0E" w:rsidRPr="00B026E4">
        <w:rPr>
          <w:rFonts w:ascii="Times New Roman" w:hAnsi="Times New Roman" w:cs="Times New Roman"/>
        </w:rPr>
        <w:t xml:space="preserve">to sketch a portrait of the </w:t>
      </w:r>
      <w:r w:rsidR="00530A0E">
        <w:rPr>
          <w:rFonts w:ascii="Times New Roman" w:hAnsi="Times New Roman" w:cs="Times New Roman"/>
        </w:rPr>
        <w:t xml:space="preserve">individual </w:t>
      </w:r>
      <w:r w:rsidR="00530A0E" w:rsidRPr="00B026E4">
        <w:rPr>
          <w:rFonts w:ascii="Times New Roman" w:hAnsi="Times New Roman" w:cs="Times New Roman"/>
        </w:rPr>
        <w:t xml:space="preserve">debtors who file under </w:t>
      </w:r>
      <w:r w:rsidR="00530A0E">
        <w:rPr>
          <w:rFonts w:ascii="Times New Roman" w:hAnsi="Times New Roman" w:cs="Times New Roman"/>
        </w:rPr>
        <w:t>chapter 11</w:t>
      </w:r>
      <w:r w:rsidRPr="00B026E4">
        <w:rPr>
          <w:rFonts w:ascii="Times New Roman" w:hAnsi="Times New Roman" w:cs="Times New Roman"/>
        </w:rPr>
        <w:t xml:space="preserve">. </w:t>
      </w:r>
      <w:r w:rsidR="00E64D00">
        <w:rPr>
          <w:rFonts w:ascii="Times New Roman" w:hAnsi="Times New Roman" w:cs="Times New Roman"/>
        </w:rPr>
        <w:t xml:space="preserve">As the data in Table </w:t>
      </w:r>
      <w:r w:rsidR="00D80370">
        <w:rPr>
          <w:rFonts w:ascii="Times New Roman" w:hAnsi="Times New Roman" w:cs="Times New Roman"/>
        </w:rPr>
        <w:t>9</w:t>
      </w:r>
      <w:r w:rsidR="00E64D00">
        <w:rPr>
          <w:rFonts w:ascii="Times New Roman" w:hAnsi="Times New Roman" w:cs="Times New Roman"/>
        </w:rPr>
        <w:t xml:space="preserve"> demonstrate, a</w:t>
      </w:r>
      <w:r w:rsidRPr="00537498">
        <w:rPr>
          <w:rFonts w:ascii="Times New Roman" w:hAnsi="Times New Roman" w:cs="Times New Roman"/>
        </w:rPr>
        <w:t xml:space="preserve"> little over half of the debtors reported a household size of one or two individuals</w:t>
      </w:r>
      <w:r w:rsidR="00E64D00">
        <w:rPr>
          <w:rFonts w:ascii="Times New Roman" w:hAnsi="Times New Roman" w:cs="Times New Roman"/>
        </w:rPr>
        <w:t xml:space="preserve">. Another 37% to 39% in 2010 and 2013, respectively, </w:t>
      </w:r>
      <w:r w:rsidR="00530A0E">
        <w:rPr>
          <w:rFonts w:ascii="Times New Roman" w:hAnsi="Times New Roman" w:cs="Times New Roman"/>
        </w:rPr>
        <w:t xml:space="preserve">reported </w:t>
      </w:r>
      <w:r w:rsidR="00E64D00">
        <w:rPr>
          <w:rFonts w:ascii="Times New Roman" w:hAnsi="Times New Roman" w:cs="Times New Roman"/>
        </w:rPr>
        <w:t xml:space="preserve">a </w:t>
      </w:r>
      <w:r w:rsidR="00530A0E">
        <w:rPr>
          <w:rFonts w:ascii="Times New Roman" w:hAnsi="Times New Roman" w:cs="Times New Roman"/>
        </w:rPr>
        <w:t>household size</w:t>
      </w:r>
      <w:r w:rsidRPr="00537498">
        <w:rPr>
          <w:rFonts w:ascii="Times New Roman" w:hAnsi="Times New Roman" w:cs="Times New Roman"/>
        </w:rPr>
        <w:t xml:space="preserve"> of three or more</w:t>
      </w:r>
      <w:r w:rsidR="00E64D00">
        <w:rPr>
          <w:rFonts w:ascii="Times New Roman" w:hAnsi="Times New Roman" w:cs="Times New Roman"/>
        </w:rPr>
        <w:t xml:space="preserve"> persons</w:t>
      </w:r>
      <w:r w:rsidRPr="00537498">
        <w:rPr>
          <w:rFonts w:ascii="Times New Roman" w:hAnsi="Times New Roman" w:cs="Times New Roman"/>
        </w:rPr>
        <w:t xml:space="preserve">. </w:t>
      </w:r>
    </w:p>
    <w:p w14:paraId="6DBFB07F" w14:textId="6EFB1EEA" w:rsidR="001E4482" w:rsidRDefault="00E64D00" w:rsidP="00E64D00">
      <w:pPr>
        <w:spacing w:line="480" w:lineRule="auto"/>
        <w:ind w:firstLine="720"/>
        <w:rPr>
          <w:rFonts w:ascii="Times New Roman" w:hAnsi="Times New Roman" w:cs="Times New Roman"/>
        </w:rPr>
      </w:pPr>
      <w:r>
        <w:rPr>
          <w:rFonts w:ascii="Times New Roman" w:hAnsi="Times New Roman" w:cs="Times New Roman"/>
        </w:rPr>
        <w:t xml:space="preserve">Table </w:t>
      </w:r>
      <w:r w:rsidR="00D80370">
        <w:rPr>
          <w:rFonts w:ascii="Times New Roman" w:hAnsi="Times New Roman" w:cs="Times New Roman"/>
        </w:rPr>
        <w:t>9</w:t>
      </w:r>
      <w:r>
        <w:rPr>
          <w:rFonts w:ascii="Times New Roman" w:hAnsi="Times New Roman" w:cs="Times New Roman"/>
        </w:rPr>
        <w:t xml:space="preserve"> shows that a</w:t>
      </w:r>
      <w:r w:rsidR="008373AC" w:rsidRPr="00537498">
        <w:rPr>
          <w:rFonts w:ascii="Times New Roman" w:hAnsi="Times New Roman" w:cs="Times New Roman"/>
        </w:rPr>
        <w:t xml:space="preserve"> large majority of the debtors (at least 6</w:t>
      </w:r>
      <w:r w:rsidR="005B5DD7">
        <w:rPr>
          <w:rFonts w:ascii="Times New Roman" w:hAnsi="Times New Roman" w:cs="Times New Roman"/>
        </w:rPr>
        <w:t>6</w:t>
      </w:r>
      <w:r w:rsidR="00042036">
        <w:rPr>
          <w:rFonts w:ascii="Times New Roman" w:hAnsi="Times New Roman" w:cs="Times New Roman"/>
        </w:rPr>
        <w:t>%</w:t>
      </w:r>
      <w:r w:rsidR="008373AC" w:rsidRPr="00537498">
        <w:rPr>
          <w:rFonts w:ascii="Times New Roman" w:hAnsi="Times New Roman" w:cs="Times New Roman"/>
        </w:rPr>
        <w:t xml:space="preserve"> in 2010 and 72</w:t>
      </w:r>
      <w:r w:rsidR="00042036">
        <w:rPr>
          <w:rFonts w:ascii="Times New Roman" w:hAnsi="Times New Roman" w:cs="Times New Roman"/>
        </w:rPr>
        <w:t>%</w:t>
      </w:r>
      <w:r w:rsidR="008373AC" w:rsidRPr="00537498">
        <w:rPr>
          <w:rFonts w:ascii="Times New Roman" w:hAnsi="Times New Roman" w:cs="Times New Roman"/>
        </w:rPr>
        <w:t xml:space="preserve"> in 2013) are married. </w:t>
      </w:r>
      <w:r>
        <w:rPr>
          <w:rFonts w:ascii="Times New Roman" w:hAnsi="Times New Roman" w:cs="Times New Roman"/>
        </w:rPr>
        <w:t>A</w:t>
      </w:r>
      <w:r w:rsidR="00F661FB">
        <w:rPr>
          <w:rFonts w:ascii="Times New Roman" w:hAnsi="Times New Roman" w:cs="Times New Roman"/>
        </w:rPr>
        <w:t>lmo</w:t>
      </w:r>
      <w:r w:rsidR="00D45089">
        <w:rPr>
          <w:rFonts w:ascii="Times New Roman" w:hAnsi="Times New Roman" w:cs="Times New Roman"/>
        </w:rPr>
        <w:t>s</w:t>
      </w:r>
      <w:r w:rsidR="00F661FB">
        <w:rPr>
          <w:rFonts w:ascii="Times New Roman" w:hAnsi="Times New Roman" w:cs="Times New Roman"/>
        </w:rPr>
        <w:t>t half of the married debto</w:t>
      </w:r>
      <w:r w:rsidR="00834FBD">
        <w:rPr>
          <w:rFonts w:ascii="Times New Roman" w:hAnsi="Times New Roman" w:cs="Times New Roman"/>
        </w:rPr>
        <w:t>rs (47.</w:t>
      </w:r>
      <w:r w:rsidR="00986420">
        <w:rPr>
          <w:rFonts w:ascii="Times New Roman" w:hAnsi="Times New Roman" w:cs="Times New Roman"/>
        </w:rPr>
        <w:t>4</w:t>
      </w:r>
      <w:r w:rsidR="00834FBD">
        <w:rPr>
          <w:rFonts w:ascii="Times New Roman" w:hAnsi="Times New Roman" w:cs="Times New Roman"/>
        </w:rPr>
        <w:t xml:space="preserve">%) </w:t>
      </w:r>
      <w:r w:rsidR="008373AC" w:rsidRPr="00537498">
        <w:rPr>
          <w:rFonts w:ascii="Times New Roman" w:hAnsi="Times New Roman" w:cs="Times New Roman"/>
        </w:rPr>
        <w:t>chose not to file jointly with their spouses,</w:t>
      </w:r>
      <w:bookmarkStart w:id="16" w:name="_Ref333765111"/>
      <w:r w:rsidR="008C618E">
        <w:rPr>
          <w:rStyle w:val="FootnoteReference"/>
          <w:rFonts w:ascii="Times New Roman" w:hAnsi="Times New Roman" w:cs="Times New Roman"/>
        </w:rPr>
        <w:footnoteReference w:id="108"/>
      </w:r>
      <w:bookmarkEnd w:id="16"/>
      <w:r w:rsidR="008373AC" w:rsidRPr="00537498">
        <w:rPr>
          <w:rFonts w:ascii="Times New Roman" w:hAnsi="Times New Roman" w:cs="Times New Roman"/>
        </w:rPr>
        <w:t xml:space="preserve"> </w:t>
      </w:r>
      <w:r w:rsidR="00E32E8B">
        <w:rPr>
          <w:rFonts w:ascii="Times New Roman" w:hAnsi="Times New Roman" w:cs="Times New Roman"/>
        </w:rPr>
        <w:t xml:space="preserve">perhaps </w:t>
      </w:r>
      <w:r w:rsidR="008373AC" w:rsidRPr="00537498">
        <w:rPr>
          <w:rFonts w:ascii="Times New Roman" w:hAnsi="Times New Roman" w:cs="Times New Roman"/>
        </w:rPr>
        <w:t>suggesting that they had somewhat separate financial affairs</w:t>
      </w:r>
      <w:r w:rsidR="008373AC" w:rsidRPr="00933FD2">
        <w:rPr>
          <w:rFonts w:ascii="Times New Roman" w:hAnsi="Times New Roman" w:cs="Times New Roman"/>
        </w:rPr>
        <w:t xml:space="preserve">. </w:t>
      </w:r>
      <w:r>
        <w:rPr>
          <w:rFonts w:ascii="Times New Roman" w:hAnsi="Times New Roman" w:cs="Times New Roman"/>
        </w:rPr>
        <w:t xml:space="preserve">As the data in Table </w:t>
      </w:r>
      <w:r w:rsidR="00D80370">
        <w:rPr>
          <w:rFonts w:ascii="Times New Roman" w:hAnsi="Times New Roman" w:cs="Times New Roman"/>
        </w:rPr>
        <w:t>10</w:t>
      </w:r>
      <w:r>
        <w:rPr>
          <w:rFonts w:ascii="Times New Roman" w:hAnsi="Times New Roman" w:cs="Times New Roman"/>
        </w:rPr>
        <w:t xml:space="preserve"> show, o</w:t>
      </w:r>
      <w:r w:rsidR="008373AC" w:rsidRPr="00933FD2">
        <w:rPr>
          <w:rFonts w:ascii="Times New Roman" w:hAnsi="Times New Roman" w:cs="Times New Roman"/>
        </w:rPr>
        <w:t>nly 41.3</w:t>
      </w:r>
      <w:r w:rsidR="00042036">
        <w:rPr>
          <w:rFonts w:ascii="Times New Roman" w:hAnsi="Times New Roman" w:cs="Times New Roman"/>
        </w:rPr>
        <w:t>%</w:t>
      </w:r>
      <w:r w:rsidR="008373AC" w:rsidRPr="00933FD2">
        <w:rPr>
          <w:rFonts w:ascii="Times New Roman" w:hAnsi="Times New Roman" w:cs="Times New Roman"/>
        </w:rPr>
        <w:t xml:space="preserve"> of filings were joint filings </w:t>
      </w:r>
      <w:r w:rsidR="008373AC" w:rsidRPr="00537498">
        <w:rPr>
          <w:rFonts w:ascii="Times New Roman" w:hAnsi="Times New Roman" w:cs="Times New Roman"/>
        </w:rPr>
        <w:t xml:space="preserve">in 2010; in 2013 this </w:t>
      </w:r>
      <w:r w:rsidR="008373AC">
        <w:rPr>
          <w:rFonts w:ascii="Times New Roman" w:hAnsi="Times New Roman" w:cs="Times New Roman"/>
        </w:rPr>
        <w:t xml:space="preserve">number </w:t>
      </w:r>
      <w:r w:rsidR="008373AC" w:rsidRPr="00537498">
        <w:rPr>
          <w:rFonts w:ascii="Times New Roman" w:hAnsi="Times New Roman" w:cs="Times New Roman"/>
        </w:rPr>
        <w:t>fell to 34.2</w:t>
      </w:r>
      <w:r w:rsidR="00132831">
        <w:rPr>
          <w:rFonts w:ascii="Times New Roman" w:hAnsi="Times New Roman" w:cs="Times New Roman"/>
        </w:rPr>
        <w:t>%</w:t>
      </w:r>
      <w:r w:rsidR="00834FBD">
        <w:rPr>
          <w:rFonts w:ascii="Times New Roman" w:hAnsi="Times New Roman" w:cs="Times New Roman"/>
        </w:rPr>
        <w:t xml:space="preserve">, </w:t>
      </w:r>
      <w:r>
        <w:rPr>
          <w:rFonts w:ascii="Times New Roman" w:hAnsi="Times New Roman" w:cs="Times New Roman"/>
        </w:rPr>
        <w:t>al</w:t>
      </w:r>
      <w:r w:rsidR="00834FBD">
        <w:rPr>
          <w:rFonts w:ascii="Times New Roman" w:hAnsi="Times New Roman" w:cs="Times New Roman"/>
        </w:rPr>
        <w:t>though the difference is not statistically significant</w:t>
      </w:r>
      <w:r>
        <w:rPr>
          <w:rFonts w:ascii="Times New Roman" w:hAnsi="Times New Roman" w:cs="Times New Roman"/>
        </w:rPr>
        <w:t>.</w:t>
      </w:r>
      <w:r>
        <w:rPr>
          <w:rStyle w:val="FootnoteReference"/>
          <w:rFonts w:ascii="Times New Roman" w:hAnsi="Times New Roman" w:cs="Times New Roman"/>
        </w:rPr>
        <w:footnoteReference w:id="109"/>
      </w:r>
      <w:r w:rsidR="00834FBD">
        <w:rPr>
          <w:rFonts w:ascii="Times New Roman" w:hAnsi="Times New Roman" w:cs="Times New Roman"/>
        </w:rPr>
        <w:t xml:space="preserve"> </w:t>
      </w:r>
      <w:r w:rsidR="008373AC" w:rsidRPr="00537498">
        <w:rPr>
          <w:rFonts w:ascii="Times New Roman" w:hAnsi="Times New Roman" w:cs="Times New Roman"/>
        </w:rPr>
        <w:t xml:space="preserve">  </w:t>
      </w:r>
    </w:p>
    <w:p w14:paraId="778E3A97" w14:textId="2F0E2882" w:rsidR="00496350" w:rsidRDefault="008373AC" w:rsidP="00A82B81">
      <w:pPr>
        <w:spacing w:line="480" w:lineRule="auto"/>
        <w:ind w:firstLine="720"/>
        <w:rPr>
          <w:rFonts w:ascii="Times New Roman" w:hAnsi="Times New Roman" w:cs="Times New Roman"/>
          <w:b/>
        </w:rPr>
      </w:pPr>
      <w:r w:rsidRPr="00537498">
        <w:rPr>
          <w:rFonts w:ascii="Times New Roman" w:hAnsi="Times New Roman" w:cs="Times New Roman"/>
        </w:rPr>
        <w:t xml:space="preserve">Table </w:t>
      </w:r>
      <w:r w:rsidR="00D80370">
        <w:rPr>
          <w:rFonts w:ascii="Times New Roman" w:hAnsi="Times New Roman" w:cs="Times New Roman"/>
        </w:rPr>
        <w:t>10</w:t>
      </w:r>
      <w:r w:rsidRPr="00537498">
        <w:rPr>
          <w:rFonts w:ascii="Times New Roman" w:hAnsi="Times New Roman" w:cs="Times New Roman"/>
        </w:rPr>
        <w:t xml:space="preserve"> also reports the </w:t>
      </w:r>
      <w:r w:rsidR="00E64D00">
        <w:rPr>
          <w:rFonts w:ascii="Times New Roman" w:hAnsi="Times New Roman" w:cs="Times New Roman"/>
        </w:rPr>
        <w:t>sex</w:t>
      </w:r>
      <w:r w:rsidRPr="00537498">
        <w:rPr>
          <w:rFonts w:ascii="Times New Roman" w:hAnsi="Times New Roman" w:cs="Times New Roman"/>
        </w:rPr>
        <w:t xml:space="preserve"> of the </w:t>
      </w:r>
      <w:r w:rsidR="00AA091B">
        <w:rPr>
          <w:rFonts w:ascii="Times New Roman" w:hAnsi="Times New Roman" w:cs="Times New Roman"/>
        </w:rPr>
        <w:t>chapter</w:t>
      </w:r>
      <w:r w:rsidRPr="00537498">
        <w:rPr>
          <w:rFonts w:ascii="Times New Roman" w:hAnsi="Times New Roman" w:cs="Times New Roman"/>
        </w:rPr>
        <w:t xml:space="preserve"> 11 filers and the results of prior studies of the </w:t>
      </w:r>
      <w:r w:rsidR="00E64D00">
        <w:rPr>
          <w:rFonts w:ascii="Times New Roman" w:hAnsi="Times New Roman" w:cs="Times New Roman"/>
        </w:rPr>
        <w:t>sex</w:t>
      </w:r>
      <w:r w:rsidRPr="00537498">
        <w:rPr>
          <w:rFonts w:ascii="Times New Roman" w:hAnsi="Times New Roman" w:cs="Times New Roman"/>
        </w:rPr>
        <w:t xml:space="preserve"> of </w:t>
      </w:r>
      <w:r w:rsidR="00AA091B">
        <w:rPr>
          <w:rFonts w:ascii="Times New Roman" w:hAnsi="Times New Roman" w:cs="Times New Roman"/>
        </w:rPr>
        <w:t>chapter</w:t>
      </w:r>
      <w:r w:rsidRPr="00537498">
        <w:rPr>
          <w:rFonts w:ascii="Times New Roman" w:hAnsi="Times New Roman" w:cs="Times New Roman"/>
        </w:rPr>
        <w:t xml:space="preserve"> 13 filers.</w:t>
      </w:r>
      <w:r w:rsidRPr="00B026E4">
        <w:rPr>
          <w:rStyle w:val="FootnoteReference"/>
          <w:rFonts w:ascii="Times New Roman" w:hAnsi="Times New Roman" w:cs="Times New Roman"/>
        </w:rPr>
        <w:footnoteReference w:id="110"/>
      </w:r>
      <w:r w:rsidRPr="00B026E4">
        <w:rPr>
          <w:rFonts w:ascii="Times New Roman" w:hAnsi="Times New Roman" w:cs="Times New Roman"/>
        </w:rPr>
        <w:t xml:space="preserve"> We </w:t>
      </w:r>
      <w:r>
        <w:rPr>
          <w:rFonts w:ascii="Times New Roman" w:hAnsi="Times New Roman" w:cs="Times New Roman"/>
        </w:rPr>
        <w:t>determined</w:t>
      </w:r>
      <w:r w:rsidRPr="00B026E4">
        <w:rPr>
          <w:rFonts w:ascii="Times New Roman" w:hAnsi="Times New Roman" w:cs="Times New Roman"/>
        </w:rPr>
        <w:t xml:space="preserve"> the </w:t>
      </w:r>
      <w:r w:rsidR="00E64D00">
        <w:rPr>
          <w:rFonts w:ascii="Times New Roman" w:hAnsi="Times New Roman" w:cs="Times New Roman"/>
        </w:rPr>
        <w:t>sex</w:t>
      </w:r>
      <w:r w:rsidRPr="00B026E4">
        <w:rPr>
          <w:rFonts w:ascii="Times New Roman" w:hAnsi="Times New Roman" w:cs="Times New Roman"/>
        </w:rPr>
        <w:t xml:space="preserve"> of our filers by inserting their first name into a web page that states whether the name is primarily used by men or women</w:t>
      </w:r>
      <w:r w:rsidR="0032421F">
        <w:rPr>
          <w:rFonts w:ascii="Times New Roman" w:hAnsi="Times New Roman" w:cs="Times New Roman"/>
        </w:rPr>
        <w:t>.</w:t>
      </w:r>
      <w:r w:rsidRPr="00B026E4">
        <w:rPr>
          <w:rStyle w:val="FootnoteReference"/>
          <w:rFonts w:ascii="Times New Roman" w:hAnsi="Times New Roman" w:cs="Times New Roman"/>
        </w:rPr>
        <w:footnoteReference w:id="111"/>
      </w:r>
      <w:r w:rsidRPr="00B026E4">
        <w:rPr>
          <w:rFonts w:ascii="Times New Roman" w:hAnsi="Times New Roman" w:cs="Times New Roman"/>
        </w:rPr>
        <w:t xml:space="preserve"> If the debtor’s first name </w:t>
      </w:r>
      <w:r w:rsidR="00E64D00">
        <w:rPr>
          <w:rFonts w:ascii="Times New Roman" w:hAnsi="Times New Roman" w:cs="Times New Roman"/>
        </w:rPr>
        <w:t>was</w:t>
      </w:r>
      <w:r w:rsidRPr="00B026E4">
        <w:rPr>
          <w:rFonts w:ascii="Times New Roman" w:hAnsi="Times New Roman" w:cs="Times New Roman"/>
        </w:rPr>
        <w:t xml:space="preserve"> commonly used by both men and women or </w:t>
      </w:r>
      <w:r w:rsidR="00E64D00">
        <w:rPr>
          <w:rFonts w:ascii="Times New Roman" w:hAnsi="Times New Roman" w:cs="Times New Roman"/>
        </w:rPr>
        <w:t>was</w:t>
      </w:r>
      <w:r w:rsidRPr="00B026E4">
        <w:rPr>
          <w:rFonts w:ascii="Times New Roman" w:hAnsi="Times New Roman" w:cs="Times New Roman"/>
        </w:rPr>
        <w:t xml:space="preserve"> not in the database, we checked the middle name. If that name was also ambiguous or was unavailable, we coded the debtor’s </w:t>
      </w:r>
      <w:r w:rsidR="00E64D00">
        <w:rPr>
          <w:rFonts w:ascii="Times New Roman" w:hAnsi="Times New Roman" w:cs="Times New Roman"/>
        </w:rPr>
        <w:t>sex</w:t>
      </w:r>
      <w:r w:rsidRPr="00B026E4">
        <w:rPr>
          <w:rFonts w:ascii="Times New Roman" w:hAnsi="Times New Roman" w:cs="Times New Roman"/>
        </w:rPr>
        <w:t xml:space="preserve"> as unknown. While other studies have found that more than a third of </w:t>
      </w:r>
      <w:r w:rsidR="00AA091B">
        <w:rPr>
          <w:rFonts w:ascii="Times New Roman" w:hAnsi="Times New Roman" w:cs="Times New Roman"/>
        </w:rPr>
        <w:t>chapter</w:t>
      </w:r>
      <w:r w:rsidRPr="00B026E4">
        <w:rPr>
          <w:rFonts w:ascii="Times New Roman" w:hAnsi="Times New Roman" w:cs="Times New Roman"/>
        </w:rPr>
        <w:t xml:space="preserve"> 13 filers are women filing alone, such debtors make up less than </w:t>
      </w:r>
      <w:r>
        <w:rPr>
          <w:rFonts w:ascii="Times New Roman" w:hAnsi="Times New Roman" w:cs="Times New Roman"/>
        </w:rPr>
        <w:t>15</w:t>
      </w:r>
      <w:r w:rsidR="00042036">
        <w:rPr>
          <w:rFonts w:ascii="Times New Roman" w:hAnsi="Times New Roman" w:cs="Times New Roman"/>
        </w:rPr>
        <w:t>%</w:t>
      </w:r>
      <w:r w:rsidRPr="00B026E4">
        <w:rPr>
          <w:rFonts w:ascii="Times New Roman" w:hAnsi="Times New Roman" w:cs="Times New Roman"/>
        </w:rPr>
        <w:t xml:space="preserve"> of our sample.  </w:t>
      </w:r>
    </w:p>
    <w:p w14:paraId="33B53EC8" w14:textId="3AB39525" w:rsidR="008373AC" w:rsidRPr="00537498" w:rsidRDefault="008373AC" w:rsidP="00AF5C87">
      <w:pPr>
        <w:keepLines/>
        <w:spacing w:line="480" w:lineRule="auto"/>
        <w:jc w:val="center"/>
        <w:rPr>
          <w:rFonts w:ascii="Times New Roman" w:hAnsi="Times New Roman" w:cs="Times New Roman"/>
        </w:rPr>
      </w:pPr>
      <w:r w:rsidRPr="00537498">
        <w:rPr>
          <w:rFonts w:ascii="Times New Roman" w:hAnsi="Times New Roman" w:cs="Times New Roman"/>
          <w:b/>
        </w:rPr>
        <w:t xml:space="preserve">Table </w:t>
      </w:r>
      <w:r w:rsidR="00D80370">
        <w:rPr>
          <w:rFonts w:ascii="Times New Roman" w:hAnsi="Times New Roman" w:cs="Times New Roman"/>
          <w:b/>
        </w:rPr>
        <w:t>9</w:t>
      </w:r>
      <w:r w:rsidRPr="00537498">
        <w:rPr>
          <w:rFonts w:ascii="Times New Roman" w:hAnsi="Times New Roman" w:cs="Times New Roman"/>
          <w:b/>
        </w:rPr>
        <w:t xml:space="preserve">: </w:t>
      </w:r>
      <w:r>
        <w:rPr>
          <w:rFonts w:ascii="Times New Roman" w:hAnsi="Times New Roman" w:cs="Times New Roman"/>
          <w:b/>
        </w:rPr>
        <w:t>Household Size and Marital Status</w:t>
      </w:r>
    </w:p>
    <w:tbl>
      <w:tblPr>
        <w:tblStyle w:val="TableGrid"/>
        <w:tblW w:w="8002" w:type="dxa"/>
        <w:tblLook w:val="04A0" w:firstRow="1" w:lastRow="0" w:firstColumn="1" w:lastColumn="0" w:noHBand="0" w:noVBand="1"/>
      </w:tblPr>
      <w:tblGrid>
        <w:gridCol w:w="2538"/>
        <w:gridCol w:w="2880"/>
        <w:gridCol w:w="2584"/>
      </w:tblGrid>
      <w:tr w:rsidR="008373AC" w:rsidRPr="00537498" w14:paraId="782B5C2E" w14:textId="77777777" w:rsidTr="00C459CB">
        <w:trPr>
          <w:trHeight w:val="300"/>
        </w:trPr>
        <w:tc>
          <w:tcPr>
            <w:tcW w:w="2538" w:type="dxa"/>
            <w:tcBorders>
              <w:top w:val="single" w:sz="18" w:space="0" w:color="auto"/>
              <w:left w:val="single" w:sz="18" w:space="0" w:color="auto"/>
              <w:bottom w:val="single" w:sz="18" w:space="0" w:color="auto"/>
              <w:right w:val="single" w:sz="18" w:space="0" w:color="auto"/>
            </w:tcBorders>
            <w:noWrap/>
            <w:hideMark/>
          </w:tcPr>
          <w:p w14:paraId="4B364025" w14:textId="77777777" w:rsidR="008373AC" w:rsidRPr="00B026E4" w:rsidRDefault="008373AC" w:rsidP="00AF5C87">
            <w:pPr>
              <w:keepLines/>
              <w:jc w:val="center"/>
              <w:rPr>
                <w:rFonts w:ascii="Times New Roman" w:eastAsia="Times New Roman" w:hAnsi="Times New Roman" w:cs="Times New Roman"/>
                <w:color w:val="000000"/>
              </w:rPr>
            </w:pPr>
            <w:r w:rsidRPr="00B634AA">
              <w:rPr>
                <w:rFonts w:ascii="Times New Roman" w:eastAsia="Times New Roman" w:hAnsi="Times New Roman" w:cs="Times New Roman"/>
                <w:b/>
                <w:bCs/>
                <w:color w:val="000000"/>
              </w:rPr>
              <w:t>Household Size</w:t>
            </w:r>
          </w:p>
        </w:tc>
        <w:tc>
          <w:tcPr>
            <w:tcW w:w="2880" w:type="dxa"/>
            <w:tcBorders>
              <w:top w:val="single" w:sz="18" w:space="0" w:color="auto"/>
              <w:left w:val="single" w:sz="18" w:space="0" w:color="auto"/>
              <w:bottom w:val="single" w:sz="18" w:space="0" w:color="auto"/>
              <w:right w:val="single" w:sz="18" w:space="0" w:color="auto"/>
            </w:tcBorders>
            <w:noWrap/>
            <w:hideMark/>
          </w:tcPr>
          <w:p w14:paraId="7B479BD6" w14:textId="77777777" w:rsidR="008373AC" w:rsidRPr="00B026E4" w:rsidRDefault="008373AC" w:rsidP="00AF5C87">
            <w:pPr>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2010</w:t>
            </w:r>
          </w:p>
        </w:tc>
        <w:tc>
          <w:tcPr>
            <w:tcW w:w="2584" w:type="dxa"/>
            <w:tcBorders>
              <w:top w:val="single" w:sz="18" w:space="0" w:color="auto"/>
              <w:left w:val="single" w:sz="18" w:space="0" w:color="auto"/>
              <w:bottom w:val="single" w:sz="18" w:space="0" w:color="auto"/>
              <w:right w:val="single" w:sz="18" w:space="0" w:color="auto"/>
            </w:tcBorders>
            <w:noWrap/>
            <w:hideMark/>
          </w:tcPr>
          <w:p w14:paraId="05325D21" w14:textId="77777777" w:rsidR="008373AC" w:rsidRPr="00B026E4" w:rsidRDefault="008373AC" w:rsidP="00AF5C87">
            <w:pPr>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2013</w:t>
            </w:r>
          </w:p>
        </w:tc>
      </w:tr>
      <w:tr w:rsidR="008373AC" w:rsidRPr="00537498" w14:paraId="72DAEC98" w14:textId="77777777" w:rsidTr="00C459CB">
        <w:trPr>
          <w:trHeight w:val="300"/>
        </w:trPr>
        <w:tc>
          <w:tcPr>
            <w:tcW w:w="2538" w:type="dxa"/>
            <w:tcBorders>
              <w:top w:val="single" w:sz="18" w:space="0" w:color="auto"/>
              <w:right w:val="single" w:sz="18" w:space="0" w:color="auto"/>
            </w:tcBorders>
            <w:noWrap/>
            <w:hideMark/>
          </w:tcPr>
          <w:p w14:paraId="327C3C76" w14:textId="77777777" w:rsidR="008373AC" w:rsidRPr="00B026E4" w:rsidRDefault="008373AC" w:rsidP="00AF5C87">
            <w:pPr>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1</w:t>
            </w:r>
          </w:p>
        </w:tc>
        <w:tc>
          <w:tcPr>
            <w:tcW w:w="2880" w:type="dxa"/>
            <w:tcBorders>
              <w:top w:val="single" w:sz="18" w:space="0" w:color="auto"/>
              <w:left w:val="single" w:sz="18" w:space="0" w:color="auto"/>
              <w:right w:val="single" w:sz="18" w:space="0" w:color="auto"/>
            </w:tcBorders>
            <w:noWrap/>
            <w:hideMark/>
          </w:tcPr>
          <w:p w14:paraId="63283622"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27.5%</w:t>
            </w:r>
          </w:p>
        </w:tc>
        <w:tc>
          <w:tcPr>
            <w:tcW w:w="2584" w:type="dxa"/>
            <w:tcBorders>
              <w:top w:val="single" w:sz="18" w:space="0" w:color="auto"/>
              <w:left w:val="single" w:sz="18" w:space="0" w:color="auto"/>
            </w:tcBorders>
            <w:noWrap/>
            <w:hideMark/>
          </w:tcPr>
          <w:p w14:paraId="18B1AA32"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21.9%</w:t>
            </w:r>
          </w:p>
        </w:tc>
      </w:tr>
      <w:tr w:rsidR="008373AC" w:rsidRPr="00537498" w14:paraId="348D1EE7" w14:textId="77777777" w:rsidTr="00C459CB">
        <w:trPr>
          <w:trHeight w:val="300"/>
        </w:trPr>
        <w:tc>
          <w:tcPr>
            <w:tcW w:w="2538" w:type="dxa"/>
            <w:tcBorders>
              <w:right w:val="single" w:sz="18" w:space="0" w:color="auto"/>
            </w:tcBorders>
            <w:noWrap/>
            <w:hideMark/>
          </w:tcPr>
          <w:p w14:paraId="53B37868" w14:textId="77777777" w:rsidR="008373AC" w:rsidRPr="00B026E4" w:rsidRDefault="008373AC" w:rsidP="00AF5C87">
            <w:pPr>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w:t>
            </w:r>
          </w:p>
        </w:tc>
        <w:tc>
          <w:tcPr>
            <w:tcW w:w="2880" w:type="dxa"/>
            <w:tcBorders>
              <w:left w:val="single" w:sz="18" w:space="0" w:color="auto"/>
              <w:right w:val="single" w:sz="18" w:space="0" w:color="auto"/>
            </w:tcBorders>
            <w:noWrap/>
            <w:hideMark/>
          </w:tcPr>
          <w:p w14:paraId="271F0AEB"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25.7%</w:t>
            </w:r>
          </w:p>
        </w:tc>
        <w:tc>
          <w:tcPr>
            <w:tcW w:w="2584" w:type="dxa"/>
            <w:tcBorders>
              <w:left w:val="single" w:sz="18" w:space="0" w:color="auto"/>
            </w:tcBorders>
            <w:noWrap/>
            <w:hideMark/>
          </w:tcPr>
          <w:p w14:paraId="6CF2AABE"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31.6%</w:t>
            </w:r>
          </w:p>
        </w:tc>
      </w:tr>
      <w:tr w:rsidR="008373AC" w:rsidRPr="00537498" w14:paraId="08844DC7" w14:textId="77777777" w:rsidTr="00C459CB">
        <w:trPr>
          <w:trHeight w:val="300"/>
        </w:trPr>
        <w:tc>
          <w:tcPr>
            <w:tcW w:w="2538" w:type="dxa"/>
            <w:tcBorders>
              <w:right w:val="single" w:sz="18" w:space="0" w:color="auto"/>
            </w:tcBorders>
            <w:noWrap/>
            <w:hideMark/>
          </w:tcPr>
          <w:p w14:paraId="24E762B4" w14:textId="77777777" w:rsidR="008373AC" w:rsidRPr="00B026E4" w:rsidRDefault="008373AC" w:rsidP="00AF5C87">
            <w:pPr>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3 to 4</w:t>
            </w:r>
          </w:p>
        </w:tc>
        <w:tc>
          <w:tcPr>
            <w:tcW w:w="2880" w:type="dxa"/>
            <w:tcBorders>
              <w:left w:val="single" w:sz="18" w:space="0" w:color="auto"/>
              <w:right w:val="single" w:sz="18" w:space="0" w:color="auto"/>
            </w:tcBorders>
            <w:noWrap/>
            <w:hideMark/>
          </w:tcPr>
          <w:p w14:paraId="5BC2649D"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22.0%</w:t>
            </w:r>
          </w:p>
        </w:tc>
        <w:tc>
          <w:tcPr>
            <w:tcW w:w="2584" w:type="dxa"/>
            <w:tcBorders>
              <w:left w:val="single" w:sz="18" w:space="0" w:color="auto"/>
            </w:tcBorders>
            <w:noWrap/>
            <w:hideMark/>
          </w:tcPr>
          <w:p w14:paraId="4B9AB0FA"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26.3%</w:t>
            </w:r>
          </w:p>
        </w:tc>
      </w:tr>
      <w:tr w:rsidR="008373AC" w:rsidRPr="00537498" w14:paraId="13E4513F" w14:textId="77777777" w:rsidTr="00C459CB">
        <w:trPr>
          <w:trHeight w:val="300"/>
        </w:trPr>
        <w:tc>
          <w:tcPr>
            <w:tcW w:w="2538" w:type="dxa"/>
            <w:tcBorders>
              <w:right w:val="single" w:sz="18" w:space="0" w:color="auto"/>
            </w:tcBorders>
            <w:noWrap/>
            <w:hideMark/>
          </w:tcPr>
          <w:p w14:paraId="56A86E6F" w14:textId="77777777" w:rsidR="008373AC" w:rsidRPr="00B026E4" w:rsidRDefault="008373AC" w:rsidP="00AF5C87">
            <w:pPr>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5+</w:t>
            </w:r>
          </w:p>
        </w:tc>
        <w:tc>
          <w:tcPr>
            <w:tcW w:w="2880" w:type="dxa"/>
            <w:tcBorders>
              <w:left w:val="single" w:sz="18" w:space="0" w:color="auto"/>
              <w:right w:val="single" w:sz="18" w:space="0" w:color="auto"/>
            </w:tcBorders>
            <w:noWrap/>
            <w:hideMark/>
          </w:tcPr>
          <w:p w14:paraId="16A1796F"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14.7%</w:t>
            </w:r>
          </w:p>
        </w:tc>
        <w:tc>
          <w:tcPr>
            <w:tcW w:w="2584" w:type="dxa"/>
            <w:tcBorders>
              <w:left w:val="single" w:sz="18" w:space="0" w:color="auto"/>
            </w:tcBorders>
            <w:noWrap/>
            <w:hideMark/>
          </w:tcPr>
          <w:p w14:paraId="4BBC5A62"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13.2%</w:t>
            </w:r>
          </w:p>
        </w:tc>
      </w:tr>
      <w:tr w:rsidR="008373AC" w:rsidRPr="00537498" w14:paraId="79081D54" w14:textId="77777777" w:rsidTr="00C459CB">
        <w:trPr>
          <w:trHeight w:val="300"/>
        </w:trPr>
        <w:tc>
          <w:tcPr>
            <w:tcW w:w="2538" w:type="dxa"/>
            <w:tcBorders>
              <w:bottom w:val="thinThickThinMediumGap" w:sz="24" w:space="0" w:color="auto"/>
              <w:right w:val="single" w:sz="18" w:space="0" w:color="auto"/>
            </w:tcBorders>
            <w:noWrap/>
            <w:hideMark/>
          </w:tcPr>
          <w:p w14:paraId="390DAA17" w14:textId="77777777" w:rsidR="008373AC" w:rsidRPr="00B026E4" w:rsidRDefault="008373AC" w:rsidP="00AF5C87">
            <w:pPr>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Unknown</w:t>
            </w:r>
          </w:p>
        </w:tc>
        <w:tc>
          <w:tcPr>
            <w:tcW w:w="2880" w:type="dxa"/>
            <w:tcBorders>
              <w:left w:val="single" w:sz="18" w:space="0" w:color="auto"/>
              <w:bottom w:val="thinThickThinMediumGap" w:sz="24" w:space="0" w:color="auto"/>
              <w:right w:val="single" w:sz="18" w:space="0" w:color="auto"/>
            </w:tcBorders>
            <w:noWrap/>
            <w:hideMark/>
          </w:tcPr>
          <w:p w14:paraId="5C4303C7"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10.1%</w:t>
            </w:r>
          </w:p>
        </w:tc>
        <w:tc>
          <w:tcPr>
            <w:tcW w:w="2584" w:type="dxa"/>
            <w:tcBorders>
              <w:left w:val="single" w:sz="18" w:space="0" w:color="auto"/>
              <w:bottom w:val="thinThickThinMediumGap" w:sz="24" w:space="0" w:color="auto"/>
            </w:tcBorders>
            <w:noWrap/>
            <w:hideMark/>
          </w:tcPr>
          <w:p w14:paraId="11F4D7D1"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7.0%</w:t>
            </w:r>
          </w:p>
        </w:tc>
      </w:tr>
      <w:tr w:rsidR="008373AC" w:rsidRPr="00537498" w14:paraId="7BE41F8C" w14:textId="77777777" w:rsidTr="00C459CB">
        <w:trPr>
          <w:trHeight w:val="300"/>
        </w:trPr>
        <w:tc>
          <w:tcPr>
            <w:tcW w:w="2538" w:type="dxa"/>
            <w:tcBorders>
              <w:top w:val="single" w:sz="18" w:space="0" w:color="auto"/>
              <w:left w:val="single" w:sz="18" w:space="0" w:color="auto"/>
              <w:bottom w:val="single" w:sz="18" w:space="0" w:color="auto"/>
              <w:right w:val="single" w:sz="18" w:space="0" w:color="auto"/>
            </w:tcBorders>
            <w:noWrap/>
            <w:hideMark/>
          </w:tcPr>
          <w:p w14:paraId="475A0664" w14:textId="77777777" w:rsidR="008373AC" w:rsidRPr="00B026E4" w:rsidRDefault="008373AC" w:rsidP="00AF5C87">
            <w:pPr>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Marital Status</w:t>
            </w:r>
          </w:p>
        </w:tc>
        <w:tc>
          <w:tcPr>
            <w:tcW w:w="2880" w:type="dxa"/>
            <w:tcBorders>
              <w:left w:val="single" w:sz="18" w:space="0" w:color="auto"/>
              <w:bottom w:val="single" w:sz="18" w:space="0" w:color="auto"/>
              <w:right w:val="single" w:sz="18" w:space="0" w:color="auto"/>
            </w:tcBorders>
            <w:noWrap/>
            <w:hideMark/>
          </w:tcPr>
          <w:p w14:paraId="63B4134D" w14:textId="77777777" w:rsidR="008373AC" w:rsidRPr="00B026E4" w:rsidRDefault="008373AC" w:rsidP="00AF5C87">
            <w:pPr>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2010</w:t>
            </w:r>
          </w:p>
        </w:tc>
        <w:tc>
          <w:tcPr>
            <w:tcW w:w="2584" w:type="dxa"/>
            <w:tcBorders>
              <w:left w:val="single" w:sz="18" w:space="0" w:color="auto"/>
              <w:bottom w:val="single" w:sz="18" w:space="0" w:color="auto"/>
              <w:right w:val="single" w:sz="18" w:space="0" w:color="auto"/>
            </w:tcBorders>
          </w:tcPr>
          <w:p w14:paraId="0E555D2C" w14:textId="77777777" w:rsidR="008373AC" w:rsidRPr="00D1092D" w:rsidRDefault="008373AC" w:rsidP="00AF5C87">
            <w:pPr>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2013</w:t>
            </w:r>
          </w:p>
        </w:tc>
      </w:tr>
      <w:tr w:rsidR="008373AC" w:rsidRPr="00537498" w14:paraId="1510B34D" w14:textId="77777777" w:rsidTr="00C459CB">
        <w:trPr>
          <w:trHeight w:val="300"/>
        </w:trPr>
        <w:tc>
          <w:tcPr>
            <w:tcW w:w="2538" w:type="dxa"/>
            <w:tcBorders>
              <w:top w:val="single" w:sz="18" w:space="0" w:color="auto"/>
              <w:right w:val="single" w:sz="18" w:space="0" w:color="auto"/>
            </w:tcBorders>
            <w:noWrap/>
            <w:hideMark/>
          </w:tcPr>
          <w:p w14:paraId="799B3165" w14:textId="77777777" w:rsidR="008373AC" w:rsidRPr="00B026E4" w:rsidRDefault="008373AC" w:rsidP="00AF5C87">
            <w:pPr>
              <w:keepLines/>
              <w:rPr>
                <w:rFonts w:ascii="Times New Roman" w:eastAsia="Times New Roman" w:hAnsi="Times New Roman" w:cs="Times New Roman"/>
                <w:b/>
                <w:bCs/>
                <w:color w:val="000000"/>
              </w:rPr>
            </w:pPr>
            <w:r>
              <w:rPr>
                <w:rFonts w:ascii="Times New Roman" w:eastAsia="Times New Roman" w:hAnsi="Times New Roman" w:cs="Times New Roman"/>
                <w:b/>
                <w:bCs/>
                <w:color w:val="000000"/>
              </w:rPr>
              <w:t>Married</w:t>
            </w:r>
          </w:p>
        </w:tc>
        <w:tc>
          <w:tcPr>
            <w:tcW w:w="2880" w:type="dxa"/>
            <w:tcBorders>
              <w:top w:val="single" w:sz="18" w:space="0" w:color="auto"/>
              <w:left w:val="single" w:sz="18" w:space="0" w:color="auto"/>
              <w:right w:val="single" w:sz="18" w:space="0" w:color="auto"/>
            </w:tcBorders>
            <w:noWrap/>
            <w:hideMark/>
          </w:tcPr>
          <w:p w14:paraId="51C2F37D" w14:textId="7DA3639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6</w:t>
            </w:r>
            <w:r w:rsidR="00BA2AC8">
              <w:rPr>
                <w:rFonts w:ascii="Times New Roman" w:eastAsia="Times New Roman" w:hAnsi="Times New Roman" w:cs="Times New Roman"/>
                <w:color w:val="000000"/>
              </w:rPr>
              <w:t>6</w:t>
            </w:r>
            <w:r w:rsidRPr="00B026E4">
              <w:rPr>
                <w:rFonts w:ascii="Times New Roman" w:eastAsia="Times New Roman" w:hAnsi="Times New Roman" w:cs="Times New Roman"/>
                <w:color w:val="000000"/>
              </w:rPr>
              <w:t>.1%</w:t>
            </w:r>
          </w:p>
        </w:tc>
        <w:tc>
          <w:tcPr>
            <w:tcW w:w="2584" w:type="dxa"/>
            <w:tcBorders>
              <w:top w:val="single" w:sz="18" w:space="0" w:color="auto"/>
              <w:left w:val="single" w:sz="18" w:space="0" w:color="auto"/>
            </w:tcBorders>
          </w:tcPr>
          <w:p w14:paraId="3F03EFBB" w14:textId="77777777" w:rsidR="008373AC" w:rsidRPr="00D1092D"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71.9%</w:t>
            </w:r>
          </w:p>
        </w:tc>
      </w:tr>
      <w:tr w:rsidR="008373AC" w:rsidRPr="00537498" w14:paraId="0509D002" w14:textId="77777777" w:rsidTr="00C459CB">
        <w:trPr>
          <w:trHeight w:val="300"/>
        </w:trPr>
        <w:tc>
          <w:tcPr>
            <w:tcW w:w="2538" w:type="dxa"/>
            <w:tcBorders>
              <w:right w:val="single" w:sz="18" w:space="0" w:color="auto"/>
            </w:tcBorders>
            <w:noWrap/>
            <w:hideMark/>
          </w:tcPr>
          <w:p w14:paraId="3CBB46B2" w14:textId="77777777" w:rsidR="008373AC" w:rsidRPr="00B026E4" w:rsidRDefault="008373AC" w:rsidP="00AF5C87">
            <w:pPr>
              <w:keepLines/>
              <w:rPr>
                <w:rFonts w:ascii="Times New Roman" w:eastAsia="Times New Roman" w:hAnsi="Times New Roman" w:cs="Times New Roman"/>
                <w:b/>
                <w:bCs/>
                <w:color w:val="000000"/>
              </w:rPr>
            </w:pPr>
            <w:r>
              <w:rPr>
                <w:rFonts w:ascii="Times New Roman" w:eastAsia="Times New Roman" w:hAnsi="Times New Roman" w:cs="Times New Roman"/>
                <w:b/>
                <w:bCs/>
                <w:color w:val="000000"/>
              </w:rPr>
              <w:t>Not Married</w:t>
            </w:r>
          </w:p>
        </w:tc>
        <w:tc>
          <w:tcPr>
            <w:tcW w:w="2880" w:type="dxa"/>
            <w:tcBorders>
              <w:left w:val="single" w:sz="18" w:space="0" w:color="auto"/>
              <w:right w:val="single" w:sz="18" w:space="0" w:color="auto"/>
            </w:tcBorders>
            <w:noWrap/>
            <w:hideMark/>
          </w:tcPr>
          <w:p w14:paraId="7793FD91" w14:textId="5FF36F7A"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w:t>
            </w:r>
            <w:r w:rsidR="00BA2AC8">
              <w:rPr>
                <w:rFonts w:ascii="Times New Roman" w:eastAsia="Times New Roman" w:hAnsi="Times New Roman" w:cs="Times New Roman"/>
                <w:color w:val="000000"/>
              </w:rPr>
              <w:t>3</w:t>
            </w:r>
            <w:r w:rsidRPr="00B026E4">
              <w:rPr>
                <w:rFonts w:ascii="Times New Roman" w:eastAsia="Times New Roman" w:hAnsi="Times New Roman" w:cs="Times New Roman"/>
                <w:color w:val="000000"/>
              </w:rPr>
              <w:t>.</w:t>
            </w:r>
            <w:r w:rsidR="00BA2AC8">
              <w:rPr>
                <w:rFonts w:ascii="Times New Roman" w:eastAsia="Times New Roman" w:hAnsi="Times New Roman" w:cs="Times New Roman"/>
                <w:color w:val="000000"/>
              </w:rPr>
              <w:t>9</w:t>
            </w:r>
            <w:r w:rsidRPr="00B026E4">
              <w:rPr>
                <w:rFonts w:ascii="Times New Roman" w:eastAsia="Times New Roman" w:hAnsi="Times New Roman" w:cs="Times New Roman"/>
                <w:color w:val="000000"/>
              </w:rPr>
              <w:t>%</w:t>
            </w:r>
          </w:p>
        </w:tc>
        <w:tc>
          <w:tcPr>
            <w:tcW w:w="2584" w:type="dxa"/>
            <w:tcBorders>
              <w:left w:val="single" w:sz="18" w:space="0" w:color="auto"/>
            </w:tcBorders>
          </w:tcPr>
          <w:p w14:paraId="03739AE4" w14:textId="77777777" w:rsidR="008373AC" w:rsidRPr="00D1092D"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22.8%</w:t>
            </w:r>
          </w:p>
        </w:tc>
      </w:tr>
      <w:tr w:rsidR="008373AC" w:rsidRPr="00537498" w14:paraId="166362E8" w14:textId="77777777" w:rsidTr="00C459CB">
        <w:trPr>
          <w:trHeight w:val="300"/>
        </w:trPr>
        <w:tc>
          <w:tcPr>
            <w:tcW w:w="2538" w:type="dxa"/>
            <w:tcBorders>
              <w:right w:val="single" w:sz="18" w:space="0" w:color="auto"/>
            </w:tcBorders>
            <w:noWrap/>
            <w:hideMark/>
          </w:tcPr>
          <w:p w14:paraId="647D9286" w14:textId="77777777" w:rsidR="008373AC" w:rsidRPr="00B026E4" w:rsidRDefault="008373AC" w:rsidP="00AF5C87">
            <w:pPr>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Unknown</w:t>
            </w:r>
          </w:p>
        </w:tc>
        <w:tc>
          <w:tcPr>
            <w:tcW w:w="2880" w:type="dxa"/>
            <w:tcBorders>
              <w:left w:val="single" w:sz="18" w:space="0" w:color="auto"/>
              <w:right w:val="single" w:sz="18" w:space="0" w:color="auto"/>
            </w:tcBorders>
            <w:noWrap/>
            <w:hideMark/>
          </w:tcPr>
          <w:p w14:paraId="406B088E"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10.1%</w:t>
            </w:r>
          </w:p>
        </w:tc>
        <w:tc>
          <w:tcPr>
            <w:tcW w:w="2584" w:type="dxa"/>
            <w:tcBorders>
              <w:left w:val="single" w:sz="18" w:space="0" w:color="auto"/>
            </w:tcBorders>
          </w:tcPr>
          <w:p w14:paraId="6533FC50" w14:textId="77777777" w:rsidR="008373AC" w:rsidRPr="00D1092D"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5.3%</w:t>
            </w:r>
          </w:p>
        </w:tc>
      </w:tr>
    </w:tbl>
    <w:p w14:paraId="7DD60996" w14:textId="77777777" w:rsidR="008373AC" w:rsidRPr="00B026E4" w:rsidRDefault="008373AC" w:rsidP="008373AC">
      <w:pPr>
        <w:spacing w:line="480" w:lineRule="auto"/>
        <w:rPr>
          <w:rFonts w:ascii="Times New Roman" w:hAnsi="Times New Roman" w:cs="Times New Roman"/>
        </w:rPr>
      </w:pPr>
    </w:p>
    <w:p w14:paraId="173ABF3F" w14:textId="166D6EE8" w:rsidR="008373AC" w:rsidRPr="00B026E4" w:rsidRDefault="008373AC" w:rsidP="00AF5C87">
      <w:pPr>
        <w:keepNext/>
        <w:keepLines/>
        <w:spacing w:line="480" w:lineRule="auto"/>
        <w:ind w:firstLine="360"/>
        <w:jc w:val="center"/>
        <w:rPr>
          <w:rFonts w:ascii="Times New Roman" w:hAnsi="Times New Roman" w:cs="Times New Roman"/>
          <w:b/>
        </w:rPr>
      </w:pPr>
      <w:r w:rsidRPr="00B026E4">
        <w:rPr>
          <w:rFonts w:ascii="Times New Roman" w:hAnsi="Times New Roman" w:cs="Times New Roman"/>
          <w:b/>
          <w:color w:val="000000"/>
        </w:rPr>
        <w:t xml:space="preserve">Table </w:t>
      </w:r>
      <w:r w:rsidR="00D80370">
        <w:rPr>
          <w:rFonts w:ascii="Times New Roman" w:hAnsi="Times New Roman" w:cs="Times New Roman"/>
          <w:b/>
          <w:color w:val="000000"/>
        </w:rPr>
        <w:t>10</w:t>
      </w:r>
      <w:r w:rsidRPr="00B026E4">
        <w:rPr>
          <w:rFonts w:ascii="Times New Roman" w:hAnsi="Times New Roman" w:cs="Times New Roman"/>
          <w:b/>
          <w:color w:val="000000"/>
        </w:rPr>
        <w:t xml:space="preserve">: Joint Filers and </w:t>
      </w:r>
      <w:r w:rsidR="00E64D00">
        <w:rPr>
          <w:rFonts w:ascii="Times New Roman" w:hAnsi="Times New Roman" w:cs="Times New Roman"/>
          <w:b/>
          <w:color w:val="000000"/>
        </w:rPr>
        <w:t>Sex of Debtor</w:t>
      </w:r>
    </w:p>
    <w:tbl>
      <w:tblPr>
        <w:tblStyle w:val="TableGrid"/>
        <w:tblW w:w="0" w:type="auto"/>
        <w:tblLook w:val="04A0" w:firstRow="1" w:lastRow="0" w:firstColumn="1" w:lastColumn="0" w:noHBand="0" w:noVBand="1"/>
      </w:tblPr>
      <w:tblGrid>
        <w:gridCol w:w="1816"/>
        <w:gridCol w:w="1614"/>
        <w:gridCol w:w="1615"/>
        <w:gridCol w:w="1774"/>
        <w:gridCol w:w="1775"/>
      </w:tblGrid>
      <w:tr w:rsidR="008373AC" w:rsidRPr="00537498" w14:paraId="1532B103" w14:textId="77777777" w:rsidTr="00D80370">
        <w:trPr>
          <w:trHeight w:val="288"/>
        </w:trPr>
        <w:tc>
          <w:tcPr>
            <w:tcW w:w="1859" w:type="dxa"/>
            <w:vMerge w:val="restart"/>
            <w:tcBorders>
              <w:top w:val="single" w:sz="18" w:space="0" w:color="auto"/>
              <w:left w:val="single" w:sz="18" w:space="0" w:color="auto"/>
              <w:right w:val="single" w:sz="18" w:space="0" w:color="auto"/>
            </w:tcBorders>
          </w:tcPr>
          <w:p w14:paraId="43C7A230" w14:textId="77777777" w:rsidR="008373AC" w:rsidRPr="00B026E4" w:rsidRDefault="008373AC" w:rsidP="00AF5C87">
            <w:pPr>
              <w:keepNext/>
              <w:keepLines/>
              <w:rPr>
                <w:rFonts w:ascii="Times New Roman" w:hAnsi="Times New Roman" w:cs="Times New Roman"/>
              </w:rPr>
            </w:pPr>
          </w:p>
        </w:tc>
        <w:tc>
          <w:tcPr>
            <w:tcW w:w="3339" w:type="dxa"/>
            <w:gridSpan w:val="2"/>
            <w:tcBorders>
              <w:top w:val="single" w:sz="18" w:space="0" w:color="auto"/>
              <w:left w:val="single" w:sz="18" w:space="0" w:color="auto"/>
              <w:bottom w:val="single" w:sz="18" w:space="0" w:color="auto"/>
              <w:right w:val="single" w:sz="18" w:space="0" w:color="auto"/>
            </w:tcBorders>
            <w:vAlign w:val="bottom"/>
          </w:tcPr>
          <w:p w14:paraId="5CA5DE28" w14:textId="77777777" w:rsidR="008373AC" w:rsidRPr="00830ED8" w:rsidRDefault="008373AC" w:rsidP="00AF5C87">
            <w:pPr>
              <w:keepNext/>
              <w:keepLines/>
              <w:jc w:val="center"/>
              <w:rPr>
                <w:rFonts w:ascii="Times New Roman" w:hAnsi="Times New Roman" w:cs="Times New Roman"/>
                <w:b/>
              </w:rPr>
            </w:pPr>
            <w:r w:rsidRPr="00830ED8">
              <w:rPr>
                <w:rFonts w:ascii="Times New Roman" w:hAnsi="Times New Roman" w:cs="Times New Roman"/>
                <w:b/>
              </w:rPr>
              <w:t>Chapter 11 Random Samples</w:t>
            </w:r>
          </w:p>
        </w:tc>
        <w:tc>
          <w:tcPr>
            <w:tcW w:w="3658" w:type="dxa"/>
            <w:gridSpan w:val="2"/>
            <w:tcBorders>
              <w:top w:val="single" w:sz="18" w:space="0" w:color="auto"/>
              <w:left w:val="single" w:sz="18" w:space="0" w:color="auto"/>
              <w:bottom w:val="single" w:sz="18" w:space="0" w:color="auto"/>
              <w:right w:val="single" w:sz="18" w:space="0" w:color="auto"/>
            </w:tcBorders>
          </w:tcPr>
          <w:p w14:paraId="624892C0" w14:textId="77777777" w:rsidR="008373AC" w:rsidRPr="00830ED8" w:rsidRDefault="008373AC" w:rsidP="00AF5C87">
            <w:pPr>
              <w:keepNext/>
              <w:keepLines/>
              <w:jc w:val="center"/>
              <w:rPr>
                <w:rFonts w:ascii="Times New Roman" w:hAnsi="Times New Roman" w:cs="Times New Roman"/>
                <w:b/>
              </w:rPr>
            </w:pPr>
            <w:r w:rsidRPr="00830ED8">
              <w:rPr>
                <w:rFonts w:ascii="Times New Roman" w:hAnsi="Times New Roman" w:cs="Times New Roman"/>
                <w:b/>
              </w:rPr>
              <w:t>Chapter 13</w:t>
            </w:r>
          </w:p>
        </w:tc>
      </w:tr>
      <w:tr w:rsidR="008373AC" w:rsidRPr="00537498" w14:paraId="737EEF73" w14:textId="77777777" w:rsidTr="00D80370">
        <w:trPr>
          <w:trHeight w:val="420"/>
        </w:trPr>
        <w:tc>
          <w:tcPr>
            <w:tcW w:w="1859" w:type="dxa"/>
            <w:vMerge/>
            <w:tcBorders>
              <w:left w:val="single" w:sz="18" w:space="0" w:color="auto"/>
              <w:bottom w:val="single" w:sz="18" w:space="0" w:color="auto"/>
              <w:right w:val="single" w:sz="18" w:space="0" w:color="auto"/>
            </w:tcBorders>
          </w:tcPr>
          <w:p w14:paraId="54BD6AB9" w14:textId="77777777" w:rsidR="008373AC" w:rsidRPr="00537498" w:rsidRDefault="008373AC" w:rsidP="00AF5C87">
            <w:pPr>
              <w:keepNext/>
              <w:keepLines/>
              <w:rPr>
                <w:rFonts w:ascii="Times New Roman" w:hAnsi="Times New Roman" w:cs="Times New Roman"/>
              </w:rPr>
            </w:pPr>
          </w:p>
        </w:tc>
        <w:tc>
          <w:tcPr>
            <w:tcW w:w="1669" w:type="dxa"/>
            <w:tcBorders>
              <w:top w:val="single" w:sz="18" w:space="0" w:color="auto"/>
              <w:left w:val="single" w:sz="18" w:space="0" w:color="auto"/>
              <w:bottom w:val="single" w:sz="18" w:space="0" w:color="auto"/>
            </w:tcBorders>
            <w:vAlign w:val="bottom"/>
          </w:tcPr>
          <w:p w14:paraId="01B4229D" w14:textId="77777777" w:rsidR="008373AC" w:rsidRPr="00D1092D" w:rsidRDefault="008373AC" w:rsidP="00AF5C87">
            <w:pPr>
              <w:keepNext/>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2010</w:t>
            </w:r>
          </w:p>
        </w:tc>
        <w:tc>
          <w:tcPr>
            <w:tcW w:w="1670" w:type="dxa"/>
            <w:tcBorders>
              <w:top w:val="single" w:sz="18" w:space="0" w:color="auto"/>
              <w:bottom w:val="single" w:sz="18" w:space="0" w:color="auto"/>
              <w:right w:val="single" w:sz="18" w:space="0" w:color="auto"/>
            </w:tcBorders>
            <w:vAlign w:val="bottom"/>
          </w:tcPr>
          <w:p w14:paraId="76A0879F" w14:textId="77777777" w:rsidR="008373AC" w:rsidRPr="00D1092D" w:rsidRDefault="008373AC" w:rsidP="00AF5C87">
            <w:pPr>
              <w:keepNext/>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2013</w:t>
            </w:r>
          </w:p>
        </w:tc>
        <w:tc>
          <w:tcPr>
            <w:tcW w:w="1829" w:type="dxa"/>
            <w:tcBorders>
              <w:top w:val="single" w:sz="18" w:space="0" w:color="auto"/>
              <w:left w:val="single" w:sz="18" w:space="0" w:color="auto"/>
              <w:bottom w:val="single" w:sz="18" w:space="0" w:color="auto"/>
            </w:tcBorders>
          </w:tcPr>
          <w:p w14:paraId="077FCD83" w14:textId="77777777" w:rsidR="008373AC" w:rsidRPr="00D1092D" w:rsidRDefault="008373AC" w:rsidP="00AF5C87">
            <w:pPr>
              <w:keepNext/>
              <w:keepLines/>
              <w:jc w:val="center"/>
              <w:rPr>
                <w:rFonts w:ascii="Times New Roman" w:hAnsi="Times New Roman" w:cs="Times New Roman"/>
              </w:rPr>
            </w:pPr>
            <w:r>
              <w:rPr>
                <w:rFonts w:ascii="Times New Roman" w:hAnsi="Times New Roman" w:cs="Times New Roman"/>
              </w:rPr>
              <w:t xml:space="preserve">Eraslan, Li &amp; Sarte Data </w:t>
            </w:r>
          </w:p>
        </w:tc>
        <w:tc>
          <w:tcPr>
            <w:tcW w:w="1829" w:type="dxa"/>
            <w:tcBorders>
              <w:top w:val="single" w:sz="18" w:space="0" w:color="auto"/>
              <w:bottom w:val="single" w:sz="18" w:space="0" w:color="auto"/>
              <w:right w:val="single" w:sz="18" w:space="0" w:color="auto"/>
            </w:tcBorders>
          </w:tcPr>
          <w:p w14:paraId="4CFBD09D" w14:textId="77777777" w:rsidR="008373AC" w:rsidRPr="00D1092D" w:rsidRDefault="008373AC" w:rsidP="00AF5C87">
            <w:pPr>
              <w:keepNext/>
              <w:keepLines/>
              <w:jc w:val="center"/>
              <w:rPr>
                <w:rFonts w:ascii="Times New Roman" w:hAnsi="Times New Roman" w:cs="Times New Roman"/>
              </w:rPr>
            </w:pPr>
            <w:r w:rsidRPr="00B026E4">
              <w:rPr>
                <w:rFonts w:ascii="Times New Roman" w:hAnsi="Times New Roman" w:cs="Times New Roman"/>
              </w:rPr>
              <w:t xml:space="preserve">Norberg &amp; Velkey </w:t>
            </w:r>
            <w:r>
              <w:rPr>
                <w:rFonts w:ascii="Times New Roman" w:hAnsi="Times New Roman" w:cs="Times New Roman"/>
              </w:rPr>
              <w:t xml:space="preserve">Data  </w:t>
            </w:r>
          </w:p>
        </w:tc>
      </w:tr>
      <w:tr w:rsidR="008373AC" w:rsidRPr="00537498" w14:paraId="1F65228F" w14:textId="77777777" w:rsidTr="00D80370">
        <w:tc>
          <w:tcPr>
            <w:tcW w:w="1859" w:type="dxa"/>
            <w:tcBorders>
              <w:top w:val="single" w:sz="18" w:space="0" w:color="auto"/>
              <w:right w:val="single" w:sz="18" w:space="0" w:color="auto"/>
            </w:tcBorders>
          </w:tcPr>
          <w:p w14:paraId="67B4F580" w14:textId="77777777" w:rsidR="008373AC" w:rsidRPr="0064445A" w:rsidRDefault="008373AC" w:rsidP="00AF5C87">
            <w:pPr>
              <w:keepNext/>
              <w:keepLines/>
              <w:rPr>
                <w:rFonts w:ascii="Times New Roman" w:hAnsi="Times New Roman" w:cs="Times New Roman"/>
                <w:b/>
              </w:rPr>
            </w:pPr>
            <w:r w:rsidRPr="0064445A">
              <w:rPr>
                <w:rFonts w:ascii="Times New Roman" w:hAnsi="Times New Roman" w:cs="Times New Roman"/>
                <w:b/>
              </w:rPr>
              <w:t>Joint Filing</w:t>
            </w:r>
          </w:p>
        </w:tc>
        <w:tc>
          <w:tcPr>
            <w:tcW w:w="1669" w:type="dxa"/>
            <w:tcBorders>
              <w:top w:val="single" w:sz="18" w:space="0" w:color="auto"/>
              <w:left w:val="single" w:sz="18" w:space="0" w:color="auto"/>
            </w:tcBorders>
            <w:vAlign w:val="bottom"/>
          </w:tcPr>
          <w:p w14:paraId="243B30E7" w14:textId="77777777" w:rsidR="008373AC" w:rsidRPr="00B026E4" w:rsidRDefault="008373AC" w:rsidP="00AF5C87">
            <w:pPr>
              <w:keepNext/>
              <w:keepLines/>
              <w:jc w:val="right"/>
              <w:rPr>
                <w:rFonts w:ascii="Times New Roman" w:hAnsi="Times New Roman" w:cs="Times New Roman"/>
              </w:rPr>
            </w:pPr>
            <w:r w:rsidRPr="00B026E4">
              <w:rPr>
                <w:rFonts w:ascii="Times New Roman" w:eastAsia="Times New Roman" w:hAnsi="Times New Roman" w:cs="Times New Roman"/>
                <w:color w:val="000000"/>
              </w:rPr>
              <w:t>41.3%</w:t>
            </w:r>
          </w:p>
        </w:tc>
        <w:tc>
          <w:tcPr>
            <w:tcW w:w="1670" w:type="dxa"/>
            <w:tcBorders>
              <w:top w:val="single" w:sz="18" w:space="0" w:color="auto"/>
              <w:right w:val="single" w:sz="18" w:space="0" w:color="auto"/>
            </w:tcBorders>
            <w:vAlign w:val="bottom"/>
          </w:tcPr>
          <w:p w14:paraId="0DCFDBFF" w14:textId="77777777" w:rsidR="008373AC" w:rsidRPr="00B026E4" w:rsidRDefault="008373AC" w:rsidP="00AF5C87">
            <w:pPr>
              <w:keepNext/>
              <w:keepLines/>
              <w:jc w:val="right"/>
              <w:rPr>
                <w:rFonts w:ascii="Times New Roman" w:hAnsi="Times New Roman" w:cs="Times New Roman"/>
              </w:rPr>
            </w:pPr>
            <w:r w:rsidRPr="00B026E4">
              <w:rPr>
                <w:rFonts w:ascii="Times New Roman" w:eastAsia="Times New Roman" w:hAnsi="Times New Roman" w:cs="Times New Roman"/>
                <w:color w:val="000000"/>
              </w:rPr>
              <w:t>34.2%</w:t>
            </w:r>
          </w:p>
        </w:tc>
        <w:tc>
          <w:tcPr>
            <w:tcW w:w="1829" w:type="dxa"/>
            <w:tcBorders>
              <w:top w:val="single" w:sz="18" w:space="0" w:color="auto"/>
              <w:left w:val="single" w:sz="18" w:space="0" w:color="auto"/>
            </w:tcBorders>
          </w:tcPr>
          <w:p w14:paraId="7A378373" w14:textId="77777777" w:rsidR="008373AC" w:rsidRPr="00B026E4" w:rsidRDefault="008373AC" w:rsidP="00AF5C87">
            <w:pPr>
              <w:keepNext/>
              <w:keepLines/>
              <w:jc w:val="right"/>
              <w:rPr>
                <w:rFonts w:ascii="Times New Roman" w:hAnsi="Times New Roman" w:cs="Times New Roman"/>
              </w:rPr>
            </w:pPr>
            <w:r>
              <w:rPr>
                <w:rFonts w:ascii="Times New Roman" w:hAnsi="Times New Roman" w:cs="Times New Roman"/>
              </w:rPr>
              <w:t>35.1%</w:t>
            </w:r>
          </w:p>
        </w:tc>
        <w:tc>
          <w:tcPr>
            <w:tcW w:w="1829" w:type="dxa"/>
            <w:tcBorders>
              <w:top w:val="single" w:sz="18" w:space="0" w:color="auto"/>
            </w:tcBorders>
          </w:tcPr>
          <w:p w14:paraId="3EBACD5C" w14:textId="77777777" w:rsidR="008373AC" w:rsidRPr="00B026E4" w:rsidRDefault="008373AC" w:rsidP="00AF5C87">
            <w:pPr>
              <w:keepNext/>
              <w:keepLines/>
              <w:jc w:val="right"/>
              <w:rPr>
                <w:rFonts w:ascii="Times New Roman" w:hAnsi="Times New Roman" w:cs="Times New Roman"/>
              </w:rPr>
            </w:pPr>
            <w:r>
              <w:rPr>
                <w:rFonts w:ascii="Times New Roman" w:hAnsi="Times New Roman" w:cs="Times New Roman"/>
              </w:rPr>
              <w:t>25.5%</w:t>
            </w:r>
          </w:p>
        </w:tc>
      </w:tr>
      <w:tr w:rsidR="008373AC" w:rsidRPr="00537498" w14:paraId="594A27A2" w14:textId="77777777" w:rsidTr="00C459CB">
        <w:tc>
          <w:tcPr>
            <w:tcW w:w="1859" w:type="dxa"/>
            <w:tcBorders>
              <w:right w:val="single" w:sz="18" w:space="0" w:color="auto"/>
            </w:tcBorders>
          </w:tcPr>
          <w:p w14:paraId="05EB7D27" w14:textId="77777777" w:rsidR="008373AC" w:rsidRPr="0064445A" w:rsidRDefault="008373AC" w:rsidP="00AF5C87">
            <w:pPr>
              <w:keepNext/>
              <w:keepLines/>
              <w:rPr>
                <w:rFonts w:ascii="Times New Roman" w:hAnsi="Times New Roman" w:cs="Times New Roman"/>
                <w:b/>
              </w:rPr>
            </w:pPr>
            <w:r w:rsidRPr="0064445A">
              <w:rPr>
                <w:rFonts w:ascii="Times New Roman" w:hAnsi="Times New Roman" w:cs="Times New Roman"/>
                <w:b/>
              </w:rPr>
              <w:t>Male</w:t>
            </w:r>
          </w:p>
        </w:tc>
        <w:tc>
          <w:tcPr>
            <w:tcW w:w="1669" w:type="dxa"/>
            <w:tcBorders>
              <w:left w:val="single" w:sz="18" w:space="0" w:color="auto"/>
            </w:tcBorders>
            <w:vAlign w:val="bottom"/>
          </w:tcPr>
          <w:p w14:paraId="362CF34C" w14:textId="77777777" w:rsidR="008373AC" w:rsidRPr="00B026E4" w:rsidRDefault="008373AC" w:rsidP="00AF5C87">
            <w:pPr>
              <w:keepNext/>
              <w:keepLines/>
              <w:jc w:val="right"/>
              <w:rPr>
                <w:rFonts w:ascii="Times New Roman" w:hAnsi="Times New Roman" w:cs="Times New Roman"/>
              </w:rPr>
            </w:pPr>
            <w:r w:rsidRPr="00B026E4">
              <w:rPr>
                <w:rFonts w:ascii="Times New Roman" w:eastAsia="Times New Roman" w:hAnsi="Times New Roman" w:cs="Times New Roman"/>
                <w:color w:val="000000"/>
              </w:rPr>
              <w:t>41.3%</w:t>
            </w:r>
          </w:p>
        </w:tc>
        <w:tc>
          <w:tcPr>
            <w:tcW w:w="1670" w:type="dxa"/>
            <w:tcBorders>
              <w:right w:val="single" w:sz="18" w:space="0" w:color="auto"/>
            </w:tcBorders>
            <w:vAlign w:val="bottom"/>
          </w:tcPr>
          <w:p w14:paraId="757E71F0" w14:textId="77777777" w:rsidR="008373AC" w:rsidRPr="00B026E4" w:rsidRDefault="008373AC" w:rsidP="00AF5C87">
            <w:pPr>
              <w:keepNext/>
              <w:keepLines/>
              <w:jc w:val="right"/>
              <w:rPr>
                <w:rFonts w:ascii="Times New Roman" w:hAnsi="Times New Roman" w:cs="Times New Roman"/>
              </w:rPr>
            </w:pPr>
            <w:r w:rsidRPr="00B026E4">
              <w:rPr>
                <w:rFonts w:ascii="Times New Roman" w:eastAsia="Times New Roman" w:hAnsi="Times New Roman" w:cs="Times New Roman"/>
                <w:color w:val="000000"/>
              </w:rPr>
              <w:t>50.9%</w:t>
            </w:r>
          </w:p>
        </w:tc>
        <w:tc>
          <w:tcPr>
            <w:tcW w:w="1829" w:type="dxa"/>
            <w:tcBorders>
              <w:left w:val="single" w:sz="18" w:space="0" w:color="auto"/>
            </w:tcBorders>
          </w:tcPr>
          <w:p w14:paraId="0EE60165" w14:textId="77777777" w:rsidR="008373AC" w:rsidRPr="00B026E4" w:rsidRDefault="008373AC" w:rsidP="00AF5C87">
            <w:pPr>
              <w:keepNext/>
              <w:keepLines/>
              <w:jc w:val="right"/>
              <w:rPr>
                <w:rFonts w:ascii="Times New Roman" w:hAnsi="Times New Roman" w:cs="Times New Roman"/>
              </w:rPr>
            </w:pPr>
            <w:r w:rsidRPr="00B026E4">
              <w:rPr>
                <w:rFonts w:ascii="Times New Roman" w:hAnsi="Times New Roman" w:cs="Times New Roman"/>
              </w:rPr>
              <w:t>29.8%</w:t>
            </w:r>
          </w:p>
        </w:tc>
        <w:tc>
          <w:tcPr>
            <w:tcW w:w="1829" w:type="dxa"/>
          </w:tcPr>
          <w:p w14:paraId="28D04740" w14:textId="77777777" w:rsidR="008373AC" w:rsidRPr="00B026E4" w:rsidRDefault="008373AC" w:rsidP="00AF5C87">
            <w:pPr>
              <w:keepNext/>
              <w:keepLines/>
              <w:jc w:val="right"/>
              <w:rPr>
                <w:rFonts w:ascii="Times New Roman" w:hAnsi="Times New Roman" w:cs="Times New Roman"/>
              </w:rPr>
            </w:pPr>
            <w:r w:rsidRPr="00B026E4">
              <w:rPr>
                <w:rFonts w:ascii="Times New Roman" w:hAnsi="Times New Roman" w:cs="Times New Roman"/>
              </w:rPr>
              <w:t>34.8%</w:t>
            </w:r>
          </w:p>
        </w:tc>
      </w:tr>
      <w:tr w:rsidR="008373AC" w:rsidRPr="00537498" w14:paraId="6DFE1637" w14:textId="77777777" w:rsidTr="00C459CB">
        <w:tc>
          <w:tcPr>
            <w:tcW w:w="1859" w:type="dxa"/>
            <w:tcBorders>
              <w:right w:val="single" w:sz="18" w:space="0" w:color="auto"/>
            </w:tcBorders>
          </w:tcPr>
          <w:p w14:paraId="0CDF5356" w14:textId="77777777" w:rsidR="008373AC" w:rsidRPr="0064445A" w:rsidRDefault="008373AC" w:rsidP="00AF5C87">
            <w:pPr>
              <w:keepNext/>
              <w:keepLines/>
              <w:rPr>
                <w:rFonts w:ascii="Times New Roman" w:hAnsi="Times New Roman" w:cs="Times New Roman"/>
                <w:b/>
              </w:rPr>
            </w:pPr>
            <w:r w:rsidRPr="0064445A">
              <w:rPr>
                <w:rFonts w:ascii="Times New Roman" w:hAnsi="Times New Roman" w:cs="Times New Roman"/>
                <w:b/>
              </w:rPr>
              <w:t>Female</w:t>
            </w:r>
          </w:p>
        </w:tc>
        <w:tc>
          <w:tcPr>
            <w:tcW w:w="1669" w:type="dxa"/>
            <w:tcBorders>
              <w:left w:val="single" w:sz="18" w:space="0" w:color="auto"/>
            </w:tcBorders>
            <w:vAlign w:val="bottom"/>
          </w:tcPr>
          <w:p w14:paraId="6E8CC9C7" w14:textId="389BB9D0" w:rsidR="008373AC" w:rsidRPr="00B026E4" w:rsidRDefault="008373AC" w:rsidP="00AF5C87">
            <w:pPr>
              <w:keepNext/>
              <w:keepLines/>
              <w:jc w:val="right"/>
              <w:rPr>
                <w:rFonts w:ascii="Times New Roman" w:hAnsi="Times New Roman" w:cs="Times New Roman"/>
              </w:rPr>
            </w:pPr>
            <w:r w:rsidRPr="00B026E4">
              <w:rPr>
                <w:rFonts w:ascii="Times New Roman" w:eastAsia="Times New Roman" w:hAnsi="Times New Roman" w:cs="Times New Roman"/>
                <w:color w:val="000000"/>
              </w:rPr>
              <w:t>1</w:t>
            </w:r>
            <w:r w:rsidR="00364371">
              <w:rPr>
                <w:rFonts w:ascii="Times New Roman" w:eastAsia="Times New Roman" w:hAnsi="Times New Roman" w:cs="Times New Roman"/>
                <w:color w:val="000000"/>
              </w:rPr>
              <w:t>4</w:t>
            </w:r>
            <w:r w:rsidRPr="00B026E4">
              <w:rPr>
                <w:rFonts w:ascii="Times New Roman" w:eastAsia="Times New Roman" w:hAnsi="Times New Roman" w:cs="Times New Roman"/>
                <w:color w:val="000000"/>
              </w:rPr>
              <w:t>.</w:t>
            </w:r>
            <w:r w:rsidR="00364371">
              <w:rPr>
                <w:rFonts w:ascii="Times New Roman" w:eastAsia="Times New Roman" w:hAnsi="Times New Roman" w:cs="Times New Roman"/>
                <w:color w:val="000000"/>
              </w:rPr>
              <w:t>7</w:t>
            </w:r>
            <w:r w:rsidRPr="00B026E4">
              <w:rPr>
                <w:rFonts w:ascii="Times New Roman" w:eastAsia="Times New Roman" w:hAnsi="Times New Roman" w:cs="Times New Roman"/>
                <w:color w:val="000000"/>
              </w:rPr>
              <w:t>%</w:t>
            </w:r>
          </w:p>
        </w:tc>
        <w:tc>
          <w:tcPr>
            <w:tcW w:w="1670" w:type="dxa"/>
            <w:tcBorders>
              <w:right w:val="single" w:sz="18" w:space="0" w:color="auto"/>
            </w:tcBorders>
            <w:vAlign w:val="bottom"/>
          </w:tcPr>
          <w:p w14:paraId="2A25D8B2" w14:textId="77777777" w:rsidR="008373AC" w:rsidRPr="00B026E4" w:rsidRDefault="008373AC" w:rsidP="00AF5C87">
            <w:pPr>
              <w:keepNext/>
              <w:keepLines/>
              <w:jc w:val="right"/>
              <w:rPr>
                <w:rFonts w:ascii="Times New Roman" w:hAnsi="Times New Roman" w:cs="Times New Roman"/>
              </w:rPr>
            </w:pPr>
            <w:r w:rsidRPr="00B026E4">
              <w:rPr>
                <w:rFonts w:ascii="Times New Roman" w:eastAsia="Times New Roman" w:hAnsi="Times New Roman" w:cs="Times New Roman"/>
                <w:color w:val="000000"/>
              </w:rPr>
              <w:t>12.3%</w:t>
            </w:r>
          </w:p>
        </w:tc>
        <w:tc>
          <w:tcPr>
            <w:tcW w:w="1829" w:type="dxa"/>
            <w:tcBorders>
              <w:left w:val="single" w:sz="18" w:space="0" w:color="auto"/>
            </w:tcBorders>
          </w:tcPr>
          <w:p w14:paraId="08F6F2D1" w14:textId="77777777" w:rsidR="008373AC" w:rsidRPr="00B026E4" w:rsidRDefault="008373AC" w:rsidP="00AF5C87">
            <w:pPr>
              <w:keepNext/>
              <w:keepLines/>
              <w:jc w:val="right"/>
              <w:rPr>
                <w:rFonts w:ascii="Times New Roman" w:hAnsi="Times New Roman" w:cs="Times New Roman"/>
              </w:rPr>
            </w:pPr>
            <w:r w:rsidRPr="00B026E4">
              <w:rPr>
                <w:rFonts w:ascii="Times New Roman" w:hAnsi="Times New Roman" w:cs="Times New Roman"/>
              </w:rPr>
              <w:t>35.1%</w:t>
            </w:r>
          </w:p>
        </w:tc>
        <w:tc>
          <w:tcPr>
            <w:tcW w:w="1829" w:type="dxa"/>
          </w:tcPr>
          <w:p w14:paraId="04CE00B7" w14:textId="77777777" w:rsidR="008373AC" w:rsidRPr="00B026E4" w:rsidRDefault="008373AC" w:rsidP="00AF5C87">
            <w:pPr>
              <w:keepNext/>
              <w:keepLines/>
              <w:jc w:val="right"/>
              <w:rPr>
                <w:rFonts w:ascii="Times New Roman" w:hAnsi="Times New Roman" w:cs="Times New Roman"/>
              </w:rPr>
            </w:pPr>
            <w:r w:rsidRPr="00B026E4">
              <w:rPr>
                <w:rFonts w:ascii="Times New Roman" w:hAnsi="Times New Roman" w:cs="Times New Roman"/>
              </w:rPr>
              <w:t>34.3%</w:t>
            </w:r>
          </w:p>
        </w:tc>
      </w:tr>
      <w:tr w:rsidR="008373AC" w:rsidRPr="00537498" w14:paraId="15E776E0" w14:textId="77777777" w:rsidTr="00C459CB">
        <w:tc>
          <w:tcPr>
            <w:tcW w:w="1859" w:type="dxa"/>
            <w:tcBorders>
              <w:right w:val="single" w:sz="18" w:space="0" w:color="auto"/>
            </w:tcBorders>
          </w:tcPr>
          <w:p w14:paraId="47A71C7D" w14:textId="77777777" w:rsidR="008373AC" w:rsidRPr="0064445A" w:rsidRDefault="008373AC" w:rsidP="00AF5C87">
            <w:pPr>
              <w:keepLines/>
              <w:rPr>
                <w:rFonts w:ascii="Times New Roman" w:hAnsi="Times New Roman" w:cs="Times New Roman"/>
                <w:b/>
              </w:rPr>
            </w:pPr>
            <w:r w:rsidRPr="0064445A">
              <w:rPr>
                <w:rFonts w:ascii="Times New Roman" w:hAnsi="Times New Roman" w:cs="Times New Roman"/>
                <w:b/>
              </w:rPr>
              <w:t>Unknown</w:t>
            </w:r>
          </w:p>
        </w:tc>
        <w:tc>
          <w:tcPr>
            <w:tcW w:w="1669" w:type="dxa"/>
            <w:tcBorders>
              <w:left w:val="single" w:sz="18" w:space="0" w:color="auto"/>
            </w:tcBorders>
            <w:vAlign w:val="bottom"/>
          </w:tcPr>
          <w:p w14:paraId="70FCBF73" w14:textId="6FC90018" w:rsidR="008373AC" w:rsidRPr="00B026E4" w:rsidRDefault="00364371" w:rsidP="00AF5C87">
            <w:pPr>
              <w:keepLines/>
              <w:jc w:val="right"/>
              <w:rPr>
                <w:rFonts w:ascii="Times New Roman" w:hAnsi="Times New Roman" w:cs="Times New Roman"/>
              </w:rPr>
            </w:pPr>
            <w:r>
              <w:rPr>
                <w:rFonts w:ascii="Times New Roman" w:eastAsia="Times New Roman" w:hAnsi="Times New Roman" w:cs="Times New Roman"/>
                <w:color w:val="000000"/>
              </w:rPr>
              <w:t>2</w:t>
            </w:r>
            <w:r w:rsidR="008373AC" w:rsidRPr="00B026E4">
              <w:rPr>
                <w:rFonts w:ascii="Times New Roman" w:eastAsia="Times New Roman" w:hAnsi="Times New Roman" w:cs="Times New Roman"/>
                <w:color w:val="000000"/>
              </w:rPr>
              <w:t>.</w:t>
            </w:r>
            <w:r>
              <w:rPr>
                <w:rFonts w:ascii="Times New Roman" w:eastAsia="Times New Roman" w:hAnsi="Times New Roman" w:cs="Times New Roman"/>
                <w:color w:val="000000"/>
              </w:rPr>
              <w:t>8</w:t>
            </w:r>
            <w:r w:rsidR="008373AC" w:rsidRPr="00B026E4">
              <w:rPr>
                <w:rFonts w:ascii="Times New Roman" w:eastAsia="Times New Roman" w:hAnsi="Times New Roman" w:cs="Times New Roman"/>
                <w:color w:val="000000"/>
              </w:rPr>
              <w:t>%</w:t>
            </w:r>
          </w:p>
        </w:tc>
        <w:tc>
          <w:tcPr>
            <w:tcW w:w="1670" w:type="dxa"/>
            <w:tcBorders>
              <w:right w:val="single" w:sz="18" w:space="0" w:color="auto"/>
            </w:tcBorders>
            <w:vAlign w:val="bottom"/>
          </w:tcPr>
          <w:p w14:paraId="2B498907" w14:textId="77777777" w:rsidR="008373AC" w:rsidRPr="00B026E4" w:rsidRDefault="008373AC" w:rsidP="00AF5C87">
            <w:pPr>
              <w:keepLines/>
              <w:jc w:val="right"/>
              <w:rPr>
                <w:rFonts w:ascii="Times New Roman" w:hAnsi="Times New Roman" w:cs="Times New Roman"/>
              </w:rPr>
            </w:pPr>
            <w:r w:rsidRPr="00B026E4">
              <w:rPr>
                <w:rFonts w:ascii="Times New Roman" w:eastAsia="Times New Roman" w:hAnsi="Times New Roman" w:cs="Times New Roman"/>
                <w:color w:val="000000"/>
              </w:rPr>
              <w:t>2.6%</w:t>
            </w:r>
          </w:p>
        </w:tc>
        <w:tc>
          <w:tcPr>
            <w:tcW w:w="1829" w:type="dxa"/>
            <w:tcBorders>
              <w:left w:val="single" w:sz="18" w:space="0" w:color="auto"/>
            </w:tcBorders>
          </w:tcPr>
          <w:p w14:paraId="3F1A9AE6" w14:textId="77777777" w:rsidR="008373AC" w:rsidRPr="00B026E4" w:rsidRDefault="008373AC" w:rsidP="00AF5C87">
            <w:pPr>
              <w:keepLines/>
              <w:jc w:val="right"/>
              <w:rPr>
                <w:rFonts w:ascii="Times New Roman" w:hAnsi="Times New Roman" w:cs="Times New Roman"/>
              </w:rPr>
            </w:pPr>
          </w:p>
        </w:tc>
        <w:tc>
          <w:tcPr>
            <w:tcW w:w="1829" w:type="dxa"/>
          </w:tcPr>
          <w:p w14:paraId="7AB53CB9" w14:textId="77777777" w:rsidR="008373AC" w:rsidRPr="00B026E4" w:rsidRDefault="008373AC" w:rsidP="00AF5C87">
            <w:pPr>
              <w:keepLines/>
              <w:jc w:val="right"/>
              <w:rPr>
                <w:rFonts w:ascii="Times New Roman" w:hAnsi="Times New Roman" w:cs="Times New Roman"/>
              </w:rPr>
            </w:pPr>
            <w:r w:rsidRPr="00B026E4">
              <w:rPr>
                <w:rFonts w:ascii="Times New Roman" w:hAnsi="Times New Roman" w:cs="Times New Roman"/>
              </w:rPr>
              <w:t>5.3%</w:t>
            </w:r>
          </w:p>
        </w:tc>
      </w:tr>
    </w:tbl>
    <w:p w14:paraId="6BC837FA" w14:textId="77777777" w:rsidR="008373AC" w:rsidRPr="00B026E4" w:rsidRDefault="008373AC" w:rsidP="008373AC">
      <w:pPr>
        <w:spacing w:line="480" w:lineRule="auto"/>
        <w:rPr>
          <w:rFonts w:ascii="Times New Roman" w:hAnsi="Times New Roman" w:cs="Times New Roman"/>
        </w:rPr>
      </w:pPr>
    </w:p>
    <w:p w14:paraId="30DAE0FE" w14:textId="4D34D31A" w:rsidR="00496350" w:rsidRDefault="00D36EB0" w:rsidP="005710F3">
      <w:pPr>
        <w:spacing w:line="480" w:lineRule="auto"/>
        <w:rPr>
          <w:rFonts w:ascii="Times New Roman" w:hAnsi="Times New Roman" w:cs="Times New Roman"/>
          <w:color w:val="000000"/>
        </w:rPr>
      </w:pPr>
      <w:r>
        <w:rPr>
          <w:rFonts w:ascii="Times New Roman" w:hAnsi="Times New Roman" w:cs="Times New Roman"/>
          <w:b/>
        </w:rPr>
        <w:tab/>
      </w:r>
      <w:r w:rsidR="003E038F">
        <w:rPr>
          <w:rFonts w:ascii="Times New Roman" w:hAnsi="Times New Roman" w:cs="Times New Roman"/>
        </w:rPr>
        <w:t xml:space="preserve">Prior research has found that </w:t>
      </w:r>
      <w:r w:rsidR="003E038F" w:rsidRPr="00537498">
        <w:rPr>
          <w:rFonts w:ascii="Times New Roman" w:hAnsi="Times New Roman" w:cs="Times New Roman"/>
        </w:rPr>
        <w:t xml:space="preserve">about as many women as men file for bankruptcy, and some studies </w:t>
      </w:r>
      <w:r w:rsidR="00E32E8B">
        <w:rPr>
          <w:rFonts w:ascii="Times New Roman" w:hAnsi="Times New Roman" w:cs="Times New Roman"/>
        </w:rPr>
        <w:t xml:space="preserve">found </w:t>
      </w:r>
      <w:r w:rsidR="003E038F" w:rsidRPr="00537498">
        <w:rPr>
          <w:rFonts w:ascii="Times New Roman" w:hAnsi="Times New Roman" w:cs="Times New Roman"/>
        </w:rPr>
        <w:t xml:space="preserve">that more women than men file under </w:t>
      </w:r>
      <w:r w:rsidR="003E038F">
        <w:rPr>
          <w:rFonts w:ascii="Times New Roman" w:hAnsi="Times New Roman" w:cs="Times New Roman"/>
        </w:rPr>
        <w:t>c</w:t>
      </w:r>
      <w:r w:rsidR="003E038F" w:rsidRPr="00537498">
        <w:rPr>
          <w:rFonts w:ascii="Times New Roman" w:hAnsi="Times New Roman" w:cs="Times New Roman"/>
        </w:rPr>
        <w:t>hapter 13.</w:t>
      </w:r>
      <w:r w:rsidR="003E038F" w:rsidRPr="00537498">
        <w:rPr>
          <w:rStyle w:val="FootnoteReference"/>
          <w:rFonts w:ascii="Times New Roman" w:hAnsi="Times New Roman" w:cs="Times New Roman"/>
        </w:rPr>
        <w:footnoteReference w:id="112"/>
      </w:r>
      <w:r w:rsidR="003E038F" w:rsidRPr="00537498">
        <w:rPr>
          <w:rFonts w:ascii="Times New Roman" w:hAnsi="Times New Roman" w:cs="Times New Roman"/>
        </w:rPr>
        <w:t xml:space="preserve"> </w:t>
      </w:r>
      <w:r w:rsidR="003E038F">
        <w:rPr>
          <w:rFonts w:ascii="Times New Roman" w:hAnsi="Times New Roman" w:cs="Times New Roman"/>
        </w:rPr>
        <w:t xml:space="preserve">Our results </w:t>
      </w:r>
      <w:r w:rsidR="008B47DC" w:rsidRPr="00EB7FD9">
        <w:rPr>
          <w:rFonts w:ascii="Times New Roman" w:hAnsi="Times New Roman" w:cs="Times New Roman"/>
          <w:color w:val="000000"/>
        </w:rPr>
        <w:t>stand in sharp contrast to the existing literature</w:t>
      </w:r>
      <w:r w:rsidR="008B47DC">
        <w:rPr>
          <w:rFonts w:ascii="Times New Roman" w:hAnsi="Times New Roman" w:cs="Times New Roman"/>
          <w:color w:val="000000"/>
        </w:rPr>
        <w:t xml:space="preserve"> on chapter 13 filers</w:t>
      </w:r>
      <w:r w:rsidR="008B47DC" w:rsidRPr="00302233">
        <w:rPr>
          <w:rFonts w:ascii="Times New Roman" w:hAnsi="Times New Roman" w:cs="Times New Roman"/>
          <w:color w:val="000000"/>
        </w:rPr>
        <w:t>.</w:t>
      </w:r>
      <w:r w:rsidR="003E038F">
        <w:rPr>
          <w:rFonts w:ascii="Times New Roman" w:hAnsi="Times New Roman" w:cs="Times New Roman"/>
        </w:rPr>
        <w:t xml:space="preserve"> </w:t>
      </w:r>
      <w:r w:rsidR="00E64D00">
        <w:rPr>
          <w:rFonts w:ascii="Times New Roman" w:hAnsi="Times New Roman" w:cs="Times New Roman"/>
        </w:rPr>
        <w:t xml:space="preserve">The data in Table </w:t>
      </w:r>
      <w:r w:rsidR="00D80370">
        <w:rPr>
          <w:rFonts w:ascii="Times New Roman" w:hAnsi="Times New Roman" w:cs="Times New Roman"/>
        </w:rPr>
        <w:t>10</w:t>
      </w:r>
      <w:r w:rsidR="00E64D00">
        <w:rPr>
          <w:rFonts w:ascii="Times New Roman" w:hAnsi="Times New Roman" w:cs="Times New Roman"/>
        </w:rPr>
        <w:t xml:space="preserve"> show that in 2010, 41.3% of the individual chapter 11 filers were men filing alone while only 14.7% were women filing alone; in 2013, the figures were 50.9% for men and 12.3% for women. </w:t>
      </w:r>
      <w:r w:rsidR="00F269D9">
        <w:rPr>
          <w:rFonts w:ascii="Times New Roman" w:hAnsi="Times New Roman" w:cs="Times New Roman"/>
          <w:color w:val="000000"/>
        </w:rPr>
        <w:t xml:space="preserve">Putting aside joint filings, there are approximately three to four times as many male </w:t>
      </w:r>
      <w:r w:rsidR="00E64D00">
        <w:rPr>
          <w:rFonts w:ascii="Times New Roman" w:hAnsi="Times New Roman" w:cs="Times New Roman"/>
          <w:color w:val="000000"/>
        </w:rPr>
        <w:t>as</w:t>
      </w:r>
      <w:r w:rsidR="00F269D9">
        <w:rPr>
          <w:rFonts w:ascii="Times New Roman" w:hAnsi="Times New Roman" w:cs="Times New Roman"/>
          <w:color w:val="000000"/>
        </w:rPr>
        <w:t xml:space="preserve"> female debtors in our 2010 and 2013 samples</w:t>
      </w:r>
      <w:r w:rsidR="00A6149D">
        <w:rPr>
          <w:rFonts w:ascii="Times New Roman" w:hAnsi="Times New Roman" w:cs="Times New Roman"/>
          <w:color w:val="000000"/>
        </w:rPr>
        <w:t>.</w:t>
      </w:r>
      <w:r w:rsidR="008373AC" w:rsidRPr="00EB7FD9">
        <w:rPr>
          <w:rFonts w:ascii="Times New Roman" w:hAnsi="Times New Roman" w:cs="Times New Roman"/>
          <w:color w:val="000000"/>
        </w:rPr>
        <w:t xml:space="preserve"> </w:t>
      </w:r>
      <w:r w:rsidR="00E32E8B" w:rsidRPr="00EB7FD9">
        <w:rPr>
          <w:rFonts w:ascii="Times New Roman" w:hAnsi="Times New Roman" w:cs="Times New Roman"/>
          <w:color w:val="000000"/>
        </w:rPr>
        <w:t xml:space="preserve">We </w:t>
      </w:r>
      <w:r w:rsidR="00E32E8B">
        <w:rPr>
          <w:rFonts w:ascii="Times New Roman" w:hAnsi="Times New Roman" w:cs="Times New Roman"/>
          <w:color w:val="000000"/>
        </w:rPr>
        <w:t>have no explanation for</w:t>
      </w:r>
      <w:r w:rsidR="00E32E8B" w:rsidRPr="00EB7FD9">
        <w:rPr>
          <w:rFonts w:ascii="Times New Roman" w:hAnsi="Times New Roman" w:cs="Times New Roman"/>
          <w:color w:val="000000"/>
        </w:rPr>
        <w:t xml:space="preserve"> wh</w:t>
      </w:r>
      <w:r w:rsidR="00E32E8B">
        <w:rPr>
          <w:rFonts w:ascii="Times New Roman" w:hAnsi="Times New Roman" w:cs="Times New Roman"/>
          <w:color w:val="000000"/>
        </w:rPr>
        <w:t>y so few women file for relief under chapter 11.</w:t>
      </w:r>
    </w:p>
    <w:p w14:paraId="490D3DF3" w14:textId="77777777" w:rsidR="00496350" w:rsidRDefault="008373AC" w:rsidP="00496350">
      <w:pPr>
        <w:spacing w:line="276" w:lineRule="auto"/>
        <w:rPr>
          <w:rFonts w:ascii="Times New Roman" w:hAnsi="Times New Roman" w:cs="Times New Roman"/>
          <w:i/>
        </w:rPr>
      </w:pPr>
      <w:r w:rsidRPr="00EC72CC">
        <w:rPr>
          <w:rFonts w:ascii="Times New Roman" w:hAnsi="Times New Roman" w:cs="Times New Roman"/>
          <w:i/>
        </w:rPr>
        <w:t>2.</w:t>
      </w:r>
      <w:r w:rsidRPr="00EC72CC">
        <w:rPr>
          <w:rFonts w:ascii="Times New Roman" w:hAnsi="Times New Roman" w:cs="Times New Roman"/>
          <w:i/>
        </w:rPr>
        <w:tab/>
        <w:t>Business Operations</w:t>
      </w:r>
    </w:p>
    <w:p w14:paraId="00259E3D" w14:textId="77777777" w:rsidR="00496350" w:rsidRDefault="008373AC" w:rsidP="00496350">
      <w:pPr>
        <w:spacing w:line="276" w:lineRule="auto"/>
        <w:rPr>
          <w:rFonts w:ascii="Times New Roman" w:hAnsi="Times New Roman" w:cs="Times New Roman"/>
        </w:rPr>
      </w:pPr>
      <w:r w:rsidRPr="00933FD2">
        <w:rPr>
          <w:rFonts w:ascii="Times New Roman" w:hAnsi="Times New Roman" w:cs="Times New Roman"/>
        </w:rPr>
        <w:tab/>
      </w:r>
    </w:p>
    <w:p w14:paraId="090DDB74" w14:textId="75A5A8C3" w:rsidR="008373AC" w:rsidRPr="00537498" w:rsidRDefault="008373AC" w:rsidP="00A82B81">
      <w:pPr>
        <w:spacing w:line="480" w:lineRule="auto"/>
        <w:ind w:firstLine="720"/>
        <w:rPr>
          <w:rFonts w:ascii="Times New Roman" w:hAnsi="Times New Roman" w:cs="Times New Roman"/>
        </w:rPr>
      </w:pPr>
      <w:r w:rsidRPr="00933FD2">
        <w:rPr>
          <w:rFonts w:ascii="Times New Roman" w:hAnsi="Times New Roman" w:cs="Times New Roman"/>
        </w:rPr>
        <w:t>In Section II</w:t>
      </w:r>
      <w:r>
        <w:rPr>
          <w:rFonts w:ascii="Times New Roman" w:hAnsi="Times New Roman" w:cs="Times New Roman"/>
        </w:rPr>
        <w:t>.A.</w:t>
      </w:r>
      <w:r w:rsidR="00FD0AE3">
        <w:rPr>
          <w:rFonts w:ascii="Times New Roman" w:hAnsi="Times New Roman" w:cs="Times New Roman"/>
        </w:rPr>
        <w:t>4</w:t>
      </w:r>
      <w:r w:rsidR="003E0A3B">
        <w:rPr>
          <w:rFonts w:ascii="Times New Roman" w:hAnsi="Times New Roman" w:cs="Times New Roman"/>
        </w:rPr>
        <w:t>,</w:t>
      </w:r>
      <w:r w:rsidRPr="00933FD2">
        <w:rPr>
          <w:rFonts w:ascii="Times New Roman" w:hAnsi="Times New Roman" w:cs="Times New Roman"/>
        </w:rPr>
        <w:t xml:space="preserve"> we noted that individual </w:t>
      </w:r>
      <w:r w:rsidR="00AA091B">
        <w:rPr>
          <w:rFonts w:ascii="Times New Roman" w:hAnsi="Times New Roman" w:cs="Times New Roman"/>
        </w:rPr>
        <w:t>chapter</w:t>
      </w:r>
      <w:r w:rsidRPr="00933FD2">
        <w:rPr>
          <w:rFonts w:ascii="Times New Roman" w:hAnsi="Times New Roman" w:cs="Times New Roman"/>
        </w:rPr>
        <w:t xml:space="preserve"> 11 debtors are </w:t>
      </w:r>
      <w:r>
        <w:rPr>
          <w:rFonts w:ascii="Times New Roman" w:hAnsi="Times New Roman" w:cs="Times New Roman"/>
        </w:rPr>
        <w:t>far</w:t>
      </w:r>
      <w:r w:rsidRPr="00537498">
        <w:rPr>
          <w:rFonts w:ascii="Times New Roman" w:hAnsi="Times New Roman" w:cs="Times New Roman"/>
        </w:rPr>
        <w:t xml:space="preserve"> more likely to check </w:t>
      </w:r>
      <w:r w:rsidR="00FD0AE3">
        <w:rPr>
          <w:rFonts w:ascii="Times New Roman" w:hAnsi="Times New Roman" w:cs="Times New Roman"/>
        </w:rPr>
        <w:t xml:space="preserve">the </w:t>
      </w:r>
      <w:r w:rsidRPr="00537498">
        <w:rPr>
          <w:rFonts w:ascii="Times New Roman" w:hAnsi="Times New Roman" w:cs="Times New Roman"/>
        </w:rPr>
        <w:t xml:space="preserve">“primarily business debts” </w:t>
      </w:r>
      <w:r w:rsidR="00FD0AE3">
        <w:rPr>
          <w:rFonts w:ascii="Times New Roman" w:hAnsi="Times New Roman" w:cs="Times New Roman"/>
        </w:rPr>
        <w:t xml:space="preserve">box on the petition </w:t>
      </w:r>
      <w:r w:rsidRPr="00537498">
        <w:rPr>
          <w:rFonts w:ascii="Times New Roman" w:hAnsi="Times New Roman" w:cs="Times New Roman"/>
        </w:rPr>
        <w:t xml:space="preserve">than are </w:t>
      </w:r>
      <w:r w:rsidR="00AA091B">
        <w:rPr>
          <w:rFonts w:ascii="Times New Roman" w:hAnsi="Times New Roman" w:cs="Times New Roman"/>
        </w:rPr>
        <w:t>chapter</w:t>
      </w:r>
      <w:r w:rsidRPr="00537498">
        <w:rPr>
          <w:rFonts w:ascii="Times New Roman" w:hAnsi="Times New Roman" w:cs="Times New Roman"/>
        </w:rPr>
        <w:t xml:space="preserve"> 13 debtors. We also noted that debtors may </w:t>
      </w:r>
      <w:r w:rsidR="00FB12B0">
        <w:rPr>
          <w:rFonts w:ascii="Times New Roman" w:hAnsi="Times New Roman" w:cs="Times New Roman"/>
        </w:rPr>
        <w:t xml:space="preserve">not give much thought to whether their debts are primarily consumer or business in nature, </w:t>
      </w:r>
      <w:r w:rsidRPr="00537498">
        <w:rPr>
          <w:rFonts w:ascii="Times New Roman" w:hAnsi="Times New Roman" w:cs="Times New Roman"/>
        </w:rPr>
        <w:t xml:space="preserve">and so </w:t>
      </w:r>
      <w:r w:rsidR="00FB12B0">
        <w:rPr>
          <w:rFonts w:ascii="Times New Roman" w:hAnsi="Times New Roman" w:cs="Times New Roman"/>
        </w:rPr>
        <w:t>the PACER data results</w:t>
      </w:r>
      <w:r w:rsidRPr="00537498">
        <w:rPr>
          <w:rFonts w:ascii="Times New Roman" w:hAnsi="Times New Roman" w:cs="Times New Roman"/>
        </w:rPr>
        <w:t xml:space="preserve"> may underestimate the rate at which debtors are </w:t>
      </w:r>
      <w:r w:rsidR="00FB12B0">
        <w:rPr>
          <w:rFonts w:ascii="Times New Roman" w:hAnsi="Times New Roman" w:cs="Times New Roman"/>
        </w:rPr>
        <w:t xml:space="preserve">actually </w:t>
      </w:r>
      <w:r w:rsidRPr="00537498">
        <w:rPr>
          <w:rFonts w:ascii="Times New Roman" w:hAnsi="Times New Roman" w:cs="Times New Roman"/>
        </w:rPr>
        <w:t xml:space="preserve">engaging in “business.” </w:t>
      </w:r>
      <w:r w:rsidR="00DC40E4">
        <w:rPr>
          <w:rFonts w:ascii="Times New Roman" w:hAnsi="Times New Roman" w:cs="Times New Roman"/>
        </w:rPr>
        <w:t>T</w:t>
      </w:r>
      <w:r w:rsidRPr="00537498">
        <w:rPr>
          <w:rFonts w:ascii="Times New Roman" w:hAnsi="Times New Roman" w:cs="Times New Roman"/>
        </w:rPr>
        <w:t xml:space="preserve">hese issues </w:t>
      </w:r>
      <w:r w:rsidR="00DC40E4">
        <w:rPr>
          <w:rFonts w:ascii="Times New Roman" w:hAnsi="Times New Roman" w:cs="Times New Roman"/>
        </w:rPr>
        <w:t xml:space="preserve">also arise </w:t>
      </w:r>
      <w:r w:rsidR="00A547E7">
        <w:rPr>
          <w:rFonts w:ascii="Times New Roman" w:hAnsi="Times New Roman" w:cs="Times New Roman"/>
        </w:rPr>
        <w:t>with</w:t>
      </w:r>
      <w:r w:rsidR="00DC40E4">
        <w:rPr>
          <w:rFonts w:ascii="Times New Roman" w:hAnsi="Times New Roman" w:cs="Times New Roman"/>
        </w:rPr>
        <w:t xml:space="preserve"> </w:t>
      </w:r>
      <w:r w:rsidR="00A547E7">
        <w:rPr>
          <w:rFonts w:ascii="Times New Roman" w:hAnsi="Times New Roman" w:cs="Times New Roman"/>
        </w:rPr>
        <w:t>the</w:t>
      </w:r>
      <w:r w:rsidR="00DC40E4">
        <w:rPr>
          <w:rFonts w:ascii="Times New Roman" w:hAnsi="Times New Roman" w:cs="Times New Roman"/>
        </w:rPr>
        <w:t xml:space="preserve"> random sample data</w:t>
      </w:r>
      <w:r w:rsidRPr="00537498">
        <w:rPr>
          <w:rFonts w:ascii="Times New Roman" w:hAnsi="Times New Roman" w:cs="Times New Roman"/>
        </w:rPr>
        <w:t>.</w:t>
      </w:r>
    </w:p>
    <w:p w14:paraId="73A8A86F" w14:textId="5F8F5BD1" w:rsidR="008373AC" w:rsidRPr="00537498" w:rsidRDefault="008373AC" w:rsidP="00AF5C87">
      <w:pPr>
        <w:keepNext/>
        <w:keepLines/>
        <w:spacing w:line="480" w:lineRule="auto"/>
        <w:jc w:val="center"/>
        <w:rPr>
          <w:rFonts w:ascii="Times New Roman" w:hAnsi="Times New Roman" w:cs="Times New Roman"/>
          <w:b/>
        </w:rPr>
      </w:pPr>
      <w:r w:rsidRPr="00537498">
        <w:rPr>
          <w:rFonts w:ascii="Times New Roman" w:hAnsi="Times New Roman" w:cs="Times New Roman"/>
          <w:b/>
        </w:rPr>
        <w:t xml:space="preserve">Table </w:t>
      </w:r>
      <w:r w:rsidR="00623C1D">
        <w:rPr>
          <w:rFonts w:ascii="Times New Roman" w:hAnsi="Times New Roman" w:cs="Times New Roman"/>
          <w:b/>
        </w:rPr>
        <w:t>1</w:t>
      </w:r>
      <w:r w:rsidR="00D80370">
        <w:rPr>
          <w:rFonts w:ascii="Times New Roman" w:hAnsi="Times New Roman" w:cs="Times New Roman"/>
          <w:b/>
        </w:rPr>
        <w:t>1</w:t>
      </w:r>
      <w:r>
        <w:rPr>
          <w:rFonts w:ascii="Times New Roman" w:hAnsi="Times New Roman" w:cs="Times New Roman"/>
          <w:b/>
        </w:rPr>
        <w:t>: Engaged in Business</w:t>
      </w:r>
    </w:p>
    <w:tbl>
      <w:tblPr>
        <w:tblStyle w:val="TableGrid"/>
        <w:tblW w:w="8388" w:type="dxa"/>
        <w:tblLayout w:type="fixed"/>
        <w:tblLook w:val="04A0" w:firstRow="1" w:lastRow="0" w:firstColumn="1" w:lastColumn="0" w:noHBand="0" w:noVBand="1"/>
      </w:tblPr>
      <w:tblGrid>
        <w:gridCol w:w="1356"/>
        <w:gridCol w:w="1074"/>
        <w:gridCol w:w="1458"/>
        <w:gridCol w:w="1080"/>
        <w:gridCol w:w="1080"/>
        <w:gridCol w:w="1080"/>
        <w:gridCol w:w="1260"/>
      </w:tblGrid>
      <w:tr w:rsidR="008373AC" w:rsidRPr="00537498" w14:paraId="3A7007B6" w14:textId="77777777" w:rsidTr="00741D07">
        <w:trPr>
          <w:trHeight w:val="300"/>
        </w:trPr>
        <w:tc>
          <w:tcPr>
            <w:tcW w:w="1356" w:type="dxa"/>
            <w:tcBorders>
              <w:bottom w:val="single" w:sz="18" w:space="0" w:color="auto"/>
              <w:right w:val="single" w:sz="18" w:space="0" w:color="auto"/>
            </w:tcBorders>
            <w:noWrap/>
            <w:hideMark/>
          </w:tcPr>
          <w:p w14:paraId="2852AC7A" w14:textId="77777777" w:rsidR="008373AC" w:rsidRPr="00B026E4" w:rsidRDefault="008373AC" w:rsidP="00AF5C87">
            <w:pPr>
              <w:keepNext/>
              <w:keepLines/>
              <w:rPr>
                <w:rFonts w:ascii="Times New Roman" w:eastAsia="Times New Roman" w:hAnsi="Times New Roman" w:cs="Times New Roman"/>
                <w:color w:val="000000"/>
              </w:rPr>
            </w:pPr>
          </w:p>
        </w:tc>
        <w:tc>
          <w:tcPr>
            <w:tcW w:w="2532" w:type="dxa"/>
            <w:gridSpan w:val="2"/>
            <w:tcBorders>
              <w:left w:val="single" w:sz="18" w:space="0" w:color="auto"/>
              <w:bottom w:val="single" w:sz="18" w:space="0" w:color="auto"/>
              <w:right w:val="single" w:sz="18" w:space="0" w:color="auto"/>
            </w:tcBorders>
            <w:noWrap/>
            <w:hideMark/>
          </w:tcPr>
          <w:p w14:paraId="62FA4A84" w14:textId="77777777" w:rsidR="00CB4B22" w:rsidRDefault="00CB4B22" w:rsidP="00AF5C87">
            <w:pPr>
              <w:keepNext/>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p w14:paraId="06AF8B6E" w14:textId="77777777" w:rsidR="008373AC" w:rsidRPr="00B026E4" w:rsidRDefault="008373AC" w:rsidP="00AF5C87">
            <w:pPr>
              <w:keepNext/>
              <w:keepLines/>
              <w:jc w:val="center"/>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b/>
                <w:bCs/>
                <w:color w:val="000000"/>
              </w:rPr>
              <w:t>Primarily Business Debts</w:t>
            </w:r>
          </w:p>
        </w:tc>
        <w:tc>
          <w:tcPr>
            <w:tcW w:w="2160" w:type="dxa"/>
            <w:gridSpan w:val="2"/>
            <w:tcBorders>
              <w:left w:val="single" w:sz="18" w:space="0" w:color="auto"/>
              <w:bottom w:val="single" w:sz="18" w:space="0" w:color="auto"/>
              <w:right w:val="single" w:sz="18" w:space="0" w:color="auto"/>
            </w:tcBorders>
            <w:noWrap/>
            <w:hideMark/>
          </w:tcPr>
          <w:p w14:paraId="03459218" w14:textId="77777777" w:rsidR="00CB4B22" w:rsidRDefault="00CB4B22" w:rsidP="00AF5C87">
            <w:pPr>
              <w:keepNext/>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(B)</w:t>
            </w:r>
          </w:p>
          <w:p w14:paraId="1784BCE7" w14:textId="77777777" w:rsidR="008373AC" w:rsidRPr="00D913C8" w:rsidRDefault="008373AC" w:rsidP="00AF5C87">
            <w:pPr>
              <w:keepNext/>
              <w:keepLines/>
              <w:jc w:val="center"/>
              <w:rPr>
                <w:rFonts w:ascii="Times New Roman" w:eastAsia="Times New Roman" w:hAnsi="Times New Roman" w:cs="Times New Roman"/>
                <w:b/>
                <w:bCs/>
                <w:color w:val="000000"/>
                <w:sz w:val="26"/>
                <w:szCs w:val="26"/>
              </w:rPr>
            </w:pPr>
            <w:r w:rsidRPr="00D913C8">
              <w:rPr>
                <w:rFonts w:ascii="Times New Roman" w:eastAsia="Times New Roman" w:hAnsi="Times New Roman" w:cs="Times New Roman"/>
                <w:b/>
                <w:bCs/>
                <w:color w:val="000000"/>
              </w:rPr>
              <w:t>Business1</w:t>
            </w:r>
          </w:p>
        </w:tc>
        <w:tc>
          <w:tcPr>
            <w:tcW w:w="2340" w:type="dxa"/>
            <w:gridSpan w:val="2"/>
            <w:tcBorders>
              <w:left w:val="single" w:sz="18" w:space="0" w:color="auto"/>
              <w:bottom w:val="single" w:sz="18" w:space="0" w:color="auto"/>
            </w:tcBorders>
            <w:noWrap/>
            <w:hideMark/>
          </w:tcPr>
          <w:p w14:paraId="20ECD7CC" w14:textId="77777777" w:rsidR="00CB4B22" w:rsidRDefault="00CB4B22" w:rsidP="00AF5C87">
            <w:pPr>
              <w:keepNext/>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w:t>
            </w:r>
          </w:p>
          <w:p w14:paraId="5A4F9766" w14:textId="391F6B73" w:rsidR="008373AC" w:rsidRPr="004F4A87" w:rsidRDefault="008373AC" w:rsidP="00AF5C87">
            <w:pPr>
              <w:keepNext/>
              <w:keepLines/>
              <w:jc w:val="center"/>
              <w:rPr>
                <w:rFonts w:ascii="Times New Roman" w:eastAsia="Times New Roman" w:hAnsi="Times New Roman" w:cs="Times New Roman"/>
                <w:b/>
                <w:bCs/>
                <w:color w:val="000000"/>
                <w:sz w:val="26"/>
                <w:szCs w:val="26"/>
              </w:rPr>
            </w:pPr>
            <w:r w:rsidRPr="004F4A87">
              <w:rPr>
                <w:rFonts w:ascii="Times New Roman" w:eastAsia="Times New Roman" w:hAnsi="Times New Roman" w:cs="Times New Roman"/>
                <w:b/>
                <w:bCs/>
                <w:color w:val="000000"/>
              </w:rPr>
              <w:t>Business2</w:t>
            </w:r>
          </w:p>
        </w:tc>
      </w:tr>
      <w:tr w:rsidR="008373AC" w:rsidRPr="00537498" w14:paraId="12228AB9" w14:textId="77777777" w:rsidTr="00741D07">
        <w:trPr>
          <w:trHeight w:val="300"/>
        </w:trPr>
        <w:tc>
          <w:tcPr>
            <w:tcW w:w="1356" w:type="dxa"/>
            <w:tcBorders>
              <w:top w:val="single" w:sz="18" w:space="0" w:color="auto"/>
              <w:right w:val="single" w:sz="18" w:space="0" w:color="auto"/>
            </w:tcBorders>
            <w:noWrap/>
            <w:hideMark/>
          </w:tcPr>
          <w:p w14:paraId="76E49AEB" w14:textId="1F02584B" w:rsidR="008373AC" w:rsidRPr="00B026E4" w:rsidRDefault="008373AC" w:rsidP="00AF5C87">
            <w:pPr>
              <w:keepNext/>
              <w:keepLines/>
              <w:rPr>
                <w:rFonts w:ascii="Times New Roman" w:eastAsia="Times New Roman" w:hAnsi="Times New Roman" w:cs="Times New Roman"/>
                <w:color w:val="000000"/>
              </w:rPr>
            </w:pPr>
          </w:p>
        </w:tc>
        <w:tc>
          <w:tcPr>
            <w:tcW w:w="1074" w:type="dxa"/>
            <w:tcBorders>
              <w:top w:val="single" w:sz="18" w:space="0" w:color="auto"/>
              <w:left w:val="single" w:sz="18" w:space="0" w:color="auto"/>
            </w:tcBorders>
            <w:noWrap/>
            <w:hideMark/>
          </w:tcPr>
          <w:p w14:paraId="3B18265A" w14:textId="77777777" w:rsidR="008373AC" w:rsidRPr="00B026E4" w:rsidRDefault="008373AC" w:rsidP="00AF5C87">
            <w:pPr>
              <w:keepNext/>
              <w:keepLines/>
              <w:jc w:val="center"/>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b/>
                <w:bCs/>
                <w:color w:val="000000"/>
              </w:rPr>
              <w:t>2010</w:t>
            </w:r>
          </w:p>
        </w:tc>
        <w:tc>
          <w:tcPr>
            <w:tcW w:w="1458" w:type="dxa"/>
            <w:tcBorders>
              <w:top w:val="single" w:sz="18" w:space="0" w:color="auto"/>
              <w:right w:val="single" w:sz="18" w:space="0" w:color="auto"/>
            </w:tcBorders>
            <w:noWrap/>
            <w:hideMark/>
          </w:tcPr>
          <w:p w14:paraId="288423A3" w14:textId="77777777" w:rsidR="008373AC" w:rsidRPr="00B026E4" w:rsidRDefault="008373AC" w:rsidP="00AF5C87">
            <w:pPr>
              <w:keepNext/>
              <w:keepLines/>
              <w:jc w:val="center"/>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b/>
                <w:bCs/>
                <w:color w:val="000000"/>
              </w:rPr>
              <w:t>2013</w:t>
            </w:r>
          </w:p>
        </w:tc>
        <w:tc>
          <w:tcPr>
            <w:tcW w:w="1080" w:type="dxa"/>
            <w:tcBorders>
              <w:top w:val="single" w:sz="18" w:space="0" w:color="auto"/>
              <w:left w:val="single" w:sz="18" w:space="0" w:color="auto"/>
            </w:tcBorders>
            <w:noWrap/>
            <w:hideMark/>
          </w:tcPr>
          <w:p w14:paraId="7057EEFE" w14:textId="77777777" w:rsidR="008373AC" w:rsidRPr="00D913C8" w:rsidRDefault="008373AC" w:rsidP="00AF5C87">
            <w:pPr>
              <w:keepNext/>
              <w:keepLines/>
              <w:jc w:val="center"/>
              <w:rPr>
                <w:rFonts w:ascii="Times New Roman" w:eastAsia="Times New Roman" w:hAnsi="Times New Roman" w:cs="Times New Roman"/>
                <w:b/>
                <w:bCs/>
                <w:color w:val="000000"/>
                <w:sz w:val="26"/>
                <w:szCs w:val="26"/>
              </w:rPr>
            </w:pPr>
            <w:r w:rsidRPr="00D913C8">
              <w:rPr>
                <w:rFonts w:ascii="Times New Roman" w:eastAsia="Times New Roman" w:hAnsi="Times New Roman" w:cs="Times New Roman"/>
                <w:b/>
                <w:bCs/>
                <w:color w:val="000000"/>
              </w:rPr>
              <w:t>2010</w:t>
            </w:r>
          </w:p>
        </w:tc>
        <w:tc>
          <w:tcPr>
            <w:tcW w:w="1080" w:type="dxa"/>
            <w:tcBorders>
              <w:top w:val="single" w:sz="18" w:space="0" w:color="auto"/>
              <w:right w:val="single" w:sz="18" w:space="0" w:color="auto"/>
            </w:tcBorders>
            <w:noWrap/>
            <w:hideMark/>
          </w:tcPr>
          <w:p w14:paraId="78786AC0" w14:textId="77777777" w:rsidR="008373AC" w:rsidRPr="00D913C8" w:rsidRDefault="008373AC" w:rsidP="00AF5C87">
            <w:pPr>
              <w:keepNext/>
              <w:keepLines/>
              <w:jc w:val="center"/>
              <w:rPr>
                <w:rFonts w:ascii="Times New Roman" w:eastAsia="Times New Roman" w:hAnsi="Times New Roman" w:cs="Times New Roman"/>
                <w:b/>
                <w:bCs/>
                <w:color w:val="000000"/>
                <w:sz w:val="26"/>
                <w:szCs w:val="26"/>
              </w:rPr>
            </w:pPr>
            <w:r w:rsidRPr="00D913C8">
              <w:rPr>
                <w:rFonts w:ascii="Times New Roman" w:eastAsia="Times New Roman" w:hAnsi="Times New Roman" w:cs="Times New Roman"/>
                <w:b/>
                <w:bCs/>
                <w:color w:val="000000"/>
              </w:rPr>
              <w:t>2013</w:t>
            </w:r>
          </w:p>
        </w:tc>
        <w:tc>
          <w:tcPr>
            <w:tcW w:w="1080" w:type="dxa"/>
            <w:tcBorders>
              <w:top w:val="single" w:sz="18" w:space="0" w:color="auto"/>
              <w:left w:val="single" w:sz="18" w:space="0" w:color="auto"/>
            </w:tcBorders>
            <w:noWrap/>
            <w:hideMark/>
          </w:tcPr>
          <w:p w14:paraId="3EA437EB" w14:textId="77777777" w:rsidR="008373AC" w:rsidRPr="004F4A87" w:rsidRDefault="008373AC" w:rsidP="00AF5C87">
            <w:pPr>
              <w:keepNext/>
              <w:keepLines/>
              <w:jc w:val="center"/>
              <w:rPr>
                <w:rFonts w:ascii="Times New Roman" w:eastAsia="Times New Roman" w:hAnsi="Times New Roman" w:cs="Times New Roman"/>
                <w:b/>
                <w:bCs/>
                <w:color w:val="000000"/>
                <w:sz w:val="26"/>
                <w:szCs w:val="26"/>
              </w:rPr>
            </w:pPr>
            <w:r w:rsidRPr="004F4A87">
              <w:rPr>
                <w:rFonts w:ascii="Times New Roman" w:eastAsia="Times New Roman" w:hAnsi="Times New Roman" w:cs="Times New Roman"/>
                <w:b/>
                <w:bCs/>
                <w:color w:val="000000"/>
              </w:rPr>
              <w:t>2010</w:t>
            </w:r>
          </w:p>
        </w:tc>
        <w:tc>
          <w:tcPr>
            <w:tcW w:w="1260" w:type="dxa"/>
            <w:tcBorders>
              <w:top w:val="single" w:sz="18" w:space="0" w:color="auto"/>
            </w:tcBorders>
            <w:noWrap/>
            <w:hideMark/>
          </w:tcPr>
          <w:p w14:paraId="3D020910" w14:textId="77777777" w:rsidR="008373AC" w:rsidRPr="00F176E6" w:rsidRDefault="008373AC" w:rsidP="00AF5C87">
            <w:pPr>
              <w:keepNext/>
              <w:keepLines/>
              <w:jc w:val="center"/>
              <w:rPr>
                <w:rFonts w:ascii="Times New Roman" w:eastAsia="Times New Roman" w:hAnsi="Times New Roman" w:cs="Times New Roman"/>
                <w:b/>
                <w:bCs/>
                <w:color w:val="000000"/>
                <w:sz w:val="26"/>
                <w:szCs w:val="26"/>
              </w:rPr>
            </w:pPr>
            <w:r w:rsidRPr="00F176E6">
              <w:rPr>
                <w:rFonts w:ascii="Times New Roman" w:eastAsia="Times New Roman" w:hAnsi="Times New Roman" w:cs="Times New Roman"/>
                <w:b/>
                <w:bCs/>
                <w:color w:val="000000"/>
              </w:rPr>
              <w:t>2013</w:t>
            </w:r>
          </w:p>
        </w:tc>
      </w:tr>
      <w:tr w:rsidR="008373AC" w:rsidRPr="00537498" w14:paraId="706A18E9" w14:textId="77777777" w:rsidTr="00741D07">
        <w:trPr>
          <w:trHeight w:val="300"/>
        </w:trPr>
        <w:tc>
          <w:tcPr>
            <w:tcW w:w="1356" w:type="dxa"/>
            <w:tcBorders>
              <w:right w:val="single" w:sz="18" w:space="0" w:color="auto"/>
            </w:tcBorders>
            <w:noWrap/>
            <w:hideMark/>
          </w:tcPr>
          <w:p w14:paraId="5230A1DD" w14:textId="77777777" w:rsidR="008373AC" w:rsidRPr="00B026E4" w:rsidRDefault="008373AC" w:rsidP="00AF5C87">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Yes</w:t>
            </w:r>
          </w:p>
        </w:tc>
        <w:tc>
          <w:tcPr>
            <w:tcW w:w="1074" w:type="dxa"/>
            <w:tcBorders>
              <w:left w:val="single" w:sz="18" w:space="0" w:color="auto"/>
            </w:tcBorders>
            <w:noWrap/>
            <w:hideMark/>
          </w:tcPr>
          <w:p w14:paraId="2EBE8024" w14:textId="77777777" w:rsidR="008373AC" w:rsidRPr="00B026E4" w:rsidRDefault="008373AC" w:rsidP="00AF5C87">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45.9%</w:t>
            </w:r>
          </w:p>
        </w:tc>
        <w:tc>
          <w:tcPr>
            <w:tcW w:w="1458" w:type="dxa"/>
            <w:tcBorders>
              <w:right w:val="single" w:sz="18" w:space="0" w:color="auto"/>
            </w:tcBorders>
            <w:noWrap/>
            <w:hideMark/>
          </w:tcPr>
          <w:p w14:paraId="5D46AB49" w14:textId="77777777" w:rsidR="008373AC" w:rsidRPr="00B026E4" w:rsidRDefault="008373AC" w:rsidP="00AF5C87">
            <w:pPr>
              <w:keepNext/>
              <w:keepLines/>
              <w:jc w:val="right"/>
              <w:rPr>
                <w:rFonts w:ascii="Times New Roman" w:eastAsia="Times New Roman" w:hAnsi="Times New Roman" w:cs="Times New Roman"/>
                <w:b/>
                <w:bCs/>
                <w:color w:val="000000"/>
              </w:rPr>
            </w:pPr>
            <w:r w:rsidRPr="00B026E4">
              <w:rPr>
                <w:rFonts w:ascii="Times New Roman" w:eastAsia="Times New Roman" w:hAnsi="Times New Roman" w:cs="Times New Roman"/>
                <w:color w:val="000000"/>
              </w:rPr>
              <w:t>43.0%</w:t>
            </w:r>
          </w:p>
        </w:tc>
        <w:tc>
          <w:tcPr>
            <w:tcW w:w="1080" w:type="dxa"/>
            <w:tcBorders>
              <w:left w:val="single" w:sz="18" w:space="0" w:color="auto"/>
            </w:tcBorders>
            <w:noWrap/>
            <w:hideMark/>
          </w:tcPr>
          <w:p w14:paraId="7B25F0EC" w14:textId="448851D5" w:rsidR="008373AC" w:rsidRPr="00D913C8" w:rsidRDefault="00D913C8" w:rsidP="00AF5C87">
            <w:pPr>
              <w:keepNext/>
              <w:keepLines/>
              <w:jc w:val="right"/>
              <w:rPr>
                <w:rFonts w:ascii="Times New Roman" w:eastAsia="Times New Roman" w:hAnsi="Times New Roman" w:cs="Times New Roman"/>
                <w:b/>
                <w:bCs/>
                <w:color w:val="000000"/>
                <w:sz w:val="26"/>
                <w:szCs w:val="26"/>
              </w:rPr>
            </w:pPr>
            <w:r w:rsidRPr="00FB12B0">
              <w:rPr>
                <w:rFonts w:ascii="Times New Roman" w:eastAsia="Times New Roman" w:hAnsi="Times New Roman" w:cs="Times New Roman"/>
                <w:color w:val="000000"/>
              </w:rPr>
              <w:t>80</w:t>
            </w:r>
            <w:r w:rsidR="008373AC" w:rsidRPr="00D913C8">
              <w:rPr>
                <w:rFonts w:ascii="Times New Roman" w:eastAsia="Times New Roman" w:hAnsi="Times New Roman" w:cs="Times New Roman"/>
                <w:color w:val="000000"/>
              </w:rPr>
              <w:t>.7%</w:t>
            </w:r>
          </w:p>
        </w:tc>
        <w:tc>
          <w:tcPr>
            <w:tcW w:w="1080" w:type="dxa"/>
            <w:tcBorders>
              <w:right w:val="single" w:sz="18" w:space="0" w:color="auto"/>
            </w:tcBorders>
            <w:noWrap/>
            <w:hideMark/>
          </w:tcPr>
          <w:p w14:paraId="79989307" w14:textId="026854A4" w:rsidR="008373AC" w:rsidRPr="00D913C8" w:rsidRDefault="008373AC" w:rsidP="00AF5C87">
            <w:pPr>
              <w:keepNext/>
              <w:keepLines/>
              <w:jc w:val="right"/>
              <w:rPr>
                <w:rFonts w:ascii="Times New Roman" w:eastAsia="Times New Roman" w:hAnsi="Times New Roman" w:cs="Times New Roman"/>
                <w:b/>
                <w:bCs/>
                <w:color w:val="000000"/>
                <w:sz w:val="26"/>
                <w:szCs w:val="26"/>
              </w:rPr>
            </w:pPr>
            <w:r w:rsidRPr="00D913C8">
              <w:rPr>
                <w:rFonts w:ascii="Times New Roman" w:eastAsia="Times New Roman" w:hAnsi="Times New Roman" w:cs="Times New Roman"/>
                <w:color w:val="000000"/>
              </w:rPr>
              <w:t>8</w:t>
            </w:r>
            <w:r w:rsidR="00D913C8" w:rsidRPr="00FB12B0">
              <w:rPr>
                <w:rFonts w:ascii="Times New Roman" w:eastAsia="Times New Roman" w:hAnsi="Times New Roman" w:cs="Times New Roman"/>
                <w:color w:val="000000"/>
              </w:rPr>
              <w:t>6</w:t>
            </w:r>
            <w:r w:rsidRPr="00D913C8">
              <w:rPr>
                <w:rFonts w:ascii="Times New Roman" w:eastAsia="Times New Roman" w:hAnsi="Times New Roman" w:cs="Times New Roman"/>
                <w:color w:val="000000"/>
              </w:rPr>
              <w:t>.</w:t>
            </w:r>
            <w:r w:rsidR="00D913C8" w:rsidRPr="00FB12B0">
              <w:rPr>
                <w:rFonts w:ascii="Times New Roman" w:eastAsia="Times New Roman" w:hAnsi="Times New Roman" w:cs="Times New Roman"/>
                <w:color w:val="000000"/>
              </w:rPr>
              <w:t>8</w:t>
            </w:r>
            <w:r w:rsidRPr="00D913C8">
              <w:rPr>
                <w:rFonts w:ascii="Times New Roman" w:eastAsia="Times New Roman" w:hAnsi="Times New Roman" w:cs="Times New Roman"/>
                <w:color w:val="000000"/>
              </w:rPr>
              <w:t>%</w:t>
            </w:r>
          </w:p>
        </w:tc>
        <w:tc>
          <w:tcPr>
            <w:tcW w:w="1080" w:type="dxa"/>
            <w:tcBorders>
              <w:left w:val="single" w:sz="18" w:space="0" w:color="auto"/>
            </w:tcBorders>
            <w:noWrap/>
            <w:hideMark/>
          </w:tcPr>
          <w:p w14:paraId="6D4D7923" w14:textId="1365888B" w:rsidR="008373AC" w:rsidRPr="00D913C8" w:rsidRDefault="008373AC" w:rsidP="00AF5C87">
            <w:pPr>
              <w:keepNext/>
              <w:keepLines/>
              <w:jc w:val="right"/>
              <w:rPr>
                <w:rFonts w:ascii="Times New Roman" w:eastAsia="Times New Roman" w:hAnsi="Times New Roman" w:cs="Times New Roman"/>
                <w:b/>
                <w:bCs/>
                <w:color w:val="000000"/>
                <w:sz w:val="26"/>
                <w:szCs w:val="26"/>
              </w:rPr>
            </w:pPr>
            <w:r w:rsidRPr="00D913C8">
              <w:rPr>
                <w:rFonts w:ascii="Times New Roman" w:eastAsia="Times New Roman" w:hAnsi="Times New Roman" w:cs="Times New Roman"/>
                <w:color w:val="000000"/>
              </w:rPr>
              <w:t>8</w:t>
            </w:r>
            <w:r w:rsidR="00D913C8" w:rsidRPr="00FB12B0">
              <w:rPr>
                <w:rFonts w:ascii="Times New Roman" w:eastAsia="Times New Roman" w:hAnsi="Times New Roman" w:cs="Times New Roman"/>
                <w:color w:val="000000"/>
              </w:rPr>
              <w:t>6</w:t>
            </w:r>
            <w:r w:rsidRPr="00D913C8">
              <w:rPr>
                <w:rFonts w:ascii="Times New Roman" w:eastAsia="Times New Roman" w:hAnsi="Times New Roman" w:cs="Times New Roman"/>
                <w:color w:val="000000"/>
              </w:rPr>
              <w:t>.</w:t>
            </w:r>
            <w:r w:rsidR="00D913C8" w:rsidRPr="00FB12B0">
              <w:rPr>
                <w:rFonts w:ascii="Times New Roman" w:eastAsia="Times New Roman" w:hAnsi="Times New Roman" w:cs="Times New Roman"/>
                <w:color w:val="000000"/>
              </w:rPr>
              <w:t>5</w:t>
            </w:r>
            <w:r w:rsidRPr="00D913C8">
              <w:rPr>
                <w:rFonts w:ascii="Times New Roman" w:eastAsia="Times New Roman" w:hAnsi="Times New Roman" w:cs="Times New Roman"/>
                <w:color w:val="000000"/>
              </w:rPr>
              <w:t>%</w:t>
            </w:r>
          </w:p>
        </w:tc>
        <w:tc>
          <w:tcPr>
            <w:tcW w:w="1260" w:type="dxa"/>
            <w:noWrap/>
            <w:hideMark/>
          </w:tcPr>
          <w:p w14:paraId="502D2ED2" w14:textId="196FEAC9" w:rsidR="008373AC" w:rsidRPr="00D913C8" w:rsidRDefault="008373AC" w:rsidP="00AF5C87">
            <w:pPr>
              <w:keepNext/>
              <w:keepLines/>
              <w:jc w:val="right"/>
              <w:rPr>
                <w:rFonts w:ascii="Times New Roman" w:eastAsia="Times New Roman" w:hAnsi="Times New Roman" w:cs="Times New Roman"/>
                <w:b/>
                <w:bCs/>
                <w:color w:val="000000"/>
                <w:sz w:val="26"/>
                <w:szCs w:val="26"/>
              </w:rPr>
            </w:pPr>
            <w:r w:rsidRPr="00D913C8">
              <w:rPr>
                <w:rFonts w:ascii="Times New Roman" w:eastAsia="Times New Roman" w:hAnsi="Times New Roman" w:cs="Times New Roman"/>
                <w:color w:val="000000"/>
              </w:rPr>
              <w:t>9</w:t>
            </w:r>
            <w:r w:rsidR="00D913C8" w:rsidRPr="00FB12B0">
              <w:rPr>
                <w:rFonts w:ascii="Times New Roman" w:eastAsia="Times New Roman" w:hAnsi="Times New Roman" w:cs="Times New Roman"/>
                <w:color w:val="000000"/>
              </w:rPr>
              <w:t>2</w:t>
            </w:r>
            <w:r w:rsidRPr="00D913C8">
              <w:rPr>
                <w:rFonts w:ascii="Times New Roman" w:eastAsia="Times New Roman" w:hAnsi="Times New Roman" w:cs="Times New Roman"/>
                <w:color w:val="000000"/>
              </w:rPr>
              <w:t>.</w:t>
            </w:r>
            <w:r w:rsidR="00D913C8" w:rsidRPr="00FB12B0">
              <w:rPr>
                <w:rFonts w:ascii="Times New Roman" w:eastAsia="Times New Roman" w:hAnsi="Times New Roman" w:cs="Times New Roman"/>
                <w:color w:val="000000"/>
              </w:rPr>
              <w:t>1</w:t>
            </w:r>
            <w:r w:rsidRPr="00D913C8">
              <w:rPr>
                <w:rFonts w:ascii="Times New Roman" w:eastAsia="Times New Roman" w:hAnsi="Times New Roman" w:cs="Times New Roman"/>
                <w:color w:val="000000"/>
              </w:rPr>
              <w:t>%</w:t>
            </w:r>
          </w:p>
        </w:tc>
      </w:tr>
      <w:tr w:rsidR="008373AC" w:rsidRPr="00537498" w14:paraId="1996957A" w14:textId="77777777" w:rsidTr="00741D07">
        <w:trPr>
          <w:trHeight w:val="300"/>
        </w:trPr>
        <w:tc>
          <w:tcPr>
            <w:tcW w:w="1356" w:type="dxa"/>
            <w:tcBorders>
              <w:right w:val="single" w:sz="18" w:space="0" w:color="auto"/>
            </w:tcBorders>
            <w:noWrap/>
            <w:hideMark/>
          </w:tcPr>
          <w:p w14:paraId="314A8EB1" w14:textId="77777777" w:rsidR="008373AC" w:rsidRPr="00B026E4" w:rsidRDefault="008373AC" w:rsidP="00AF5C87">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No</w:t>
            </w:r>
          </w:p>
        </w:tc>
        <w:tc>
          <w:tcPr>
            <w:tcW w:w="1074" w:type="dxa"/>
            <w:tcBorders>
              <w:left w:val="single" w:sz="18" w:space="0" w:color="auto"/>
            </w:tcBorders>
            <w:noWrap/>
            <w:hideMark/>
          </w:tcPr>
          <w:p w14:paraId="1450F372" w14:textId="77777777" w:rsidR="008373AC" w:rsidRPr="00B026E4" w:rsidRDefault="008373AC" w:rsidP="00AF5C87">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53.2%</w:t>
            </w:r>
          </w:p>
        </w:tc>
        <w:tc>
          <w:tcPr>
            <w:tcW w:w="1458" w:type="dxa"/>
            <w:tcBorders>
              <w:right w:val="single" w:sz="18" w:space="0" w:color="auto"/>
            </w:tcBorders>
            <w:noWrap/>
            <w:hideMark/>
          </w:tcPr>
          <w:p w14:paraId="00981969" w14:textId="77777777" w:rsidR="008373AC" w:rsidRPr="00B026E4" w:rsidRDefault="008373AC" w:rsidP="00AF5C87">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56.1%</w:t>
            </w:r>
          </w:p>
        </w:tc>
        <w:tc>
          <w:tcPr>
            <w:tcW w:w="1080" w:type="dxa"/>
            <w:tcBorders>
              <w:left w:val="single" w:sz="18" w:space="0" w:color="auto"/>
            </w:tcBorders>
            <w:noWrap/>
            <w:hideMark/>
          </w:tcPr>
          <w:p w14:paraId="66137F13" w14:textId="05BF83B0" w:rsidR="008373AC" w:rsidRPr="00D913C8" w:rsidRDefault="00D913C8" w:rsidP="00AF5C87">
            <w:pPr>
              <w:keepNext/>
              <w:keepLines/>
              <w:jc w:val="right"/>
              <w:rPr>
                <w:rFonts w:ascii="Times New Roman" w:eastAsia="Times New Roman" w:hAnsi="Times New Roman" w:cs="Times New Roman"/>
                <w:b/>
                <w:bCs/>
                <w:color w:val="000000"/>
                <w:sz w:val="26"/>
                <w:szCs w:val="26"/>
              </w:rPr>
            </w:pPr>
            <w:r w:rsidRPr="00FB12B0">
              <w:rPr>
                <w:rFonts w:ascii="Times New Roman" w:eastAsia="Times New Roman" w:hAnsi="Times New Roman" w:cs="Times New Roman"/>
                <w:color w:val="000000"/>
              </w:rPr>
              <w:t>1</w:t>
            </w:r>
            <w:r w:rsidR="008373AC" w:rsidRPr="00D913C8">
              <w:rPr>
                <w:rFonts w:ascii="Times New Roman" w:eastAsia="Times New Roman" w:hAnsi="Times New Roman" w:cs="Times New Roman"/>
                <w:color w:val="000000"/>
              </w:rPr>
              <w:t>2.</w:t>
            </w:r>
            <w:r w:rsidRPr="00FB12B0">
              <w:rPr>
                <w:rFonts w:ascii="Times New Roman" w:eastAsia="Times New Roman" w:hAnsi="Times New Roman" w:cs="Times New Roman"/>
                <w:color w:val="000000"/>
              </w:rPr>
              <w:t>8</w:t>
            </w:r>
            <w:r w:rsidR="008373AC" w:rsidRPr="00D913C8">
              <w:rPr>
                <w:rFonts w:ascii="Times New Roman" w:eastAsia="Times New Roman" w:hAnsi="Times New Roman" w:cs="Times New Roman"/>
                <w:color w:val="000000"/>
              </w:rPr>
              <w:t>%</w:t>
            </w:r>
          </w:p>
        </w:tc>
        <w:tc>
          <w:tcPr>
            <w:tcW w:w="1080" w:type="dxa"/>
            <w:tcBorders>
              <w:right w:val="single" w:sz="18" w:space="0" w:color="auto"/>
            </w:tcBorders>
            <w:noWrap/>
            <w:hideMark/>
          </w:tcPr>
          <w:p w14:paraId="14FEE302" w14:textId="6ADEE30A" w:rsidR="008373AC" w:rsidRPr="00D913C8" w:rsidRDefault="00D913C8" w:rsidP="00AF5C87">
            <w:pPr>
              <w:keepNext/>
              <w:keepLines/>
              <w:jc w:val="right"/>
              <w:rPr>
                <w:rFonts w:ascii="Times New Roman" w:eastAsia="Times New Roman" w:hAnsi="Times New Roman" w:cs="Times New Roman"/>
                <w:b/>
                <w:bCs/>
                <w:color w:val="000000"/>
                <w:sz w:val="26"/>
                <w:szCs w:val="26"/>
              </w:rPr>
            </w:pPr>
            <w:r w:rsidRPr="00FB12B0">
              <w:rPr>
                <w:rFonts w:ascii="Times New Roman" w:eastAsia="Times New Roman" w:hAnsi="Times New Roman" w:cs="Times New Roman"/>
                <w:color w:val="000000"/>
              </w:rPr>
              <w:t>8</w:t>
            </w:r>
            <w:r w:rsidR="008373AC" w:rsidRPr="00D913C8">
              <w:rPr>
                <w:rFonts w:ascii="Times New Roman" w:eastAsia="Times New Roman" w:hAnsi="Times New Roman" w:cs="Times New Roman"/>
                <w:color w:val="000000"/>
              </w:rPr>
              <w:t>.</w:t>
            </w:r>
            <w:r w:rsidRPr="00FB12B0">
              <w:rPr>
                <w:rFonts w:ascii="Times New Roman" w:eastAsia="Times New Roman" w:hAnsi="Times New Roman" w:cs="Times New Roman"/>
                <w:color w:val="000000"/>
              </w:rPr>
              <w:t>8</w:t>
            </w:r>
            <w:r w:rsidR="008373AC" w:rsidRPr="00D913C8">
              <w:rPr>
                <w:rFonts w:ascii="Times New Roman" w:eastAsia="Times New Roman" w:hAnsi="Times New Roman" w:cs="Times New Roman"/>
                <w:color w:val="000000"/>
              </w:rPr>
              <w:t>%</w:t>
            </w:r>
          </w:p>
        </w:tc>
        <w:tc>
          <w:tcPr>
            <w:tcW w:w="1080" w:type="dxa"/>
            <w:tcBorders>
              <w:left w:val="single" w:sz="18" w:space="0" w:color="auto"/>
            </w:tcBorders>
            <w:noWrap/>
            <w:hideMark/>
          </w:tcPr>
          <w:p w14:paraId="11578046" w14:textId="6BCA77B7" w:rsidR="008373AC" w:rsidRPr="00D913C8" w:rsidRDefault="00D913C8" w:rsidP="00AF5C87">
            <w:pPr>
              <w:keepNext/>
              <w:keepLines/>
              <w:jc w:val="right"/>
              <w:rPr>
                <w:rFonts w:ascii="Times New Roman" w:eastAsia="Times New Roman" w:hAnsi="Times New Roman" w:cs="Times New Roman"/>
                <w:b/>
                <w:bCs/>
                <w:color w:val="000000"/>
                <w:sz w:val="26"/>
                <w:szCs w:val="26"/>
              </w:rPr>
            </w:pPr>
            <w:r w:rsidRPr="00FB12B0">
              <w:rPr>
                <w:rFonts w:ascii="Times New Roman" w:eastAsia="Times New Roman" w:hAnsi="Times New Roman" w:cs="Times New Roman"/>
                <w:color w:val="000000"/>
              </w:rPr>
              <w:t>5.4</w:t>
            </w:r>
            <w:r w:rsidR="008373AC" w:rsidRPr="00D913C8">
              <w:rPr>
                <w:rFonts w:ascii="Times New Roman" w:eastAsia="Times New Roman" w:hAnsi="Times New Roman" w:cs="Times New Roman"/>
                <w:color w:val="000000"/>
              </w:rPr>
              <w:t>%</w:t>
            </w:r>
          </w:p>
        </w:tc>
        <w:tc>
          <w:tcPr>
            <w:tcW w:w="1260" w:type="dxa"/>
            <w:noWrap/>
            <w:hideMark/>
          </w:tcPr>
          <w:p w14:paraId="64E0A7E9" w14:textId="5DEA33BC" w:rsidR="008373AC" w:rsidRPr="00D913C8" w:rsidRDefault="00D913C8" w:rsidP="00AF5C87">
            <w:pPr>
              <w:keepNext/>
              <w:keepLines/>
              <w:jc w:val="right"/>
              <w:rPr>
                <w:rFonts w:ascii="Times New Roman" w:eastAsia="Times New Roman" w:hAnsi="Times New Roman" w:cs="Times New Roman"/>
                <w:b/>
                <w:bCs/>
                <w:color w:val="000000"/>
                <w:sz w:val="26"/>
                <w:szCs w:val="26"/>
              </w:rPr>
            </w:pPr>
            <w:r w:rsidRPr="00FB12B0">
              <w:rPr>
                <w:rFonts w:ascii="Times New Roman" w:eastAsia="Times New Roman" w:hAnsi="Times New Roman" w:cs="Times New Roman"/>
                <w:color w:val="000000"/>
              </w:rPr>
              <w:t>3</w:t>
            </w:r>
            <w:r w:rsidR="008373AC" w:rsidRPr="00D913C8">
              <w:rPr>
                <w:rFonts w:ascii="Times New Roman" w:eastAsia="Times New Roman" w:hAnsi="Times New Roman" w:cs="Times New Roman"/>
                <w:color w:val="000000"/>
              </w:rPr>
              <w:t>.</w:t>
            </w:r>
            <w:r w:rsidRPr="00FB12B0">
              <w:rPr>
                <w:rFonts w:ascii="Times New Roman" w:eastAsia="Times New Roman" w:hAnsi="Times New Roman" w:cs="Times New Roman"/>
                <w:color w:val="000000"/>
              </w:rPr>
              <w:t>5</w:t>
            </w:r>
            <w:r w:rsidR="008373AC" w:rsidRPr="00D913C8">
              <w:rPr>
                <w:rFonts w:ascii="Times New Roman" w:eastAsia="Times New Roman" w:hAnsi="Times New Roman" w:cs="Times New Roman"/>
                <w:color w:val="000000"/>
              </w:rPr>
              <w:t>%</w:t>
            </w:r>
          </w:p>
        </w:tc>
      </w:tr>
      <w:tr w:rsidR="008373AC" w:rsidRPr="00537498" w14:paraId="5CFC480F" w14:textId="77777777" w:rsidTr="00741D07">
        <w:trPr>
          <w:trHeight w:val="300"/>
        </w:trPr>
        <w:tc>
          <w:tcPr>
            <w:tcW w:w="1356" w:type="dxa"/>
            <w:tcBorders>
              <w:right w:val="single" w:sz="18" w:space="0" w:color="auto"/>
            </w:tcBorders>
            <w:noWrap/>
            <w:hideMark/>
          </w:tcPr>
          <w:p w14:paraId="40F11827" w14:textId="77777777" w:rsidR="008373AC" w:rsidRPr="00B026E4" w:rsidRDefault="008373AC" w:rsidP="00AF5C87">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Unknown</w:t>
            </w:r>
          </w:p>
        </w:tc>
        <w:tc>
          <w:tcPr>
            <w:tcW w:w="1074" w:type="dxa"/>
            <w:tcBorders>
              <w:left w:val="single" w:sz="18" w:space="0" w:color="auto"/>
            </w:tcBorders>
            <w:noWrap/>
            <w:hideMark/>
          </w:tcPr>
          <w:p w14:paraId="7C3857CC" w14:textId="77777777" w:rsidR="008373AC" w:rsidRPr="00B026E4" w:rsidRDefault="008373AC" w:rsidP="00AF5C87">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0.9%</w:t>
            </w:r>
          </w:p>
        </w:tc>
        <w:tc>
          <w:tcPr>
            <w:tcW w:w="1458" w:type="dxa"/>
            <w:tcBorders>
              <w:right w:val="single" w:sz="18" w:space="0" w:color="auto"/>
            </w:tcBorders>
            <w:noWrap/>
            <w:hideMark/>
          </w:tcPr>
          <w:p w14:paraId="188D1FD4" w14:textId="77777777" w:rsidR="008373AC" w:rsidRPr="00B026E4" w:rsidRDefault="008373AC" w:rsidP="00AF5C87">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0.9%</w:t>
            </w:r>
          </w:p>
        </w:tc>
        <w:tc>
          <w:tcPr>
            <w:tcW w:w="1080" w:type="dxa"/>
            <w:tcBorders>
              <w:left w:val="single" w:sz="18" w:space="0" w:color="auto"/>
            </w:tcBorders>
            <w:noWrap/>
            <w:hideMark/>
          </w:tcPr>
          <w:p w14:paraId="790ABF16" w14:textId="77777777" w:rsidR="008373AC" w:rsidRPr="00D913C8" w:rsidRDefault="008373AC" w:rsidP="00AF5C87">
            <w:pPr>
              <w:keepNext/>
              <w:keepLines/>
              <w:jc w:val="right"/>
              <w:rPr>
                <w:rFonts w:ascii="Times New Roman" w:eastAsia="Times New Roman" w:hAnsi="Times New Roman" w:cs="Times New Roman"/>
                <w:b/>
                <w:bCs/>
                <w:color w:val="000000"/>
                <w:sz w:val="26"/>
                <w:szCs w:val="26"/>
              </w:rPr>
            </w:pPr>
            <w:r w:rsidRPr="00D913C8">
              <w:rPr>
                <w:rFonts w:ascii="Times New Roman" w:eastAsia="Times New Roman" w:hAnsi="Times New Roman" w:cs="Times New Roman"/>
                <w:color w:val="000000"/>
              </w:rPr>
              <w:t>6.4%</w:t>
            </w:r>
          </w:p>
        </w:tc>
        <w:tc>
          <w:tcPr>
            <w:tcW w:w="1080" w:type="dxa"/>
            <w:tcBorders>
              <w:right w:val="single" w:sz="18" w:space="0" w:color="auto"/>
            </w:tcBorders>
            <w:noWrap/>
            <w:hideMark/>
          </w:tcPr>
          <w:p w14:paraId="2C519C3D" w14:textId="77777777" w:rsidR="008373AC" w:rsidRPr="00D913C8" w:rsidRDefault="008373AC" w:rsidP="00AF5C87">
            <w:pPr>
              <w:keepNext/>
              <w:keepLines/>
              <w:jc w:val="right"/>
              <w:rPr>
                <w:rFonts w:ascii="Times New Roman" w:eastAsia="Times New Roman" w:hAnsi="Times New Roman" w:cs="Times New Roman"/>
                <w:b/>
                <w:bCs/>
                <w:color w:val="000000"/>
                <w:sz w:val="26"/>
                <w:szCs w:val="26"/>
              </w:rPr>
            </w:pPr>
            <w:r w:rsidRPr="00D913C8">
              <w:rPr>
                <w:rFonts w:ascii="Times New Roman" w:eastAsia="Times New Roman" w:hAnsi="Times New Roman" w:cs="Times New Roman"/>
                <w:color w:val="000000"/>
              </w:rPr>
              <w:t>4.4%</w:t>
            </w:r>
          </w:p>
        </w:tc>
        <w:tc>
          <w:tcPr>
            <w:tcW w:w="1080" w:type="dxa"/>
            <w:tcBorders>
              <w:left w:val="single" w:sz="18" w:space="0" w:color="auto"/>
            </w:tcBorders>
            <w:noWrap/>
            <w:hideMark/>
          </w:tcPr>
          <w:p w14:paraId="51E3A3B4" w14:textId="77777777" w:rsidR="008373AC" w:rsidRPr="004F4A87" w:rsidRDefault="008373AC" w:rsidP="00AF5C87">
            <w:pPr>
              <w:keepNext/>
              <w:keepLines/>
              <w:jc w:val="right"/>
              <w:rPr>
                <w:rFonts w:ascii="Times New Roman" w:eastAsia="Times New Roman" w:hAnsi="Times New Roman" w:cs="Times New Roman"/>
                <w:b/>
                <w:bCs/>
                <w:color w:val="000000"/>
                <w:sz w:val="26"/>
                <w:szCs w:val="26"/>
              </w:rPr>
            </w:pPr>
            <w:r w:rsidRPr="004F4A87">
              <w:rPr>
                <w:rFonts w:ascii="Times New Roman" w:eastAsia="Times New Roman" w:hAnsi="Times New Roman" w:cs="Times New Roman"/>
                <w:color w:val="000000"/>
              </w:rPr>
              <w:t>6.3%</w:t>
            </w:r>
          </w:p>
        </w:tc>
        <w:tc>
          <w:tcPr>
            <w:tcW w:w="1260" w:type="dxa"/>
            <w:noWrap/>
            <w:hideMark/>
          </w:tcPr>
          <w:p w14:paraId="250C1E8A" w14:textId="77777777" w:rsidR="008373AC" w:rsidRPr="00F176E6" w:rsidRDefault="008373AC" w:rsidP="00AF5C87">
            <w:pPr>
              <w:keepNext/>
              <w:keepLines/>
              <w:jc w:val="right"/>
              <w:rPr>
                <w:rFonts w:ascii="Times New Roman" w:eastAsia="Times New Roman" w:hAnsi="Times New Roman" w:cs="Times New Roman"/>
                <w:b/>
                <w:bCs/>
                <w:color w:val="000000"/>
                <w:sz w:val="26"/>
                <w:szCs w:val="26"/>
              </w:rPr>
            </w:pPr>
            <w:r w:rsidRPr="00F176E6">
              <w:rPr>
                <w:rFonts w:ascii="Times New Roman" w:eastAsia="Times New Roman" w:hAnsi="Times New Roman" w:cs="Times New Roman"/>
                <w:color w:val="000000"/>
              </w:rPr>
              <w:t>4.4%</w:t>
            </w:r>
          </w:p>
        </w:tc>
      </w:tr>
    </w:tbl>
    <w:p w14:paraId="0F3CD559" w14:textId="77777777" w:rsidR="00345A91" w:rsidRPr="00537498" w:rsidRDefault="00345A91" w:rsidP="008373AC">
      <w:pPr>
        <w:spacing w:line="480" w:lineRule="auto"/>
        <w:rPr>
          <w:rFonts w:ascii="Times New Roman" w:hAnsi="Times New Roman" w:cs="Times New Roman"/>
        </w:rPr>
      </w:pPr>
    </w:p>
    <w:p w14:paraId="0B059463" w14:textId="6F4829F6" w:rsidR="00CB4B22" w:rsidRDefault="008373AC" w:rsidP="004F4A87">
      <w:pPr>
        <w:spacing w:line="480" w:lineRule="auto"/>
        <w:ind w:firstLine="720"/>
        <w:rPr>
          <w:rFonts w:ascii="Times New Roman" w:hAnsi="Times New Roman" w:cs="Times New Roman"/>
        </w:rPr>
      </w:pPr>
      <w:r w:rsidRPr="00537498">
        <w:rPr>
          <w:rFonts w:ascii="Times New Roman" w:hAnsi="Times New Roman" w:cs="Times New Roman"/>
        </w:rPr>
        <w:t xml:space="preserve">Table </w:t>
      </w:r>
      <w:r>
        <w:rPr>
          <w:rFonts w:ascii="Times New Roman" w:hAnsi="Times New Roman" w:cs="Times New Roman"/>
        </w:rPr>
        <w:t>1</w:t>
      </w:r>
      <w:r w:rsidR="00D80370">
        <w:rPr>
          <w:rFonts w:ascii="Times New Roman" w:hAnsi="Times New Roman" w:cs="Times New Roman"/>
        </w:rPr>
        <w:t>1</w:t>
      </w:r>
      <w:r w:rsidRPr="00537498">
        <w:rPr>
          <w:rFonts w:ascii="Times New Roman" w:hAnsi="Times New Roman" w:cs="Times New Roman"/>
        </w:rPr>
        <w:t xml:space="preserve"> demonstrates that the rate at which our </w:t>
      </w:r>
      <w:r w:rsidR="00676294">
        <w:rPr>
          <w:rFonts w:ascii="Times New Roman" w:hAnsi="Times New Roman" w:cs="Times New Roman"/>
        </w:rPr>
        <w:t xml:space="preserve">random </w:t>
      </w:r>
      <w:r w:rsidRPr="00537498">
        <w:rPr>
          <w:rFonts w:ascii="Times New Roman" w:hAnsi="Times New Roman" w:cs="Times New Roman"/>
        </w:rPr>
        <w:t xml:space="preserve">sample debtors checked </w:t>
      </w:r>
      <w:r w:rsidR="00FB12B0">
        <w:rPr>
          <w:rFonts w:ascii="Times New Roman" w:hAnsi="Times New Roman" w:cs="Times New Roman"/>
        </w:rPr>
        <w:t xml:space="preserve">the </w:t>
      </w:r>
      <w:r w:rsidRPr="00537498">
        <w:rPr>
          <w:rFonts w:ascii="Times New Roman" w:hAnsi="Times New Roman" w:cs="Times New Roman"/>
        </w:rPr>
        <w:t xml:space="preserve">“primarily business debts” </w:t>
      </w:r>
      <w:r w:rsidR="00FB12B0">
        <w:rPr>
          <w:rFonts w:ascii="Times New Roman" w:hAnsi="Times New Roman" w:cs="Times New Roman"/>
        </w:rPr>
        <w:t xml:space="preserve">box on the petition </w:t>
      </w:r>
      <w:r w:rsidRPr="00537498">
        <w:rPr>
          <w:rFonts w:ascii="Times New Roman" w:hAnsi="Times New Roman" w:cs="Times New Roman"/>
        </w:rPr>
        <w:t xml:space="preserve">is similar to the rate </w:t>
      </w:r>
      <w:r w:rsidR="00A547E7">
        <w:rPr>
          <w:rFonts w:ascii="Times New Roman" w:hAnsi="Times New Roman" w:cs="Times New Roman"/>
        </w:rPr>
        <w:t xml:space="preserve">found in the PACER case report data. This finding is not surprising, </w:t>
      </w:r>
      <w:r>
        <w:rPr>
          <w:rFonts w:ascii="Times New Roman" w:hAnsi="Times New Roman" w:cs="Times New Roman"/>
        </w:rPr>
        <w:t xml:space="preserve">given that </w:t>
      </w:r>
      <w:r w:rsidR="00A547E7">
        <w:rPr>
          <w:rFonts w:ascii="Times New Roman" w:hAnsi="Times New Roman" w:cs="Times New Roman"/>
        </w:rPr>
        <w:t xml:space="preserve">we randomly drew </w:t>
      </w:r>
      <w:r>
        <w:rPr>
          <w:rFonts w:ascii="Times New Roman" w:hAnsi="Times New Roman" w:cs="Times New Roman"/>
        </w:rPr>
        <w:t xml:space="preserve">the small samples </w:t>
      </w:r>
      <w:r w:rsidR="00E32E8B">
        <w:rPr>
          <w:rFonts w:ascii="Times New Roman" w:hAnsi="Times New Roman" w:cs="Times New Roman"/>
        </w:rPr>
        <w:t xml:space="preserve">from </w:t>
      </w:r>
      <w:r w:rsidRPr="00537498">
        <w:rPr>
          <w:rFonts w:ascii="Times New Roman" w:hAnsi="Times New Roman" w:cs="Times New Roman"/>
        </w:rPr>
        <w:t>the PACER case report</w:t>
      </w:r>
      <w:r w:rsidR="00E32E8B">
        <w:rPr>
          <w:rFonts w:ascii="Times New Roman" w:hAnsi="Times New Roman" w:cs="Times New Roman"/>
        </w:rPr>
        <w:t>s</w:t>
      </w:r>
      <w:r w:rsidRPr="00933FD2">
        <w:rPr>
          <w:rFonts w:ascii="Times New Roman" w:hAnsi="Times New Roman" w:cs="Times New Roman"/>
        </w:rPr>
        <w:t xml:space="preserve">. </w:t>
      </w:r>
    </w:p>
    <w:p w14:paraId="7CCF8DF5" w14:textId="382ED0E0" w:rsidR="00FB12B0" w:rsidRPr="00CB4B22" w:rsidRDefault="00CB4B22" w:rsidP="004F4A87">
      <w:pPr>
        <w:spacing w:line="480" w:lineRule="auto"/>
        <w:ind w:firstLine="720"/>
        <w:rPr>
          <w:rFonts w:ascii="Times New Roman" w:hAnsi="Times New Roman" w:cs="Times New Roman"/>
        </w:rPr>
      </w:pPr>
      <w:r>
        <w:rPr>
          <w:rFonts w:ascii="Times New Roman" w:hAnsi="Times New Roman" w:cs="Times New Roman"/>
        </w:rPr>
        <w:t xml:space="preserve">In </w:t>
      </w:r>
      <w:r w:rsidR="008373AC" w:rsidRPr="00933FD2">
        <w:rPr>
          <w:rFonts w:ascii="Times New Roman" w:hAnsi="Times New Roman" w:cs="Times New Roman"/>
        </w:rPr>
        <w:t xml:space="preserve">Table </w:t>
      </w:r>
      <w:r w:rsidR="008373AC">
        <w:rPr>
          <w:rFonts w:ascii="Times New Roman" w:hAnsi="Times New Roman" w:cs="Times New Roman"/>
        </w:rPr>
        <w:t>1</w:t>
      </w:r>
      <w:r w:rsidR="00D80370">
        <w:rPr>
          <w:rFonts w:ascii="Times New Roman" w:hAnsi="Times New Roman" w:cs="Times New Roman"/>
        </w:rPr>
        <w:t>1</w:t>
      </w:r>
      <w:r>
        <w:rPr>
          <w:rFonts w:ascii="Times New Roman" w:hAnsi="Times New Roman" w:cs="Times New Roman"/>
        </w:rPr>
        <w:t>, we report debtors’ business activity using</w:t>
      </w:r>
      <w:r w:rsidR="008373AC" w:rsidRPr="00933FD2">
        <w:rPr>
          <w:rFonts w:ascii="Times New Roman" w:hAnsi="Times New Roman" w:cs="Times New Roman"/>
        </w:rPr>
        <w:t xml:space="preserve"> </w:t>
      </w:r>
      <w:r w:rsidR="008373AC">
        <w:rPr>
          <w:rFonts w:ascii="Times New Roman" w:hAnsi="Times New Roman" w:cs="Times New Roman"/>
        </w:rPr>
        <w:t>two</w:t>
      </w:r>
      <w:r w:rsidR="008373AC" w:rsidRPr="00933FD2">
        <w:rPr>
          <w:rFonts w:ascii="Times New Roman" w:hAnsi="Times New Roman" w:cs="Times New Roman"/>
        </w:rPr>
        <w:t xml:space="preserve"> alternative measures</w:t>
      </w:r>
      <w:r>
        <w:rPr>
          <w:rFonts w:ascii="Times New Roman" w:hAnsi="Times New Roman" w:cs="Times New Roman"/>
        </w:rPr>
        <w:t>.</w:t>
      </w:r>
      <w:r w:rsidR="008373AC" w:rsidRPr="00933FD2">
        <w:rPr>
          <w:rFonts w:ascii="Times New Roman" w:hAnsi="Times New Roman" w:cs="Times New Roman"/>
        </w:rPr>
        <w:t xml:space="preserve"> We coded </w:t>
      </w:r>
      <w:r>
        <w:rPr>
          <w:rFonts w:ascii="Times New Roman" w:hAnsi="Times New Roman" w:cs="Times New Roman"/>
        </w:rPr>
        <w:t xml:space="preserve">a case as </w:t>
      </w:r>
      <w:r w:rsidR="008373AC" w:rsidRPr="00933FD2">
        <w:rPr>
          <w:rFonts w:ascii="Times New Roman" w:hAnsi="Times New Roman" w:cs="Times New Roman"/>
        </w:rPr>
        <w:t>“Business1”  if</w:t>
      </w:r>
      <w:r w:rsidR="00FB12B0">
        <w:rPr>
          <w:rFonts w:ascii="Times New Roman" w:hAnsi="Times New Roman" w:cs="Times New Roman"/>
        </w:rPr>
        <w:t xml:space="preserve"> the debtor</w:t>
      </w:r>
      <w:r w:rsidR="006D6170">
        <w:rPr>
          <w:rFonts w:ascii="Times New Roman" w:hAnsi="Times New Roman" w:cs="Times New Roman"/>
        </w:rPr>
        <w:t xml:space="preserve">: </w:t>
      </w:r>
      <w:r>
        <w:rPr>
          <w:rFonts w:ascii="Times New Roman" w:hAnsi="Times New Roman" w:cs="Times New Roman"/>
        </w:rPr>
        <w:t>1</w:t>
      </w:r>
      <w:r w:rsidR="006D6170">
        <w:rPr>
          <w:rFonts w:ascii="Times New Roman" w:hAnsi="Times New Roman" w:cs="Times New Roman"/>
        </w:rPr>
        <w:t xml:space="preserve">) </w:t>
      </w:r>
      <w:r w:rsidR="00FB12B0">
        <w:rPr>
          <w:rFonts w:ascii="Times New Roman" w:hAnsi="Times New Roman" w:cs="Times New Roman"/>
        </w:rPr>
        <w:t>checked the “primarily business debts” box on the petition</w:t>
      </w:r>
      <w:r w:rsidR="006D6170">
        <w:rPr>
          <w:rFonts w:ascii="Times New Roman" w:hAnsi="Times New Roman" w:cs="Times New Roman"/>
        </w:rPr>
        <w:t xml:space="preserve">, </w:t>
      </w:r>
      <w:r>
        <w:rPr>
          <w:rFonts w:ascii="Times New Roman" w:hAnsi="Times New Roman" w:cs="Times New Roman"/>
        </w:rPr>
        <w:t>2</w:t>
      </w:r>
      <w:r w:rsidR="006D6170">
        <w:rPr>
          <w:rFonts w:ascii="Times New Roman" w:hAnsi="Times New Roman" w:cs="Times New Roman"/>
        </w:rPr>
        <w:t xml:space="preserve">) disclosed any business assets on </w:t>
      </w:r>
      <w:r w:rsidR="008373AC" w:rsidRPr="00537498">
        <w:rPr>
          <w:rFonts w:ascii="Times New Roman" w:hAnsi="Times New Roman" w:cs="Times New Roman"/>
        </w:rPr>
        <w:t>Schedule B</w:t>
      </w:r>
      <w:r w:rsidR="006D6170">
        <w:rPr>
          <w:rFonts w:ascii="Times New Roman" w:hAnsi="Times New Roman" w:cs="Times New Roman"/>
        </w:rPr>
        <w:t>,</w:t>
      </w:r>
      <w:r w:rsidR="008373AC" w:rsidRPr="00537498">
        <w:rPr>
          <w:rStyle w:val="FootnoteReference"/>
          <w:rFonts w:ascii="Times New Roman" w:hAnsi="Times New Roman" w:cs="Times New Roman"/>
        </w:rPr>
        <w:footnoteReference w:id="113"/>
      </w:r>
      <w:r w:rsidR="006D6170">
        <w:rPr>
          <w:rFonts w:ascii="Times New Roman" w:hAnsi="Times New Roman" w:cs="Times New Roman"/>
        </w:rPr>
        <w:t xml:space="preserve"> </w:t>
      </w:r>
      <w:r>
        <w:rPr>
          <w:rFonts w:ascii="Times New Roman" w:hAnsi="Times New Roman" w:cs="Times New Roman"/>
        </w:rPr>
        <w:t>3</w:t>
      </w:r>
      <w:r w:rsidR="006D6170">
        <w:rPr>
          <w:rFonts w:ascii="Times New Roman" w:hAnsi="Times New Roman" w:cs="Times New Roman"/>
        </w:rPr>
        <w:t xml:space="preserve">) disclosed a currently operating business on the Statement of Financial Affairs, or </w:t>
      </w:r>
      <w:r>
        <w:rPr>
          <w:rFonts w:ascii="Times New Roman" w:hAnsi="Times New Roman" w:cs="Times New Roman"/>
        </w:rPr>
        <w:t>4</w:t>
      </w:r>
      <w:r w:rsidR="006D6170">
        <w:rPr>
          <w:rFonts w:ascii="Times New Roman" w:hAnsi="Times New Roman" w:cs="Times New Roman"/>
        </w:rPr>
        <w:t>) disclosed business income or business expenses of at least $1,000 per month on Schedule I.</w:t>
      </w:r>
      <w:r w:rsidR="00D913C8">
        <w:rPr>
          <w:rFonts w:ascii="Times New Roman" w:hAnsi="Times New Roman" w:cs="Times New Roman"/>
        </w:rPr>
        <w:t xml:space="preserve">  </w:t>
      </w:r>
      <w:r w:rsidR="008373AC" w:rsidRPr="00537498">
        <w:rPr>
          <w:rFonts w:ascii="Times New Roman" w:hAnsi="Times New Roman" w:cs="Times New Roman"/>
        </w:rPr>
        <w:t>Using this measure</w:t>
      </w:r>
      <w:r w:rsidR="008373AC">
        <w:rPr>
          <w:rFonts w:ascii="Times New Roman" w:hAnsi="Times New Roman" w:cs="Times New Roman"/>
        </w:rPr>
        <w:t>,</w:t>
      </w:r>
      <w:r w:rsidR="008373AC" w:rsidRPr="00537498">
        <w:rPr>
          <w:rFonts w:ascii="Times New Roman" w:hAnsi="Times New Roman" w:cs="Times New Roman"/>
        </w:rPr>
        <w:t xml:space="preserve"> at least </w:t>
      </w:r>
      <w:r w:rsidR="00D913C8">
        <w:rPr>
          <w:rFonts w:ascii="Times New Roman" w:hAnsi="Times New Roman" w:cs="Times New Roman"/>
        </w:rPr>
        <w:t>81</w:t>
      </w:r>
      <w:r w:rsidR="00042036">
        <w:rPr>
          <w:rFonts w:ascii="Times New Roman" w:hAnsi="Times New Roman" w:cs="Times New Roman"/>
        </w:rPr>
        <w:t>%</w:t>
      </w:r>
      <w:r w:rsidR="008373AC" w:rsidRPr="00537498">
        <w:rPr>
          <w:rFonts w:ascii="Times New Roman" w:hAnsi="Times New Roman" w:cs="Times New Roman"/>
        </w:rPr>
        <w:t xml:space="preserve"> of the 2010 debtors</w:t>
      </w:r>
      <w:r w:rsidR="00D913C8">
        <w:rPr>
          <w:rFonts w:ascii="Times New Roman" w:hAnsi="Times New Roman" w:cs="Times New Roman"/>
        </w:rPr>
        <w:t xml:space="preserve"> and 87</w:t>
      </w:r>
      <w:r w:rsidR="00042036">
        <w:rPr>
          <w:rFonts w:ascii="Times New Roman" w:hAnsi="Times New Roman" w:cs="Times New Roman"/>
        </w:rPr>
        <w:t>%</w:t>
      </w:r>
      <w:r w:rsidR="00D913C8">
        <w:rPr>
          <w:rFonts w:ascii="Times New Roman" w:hAnsi="Times New Roman" w:cs="Times New Roman"/>
        </w:rPr>
        <w:t xml:space="preserve"> of the 2013 debtors </w:t>
      </w:r>
      <w:r w:rsidR="008373AC" w:rsidRPr="00537498">
        <w:rPr>
          <w:rFonts w:ascii="Times New Roman" w:hAnsi="Times New Roman" w:cs="Times New Roman"/>
        </w:rPr>
        <w:t>operated a business.</w:t>
      </w:r>
      <w:r>
        <w:rPr>
          <w:rFonts w:ascii="Times New Roman" w:hAnsi="Times New Roman" w:cs="Times New Roman"/>
        </w:rPr>
        <w:t xml:space="preserve"> </w:t>
      </w:r>
      <w:r>
        <w:rPr>
          <w:rFonts w:ascii="Times New Roman" w:hAnsi="Times New Roman" w:cs="Times New Roman"/>
          <w:i/>
        </w:rPr>
        <w:t xml:space="preserve">See </w:t>
      </w:r>
      <w:r>
        <w:rPr>
          <w:rFonts w:ascii="Times New Roman" w:hAnsi="Times New Roman" w:cs="Times New Roman"/>
        </w:rPr>
        <w:t>Column (B) of Table 1</w:t>
      </w:r>
      <w:r w:rsidR="00D80370">
        <w:rPr>
          <w:rFonts w:ascii="Times New Roman" w:hAnsi="Times New Roman" w:cs="Times New Roman"/>
        </w:rPr>
        <w:t>1</w:t>
      </w:r>
      <w:r>
        <w:rPr>
          <w:rFonts w:ascii="Times New Roman" w:hAnsi="Times New Roman" w:cs="Times New Roman"/>
        </w:rPr>
        <w:t>.</w:t>
      </w:r>
    </w:p>
    <w:p w14:paraId="1C2ECD5B" w14:textId="45F70D63" w:rsidR="00780C66" w:rsidRDefault="003A2921" w:rsidP="004F4A87">
      <w:pPr>
        <w:spacing w:line="480" w:lineRule="auto"/>
        <w:ind w:firstLine="720"/>
        <w:rPr>
          <w:rFonts w:ascii="Times New Roman" w:hAnsi="Times New Roman" w:cs="Times New Roman"/>
        </w:rPr>
      </w:pPr>
      <w:r>
        <w:rPr>
          <w:rFonts w:ascii="Times New Roman" w:hAnsi="Times New Roman" w:cs="Times New Roman"/>
        </w:rPr>
        <w:t>Owning and leasing real estate is a form of business</w:t>
      </w:r>
      <w:r w:rsidR="00CB4B22">
        <w:rPr>
          <w:rFonts w:ascii="Times New Roman" w:hAnsi="Times New Roman" w:cs="Times New Roman"/>
        </w:rPr>
        <w:t xml:space="preserve"> activity</w:t>
      </w:r>
      <w:r>
        <w:rPr>
          <w:rFonts w:ascii="Times New Roman" w:hAnsi="Times New Roman" w:cs="Times New Roman"/>
        </w:rPr>
        <w:t>. We</w:t>
      </w:r>
      <w:r w:rsidR="00796DEF">
        <w:rPr>
          <w:rFonts w:ascii="Times New Roman" w:hAnsi="Times New Roman" w:cs="Times New Roman"/>
        </w:rPr>
        <w:t xml:space="preserve">, </w:t>
      </w:r>
      <w:r>
        <w:rPr>
          <w:rFonts w:ascii="Times New Roman" w:hAnsi="Times New Roman" w:cs="Times New Roman"/>
        </w:rPr>
        <w:t>therefore</w:t>
      </w:r>
      <w:r w:rsidR="00796DEF">
        <w:rPr>
          <w:rFonts w:ascii="Times New Roman" w:hAnsi="Times New Roman" w:cs="Times New Roman"/>
        </w:rPr>
        <w:t>,</w:t>
      </w:r>
      <w:r>
        <w:rPr>
          <w:rFonts w:ascii="Times New Roman" w:hAnsi="Times New Roman" w:cs="Times New Roman"/>
        </w:rPr>
        <w:t xml:space="preserve"> created another measure, </w:t>
      </w:r>
      <w:r w:rsidR="00E32E8B">
        <w:rPr>
          <w:rFonts w:ascii="Times New Roman" w:hAnsi="Times New Roman" w:cs="Times New Roman"/>
        </w:rPr>
        <w:t>“</w:t>
      </w:r>
      <w:r w:rsidR="008373AC" w:rsidRPr="00537498">
        <w:rPr>
          <w:rFonts w:ascii="Times New Roman" w:hAnsi="Times New Roman" w:cs="Times New Roman"/>
        </w:rPr>
        <w:t>Business2</w:t>
      </w:r>
      <w:r>
        <w:rPr>
          <w:rFonts w:ascii="Times New Roman" w:hAnsi="Times New Roman" w:cs="Times New Roman"/>
        </w:rPr>
        <w:t>,</w:t>
      </w:r>
      <w:r w:rsidR="00E32E8B">
        <w:rPr>
          <w:rFonts w:ascii="Times New Roman" w:hAnsi="Times New Roman" w:cs="Times New Roman"/>
        </w:rPr>
        <w:t>”</w:t>
      </w:r>
      <w:r>
        <w:rPr>
          <w:rFonts w:ascii="Times New Roman" w:hAnsi="Times New Roman" w:cs="Times New Roman"/>
        </w:rPr>
        <w:t xml:space="preserve"> to add those debtors with substantial real estate income. </w:t>
      </w:r>
      <w:r w:rsidR="001B6C25">
        <w:rPr>
          <w:rFonts w:ascii="Times New Roman" w:hAnsi="Times New Roman" w:cs="Times New Roman"/>
        </w:rPr>
        <w:t xml:space="preserve">We </w:t>
      </w:r>
      <w:r w:rsidR="00D913C8">
        <w:rPr>
          <w:rFonts w:ascii="Times New Roman" w:hAnsi="Times New Roman" w:cs="Times New Roman"/>
        </w:rPr>
        <w:t xml:space="preserve">coded </w:t>
      </w:r>
      <w:r w:rsidR="001B6C25">
        <w:rPr>
          <w:rFonts w:ascii="Times New Roman" w:hAnsi="Times New Roman" w:cs="Times New Roman"/>
        </w:rPr>
        <w:t xml:space="preserve">a case </w:t>
      </w:r>
      <w:r w:rsidR="00D913C8">
        <w:rPr>
          <w:rFonts w:ascii="Times New Roman" w:hAnsi="Times New Roman" w:cs="Times New Roman"/>
        </w:rPr>
        <w:t xml:space="preserve">as </w:t>
      </w:r>
      <w:r w:rsidR="00E32E8B">
        <w:rPr>
          <w:rFonts w:ascii="Times New Roman" w:hAnsi="Times New Roman" w:cs="Times New Roman"/>
        </w:rPr>
        <w:t>Business</w:t>
      </w:r>
      <w:r w:rsidR="001B6C25">
        <w:rPr>
          <w:rFonts w:ascii="Times New Roman" w:hAnsi="Times New Roman" w:cs="Times New Roman"/>
        </w:rPr>
        <w:t>2 if the debtor: (</w:t>
      </w:r>
      <w:r w:rsidR="00CB4B22">
        <w:rPr>
          <w:rFonts w:ascii="Times New Roman" w:hAnsi="Times New Roman" w:cs="Times New Roman"/>
        </w:rPr>
        <w:t>1</w:t>
      </w:r>
      <w:r w:rsidR="001B6C25">
        <w:rPr>
          <w:rFonts w:ascii="Times New Roman" w:hAnsi="Times New Roman" w:cs="Times New Roman"/>
        </w:rPr>
        <w:t>) satisfied any of the requirements for</w:t>
      </w:r>
      <w:r w:rsidR="00E32E8B">
        <w:rPr>
          <w:rFonts w:ascii="Times New Roman" w:hAnsi="Times New Roman" w:cs="Times New Roman"/>
        </w:rPr>
        <w:t xml:space="preserve"> Business</w:t>
      </w:r>
      <w:r w:rsidR="00D913C8">
        <w:rPr>
          <w:rFonts w:ascii="Times New Roman" w:hAnsi="Times New Roman" w:cs="Times New Roman"/>
        </w:rPr>
        <w:t>1</w:t>
      </w:r>
      <w:r w:rsidR="001B6C25">
        <w:rPr>
          <w:rFonts w:ascii="Times New Roman" w:hAnsi="Times New Roman" w:cs="Times New Roman"/>
        </w:rPr>
        <w:t>, or</w:t>
      </w:r>
      <w:r w:rsidR="00D913C8">
        <w:rPr>
          <w:rFonts w:ascii="Times New Roman" w:hAnsi="Times New Roman" w:cs="Times New Roman"/>
        </w:rPr>
        <w:t xml:space="preserve"> </w:t>
      </w:r>
      <w:r w:rsidR="001B6C25">
        <w:rPr>
          <w:rFonts w:ascii="Times New Roman" w:hAnsi="Times New Roman" w:cs="Times New Roman"/>
        </w:rPr>
        <w:t>(</w:t>
      </w:r>
      <w:r w:rsidR="00CB4B22">
        <w:rPr>
          <w:rFonts w:ascii="Times New Roman" w:hAnsi="Times New Roman" w:cs="Times New Roman"/>
        </w:rPr>
        <w:t>2</w:t>
      </w:r>
      <w:r w:rsidR="001B6C25">
        <w:rPr>
          <w:rFonts w:ascii="Times New Roman" w:hAnsi="Times New Roman" w:cs="Times New Roman"/>
        </w:rPr>
        <w:t xml:space="preserve">) </w:t>
      </w:r>
      <w:r w:rsidR="00D913C8">
        <w:rPr>
          <w:rFonts w:ascii="Times New Roman" w:hAnsi="Times New Roman" w:cs="Times New Roman"/>
        </w:rPr>
        <w:t>had at least $1,000 per month in real estate income. Using this measure</w:t>
      </w:r>
      <w:r w:rsidR="001B6C25">
        <w:rPr>
          <w:rFonts w:ascii="Times New Roman" w:hAnsi="Times New Roman" w:cs="Times New Roman"/>
        </w:rPr>
        <w:t>,</w:t>
      </w:r>
      <w:r w:rsidR="00D913C8">
        <w:rPr>
          <w:rFonts w:ascii="Times New Roman" w:hAnsi="Times New Roman" w:cs="Times New Roman"/>
        </w:rPr>
        <w:t xml:space="preserve"> the business rate r</w:t>
      </w:r>
      <w:r w:rsidR="00780C66">
        <w:rPr>
          <w:rFonts w:ascii="Times New Roman" w:hAnsi="Times New Roman" w:cs="Times New Roman"/>
        </w:rPr>
        <w:t>ose</w:t>
      </w:r>
      <w:r w:rsidR="00D913C8">
        <w:rPr>
          <w:rFonts w:ascii="Times New Roman" w:hAnsi="Times New Roman" w:cs="Times New Roman"/>
        </w:rPr>
        <w:t xml:space="preserve"> to 86</w:t>
      </w:r>
      <w:r w:rsidR="00042036">
        <w:rPr>
          <w:rFonts w:ascii="Times New Roman" w:hAnsi="Times New Roman" w:cs="Times New Roman"/>
        </w:rPr>
        <w:t>%</w:t>
      </w:r>
      <w:r w:rsidR="00D913C8">
        <w:rPr>
          <w:rFonts w:ascii="Times New Roman" w:hAnsi="Times New Roman" w:cs="Times New Roman"/>
        </w:rPr>
        <w:t xml:space="preserve"> in 2010 and 92</w:t>
      </w:r>
      <w:r w:rsidR="00042036">
        <w:rPr>
          <w:rFonts w:ascii="Times New Roman" w:hAnsi="Times New Roman" w:cs="Times New Roman"/>
        </w:rPr>
        <w:t>%</w:t>
      </w:r>
      <w:r w:rsidR="00D913C8">
        <w:rPr>
          <w:rFonts w:ascii="Times New Roman" w:hAnsi="Times New Roman" w:cs="Times New Roman"/>
        </w:rPr>
        <w:t xml:space="preserve"> in 2013. </w:t>
      </w:r>
      <w:r w:rsidR="00CB4B22">
        <w:rPr>
          <w:rFonts w:ascii="Times New Roman" w:hAnsi="Times New Roman" w:cs="Times New Roman"/>
          <w:i/>
        </w:rPr>
        <w:t xml:space="preserve">See </w:t>
      </w:r>
      <w:r w:rsidR="00CB4B22">
        <w:rPr>
          <w:rFonts w:ascii="Times New Roman" w:hAnsi="Times New Roman" w:cs="Times New Roman"/>
        </w:rPr>
        <w:t>Column (C) of Table 1</w:t>
      </w:r>
      <w:r w:rsidR="00D80370">
        <w:rPr>
          <w:rFonts w:ascii="Times New Roman" w:hAnsi="Times New Roman" w:cs="Times New Roman"/>
        </w:rPr>
        <w:t>1</w:t>
      </w:r>
      <w:r w:rsidR="00CB4B22">
        <w:rPr>
          <w:rFonts w:ascii="Times New Roman" w:hAnsi="Times New Roman" w:cs="Times New Roman"/>
        </w:rPr>
        <w:t xml:space="preserve">. </w:t>
      </w:r>
      <w:r w:rsidR="00D913C8">
        <w:rPr>
          <w:rFonts w:ascii="Times New Roman" w:hAnsi="Times New Roman" w:cs="Times New Roman"/>
        </w:rPr>
        <w:t xml:space="preserve">Only </w:t>
      </w:r>
      <w:r w:rsidR="00FB12B0">
        <w:rPr>
          <w:rFonts w:ascii="Times New Roman" w:hAnsi="Times New Roman" w:cs="Times New Roman"/>
        </w:rPr>
        <w:t>4</w:t>
      </w:r>
      <w:r w:rsidR="00E32E8B">
        <w:rPr>
          <w:rFonts w:ascii="Times New Roman" w:hAnsi="Times New Roman" w:cs="Times New Roman"/>
        </w:rPr>
        <w:t xml:space="preserve">% to </w:t>
      </w:r>
      <w:r w:rsidR="00FB12B0">
        <w:rPr>
          <w:rFonts w:ascii="Times New Roman" w:hAnsi="Times New Roman" w:cs="Times New Roman"/>
        </w:rPr>
        <w:t>5</w:t>
      </w:r>
      <w:r w:rsidR="00042036">
        <w:rPr>
          <w:rFonts w:ascii="Times New Roman" w:hAnsi="Times New Roman" w:cs="Times New Roman"/>
        </w:rPr>
        <w:t>%</w:t>
      </w:r>
      <w:r w:rsidR="00D913C8">
        <w:rPr>
          <w:rFonts w:ascii="Times New Roman" w:hAnsi="Times New Roman" w:cs="Times New Roman"/>
        </w:rPr>
        <w:t xml:space="preserve"> </w:t>
      </w:r>
      <w:r w:rsidR="008373AC" w:rsidRPr="00933FD2">
        <w:rPr>
          <w:rFonts w:ascii="Times New Roman" w:hAnsi="Times New Roman" w:cs="Times New Roman"/>
        </w:rPr>
        <w:t>of debtor</w:t>
      </w:r>
      <w:r w:rsidR="008373AC">
        <w:rPr>
          <w:rFonts w:ascii="Times New Roman" w:hAnsi="Times New Roman" w:cs="Times New Roman"/>
        </w:rPr>
        <w:t>s</w:t>
      </w:r>
      <w:r w:rsidR="008373AC" w:rsidRPr="00933FD2">
        <w:rPr>
          <w:rFonts w:ascii="Times New Roman" w:hAnsi="Times New Roman" w:cs="Times New Roman"/>
        </w:rPr>
        <w:t xml:space="preserve"> in each yea</w:t>
      </w:r>
      <w:r w:rsidR="008373AC" w:rsidRPr="00537498">
        <w:rPr>
          <w:rFonts w:ascii="Times New Roman" w:hAnsi="Times New Roman" w:cs="Times New Roman"/>
        </w:rPr>
        <w:t xml:space="preserve">r </w:t>
      </w:r>
      <w:r w:rsidR="00780C66">
        <w:rPr>
          <w:rFonts w:ascii="Times New Roman" w:hAnsi="Times New Roman" w:cs="Times New Roman"/>
        </w:rPr>
        <w:t xml:space="preserve">were not engaged in business </w:t>
      </w:r>
      <w:r w:rsidR="008373AC" w:rsidRPr="00537498">
        <w:rPr>
          <w:rFonts w:ascii="Times New Roman" w:hAnsi="Times New Roman" w:cs="Times New Roman"/>
        </w:rPr>
        <w:t>under this measure.</w:t>
      </w:r>
    </w:p>
    <w:p w14:paraId="145F9546" w14:textId="1B6C6BE9" w:rsidR="008373AC" w:rsidRPr="00CB4B22" w:rsidRDefault="00CB4B22" w:rsidP="008373AC">
      <w:pPr>
        <w:spacing w:line="480" w:lineRule="auto"/>
        <w:ind w:firstLine="720"/>
        <w:rPr>
          <w:rFonts w:ascii="Times New Roman" w:hAnsi="Times New Roman" w:cs="Times New Roman"/>
        </w:rPr>
      </w:pPr>
      <w:r>
        <w:rPr>
          <w:rFonts w:ascii="Times New Roman" w:hAnsi="Times New Roman" w:cs="Times New Roman"/>
        </w:rPr>
        <w:t>As another measure of business engagement, w</w:t>
      </w:r>
      <w:r w:rsidR="008373AC">
        <w:rPr>
          <w:rFonts w:ascii="Times New Roman" w:hAnsi="Times New Roman" w:cs="Times New Roman"/>
        </w:rPr>
        <w:t xml:space="preserve">e also checked the extent to which our debtors’ </w:t>
      </w:r>
      <w:r w:rsidR="008373AC" w:rsidRPr="00537498">
        <w:rPr>
          <w:rFonts w:ascii="Times New Roman" w:hAnsi="Times New Roman" w:cs="Times New Roman"/>
        </w:rPr>
        <w:t xml:space="preserve">financial affairs were entangled with </w:t>
      </w:r>
      <w:r w:rsidR="008373AC">
        <w:rPr>
          <w:rFonts w:ascii="Times New Roman" w:hAnsi="Times New Roman" w:cs="Times New Roman"/>
        </w:rPr>
        <w:t xml:space="preserve">those of </w:t>
      </w:r>
      <w:r w:rsidR="008373AC" w:rsidRPr="00537498">
        <w:rPr>
          <w:rFonts w:ascii="Times New Roman" w:hAnsi="Times New Roman" w:cs="Times New Roman"/>
        </w:rPr>
        <w:t xml:space="preserve">legal entities or individuals other than their spouses. </w:t>
      </w:r>
      <w:r w:rsidR="00DC40E4">
        <w:rPr>
          <w:rFonts w:ascii="Times New Roman" w:hAnsi="Times New Roman" w:cs="Times New Roman"/>
        </w:rPr>
        <w:t xml:space="preserve">As </w:t>
      </w:r>
      <w:r w:rsidR="008373AC" w:rsidRPr="00537498">
        <w:rPr>
          <w:rFonts w:ascii="Times New Roman" w:hAnsi="Times New Roman" w:cs="Times New Roman"/>
        </w:rPr>
        <w:t xml:space="preserve">Table </w:t>
      </w:r>
      <w:r w:rsidR="008373AC">
        <w:rPr>
          <w:rFonts w:ascii="Times New Roman" w:hAnsi="Times New Roman" w:cs="Times New Roman"/>
        </w:rPr>
        <w:t>1</w:t>
      </w:r>
      <w:r w:rsidR="00D80370">
        <w:rPr>
          <w:rFonts w:ascii="Times New Roman" w:hAnsi="Times New Roman" w:cs="Times New Roman"/>
        </w:rPr>
        <w:t>2</w:t>
      </w:r>
      <w:r w:rsidR="008373AC" w:rsidRPr="00537498">
        <w:rPr>
          <w:rFonts w:ascii="Times New Roman" w:hAnsi="Times New Roman" w:cs="Times New Roman"/>
        </w:rPr>
        <w:t xml:space="preserve"> </w:t>
      </w:r>
      <w:r w:rsidR="00DC40E4">
        <w:rPr>
          <w:rFonts w:ascii="Times New Roman" w:hAnsi="Times New Roman" w:cs="Times New Roman"/>
        </w:rPr>
        <w:t>shows,</w:t>
      </w:r>
      <w:r w:rsidR="00DC40E4" w:rsidRPr="00537498">
        <w:rPr>
          <w:rFonts w:ascii="Times New Roman" w:hAnsi="Times New Roman" w:cs="Times New Roman"/>
        </w:rPr>
        <w:t xml:space="preserve"> </w:t>
      </w:r>
      <w:r w:rsidR="00DC40E4">
        <w:rPr>
          <w:rFonts w:ascii="Times New Roman" w:hAnsi="Times New Roman" w:cs="Times New Roman"/>
        </w:rPr>
        <w:t>t</w:t>
      </w:r>
      <w:r w:rsidR="008373AC" w:rsidRPr="00537498">
        <w:rPr>
          <w:rFonts w:ascii="Times New Roman" w:hAnsi="Times New Roman" w:cs="Times New Roman"/>
        </w:rPr>
        <w:t xml:space="preserve">he rate at which our debtors disclosed affiliate bankruptcies on their petitions rose sharply from about </w:t>
      </w:r>
      <w:r w:rsidR="00676294">
        <w:rPr>
          <w:rFonts w:ascii="Times New Roman" w:hAnsi="Times New Roman" w:cs="Times New Roman"/>
        </w:rPr>
        <w:t>5</w:t>
      </w:r>
      <w:r w:rsidR="00042036">
        <w:rPr>
          <w:rFonts w:ascii="Times New Roman" w:hAnsi="Times New Roman" w:cs="Times New Roman"/>
        </w:rPr>
        <w:t>%</w:t>
      </w:r>
      <w:r w:rsidR="008373AC" w:rsidRPr="00537498">
        <w:rPr>
          <w:rFonts w:ascii="Times New Roman" w:hAnsi="Times New Roman" w:cs="Times New Roman"/>
        </w:rPr>
        <w:t xml:space="preserve"> in 2010 to about </w:t>
      </w:r>
      <w:r w:rsidR="008373AC">
        <w:rPr>
          <w:rFonts w:ascii="Times New Roman" w:hAnsi="Times New Roman" w:cs="Times New Roman"/>
        </w:rPr>
        <w:t>12</w:t>
      </w:r>
      <w:r w:rsidR="00042036">
        <w:rPr>
          <w:rFonts w:ascii="Times New Roman" w:hAnsi="Times New Roman" w:cs="Times New Roman"/>
        </w:rPr>
        <w:t>%</w:t>
      </w:r>
      <w:r w:rsidR="008373AC" w:rsidRPr="00537498">
        <w:rPr>
          <w:rFonts w:ascii="Times New Roman" w:hAnsi="Times New Roman" w:cs="Times New Roman"/>
        </w:rPr>
        <w:t xml:space="preserve"> in 2013. </w:t>
      </w:r>
      <w:r>
        <w:rPr>
          <w:rFonts w:ascii="Times New Roman" w:hAnsi="Times New Roman" w:cs="Times New Roman"/>
          <w:i/>
        </w:rPr>
        <w:t xml:space="preserve">See </w:t>
      </w:r>
      <w:r>
        <w:rPr>
          <w:rFonts w:ascii="Times New Roman" w:hAnsi="Times New Roman" w:cs="Times New Roman"/>
        </w:rPr>
        <w:t>Column (A) of Table 1</w:t>
      </w:r>
      <w:r w:rsidR="00D80370">
        <w:rPr>
          <w:rFonts w:ascii="Times New Roman" w:hAnsi="Times New Roman" w:cs="Times New Roman"/>
        </w:rPr>
        <w:t>2</w:t>
      </w:r>
      <w:r>
        <w:rPr>
          <w:rFonts w:ascii="Times New Roman" w:hAnsi="Times New Roman" w:cs="Times New Roman"/>
        </w:rPr>
        <w:t xml:space="preserve">. </w:t>
      </w:r>
      <w:r w:rsidR="008373AC" w:rsidRPr="00537498">
        <w:rPr>
          <w:rFonts w:ascii="Times New Roman" w:hAnsi="Times New Roman" w:cs="Times New Roman"/>
        </w:rPr>
        <w:t xml:space="preserve">By contrast, the rate </w:t>
      </w:r>
      <w:r w:rsidR="008373AC">
        <w:rPr>
          <w:rFonts w:ascii="Times New Roman" w:hAnsi="Times New Roman" w:cs="Times New Roman"/>
        </w:rPr>
        <w:t xml:space="preserve">of </w:t>
      </w:r>
      <w:r w:rsidR="008373AC" w:rsidRPr="00537498">
        <w:rPr>
          <w:rFonts w:ascii="Times New Roman" w:hAnsi="Times New Roman" w:cs="Times New Roman"/>
        </w:rPr>
        <w:t>administrative consolidat</w:t>
      </w:r>
      <w:r w:rsidR="008373AC">
        <w:rPr>
          <w:rFonts w:ascii="Times New Roman" w:hAnsi="Times New Roman" w:cs="Times New Roman"/>
        </w:rPr>
        <w:t>ion</w:t>
      </w:r>
      <w:r w:rsidR="008373AC" w:rsidRPr="00537498">
        <w:rPr>
          <w:rFonts w:ascii="Times New Roman" w:hAnsi="Times New Roman" w:cs="Times New Roman"/>
        </w:rPr>
        <w:t xml:space="preserve"> fell from about </w:t>
      </w:r>
      <w:r w:rsidR="008373AC">
        <w:rPr>
          <w:rFonts w:ascii="Times New Roman" w:hAnsi="Times New Roman" w:cs="Times New Roman"/>
        </w:rPr>
        <w:t>7</w:t>
      </w:r>
      <w:r w:rsidR="00042036">
        <w:rPr>
          <w:rFonts w:ascii="Times New Roman" w:hAnsi="Times New Roman" w:cs="Times New Roman"/>
        </w:rPr>
        <w:t>%</w:t>
      </w:r>
      <w:r w:rsidR="008373AC" w:rsidRPr="00537498">
        <w:rPr>
          <w:rFonts w:ascii="Times New Roman" w:hAnsi="Times New Roman" w:cs="Times New Roman"/>
        </w:rPr>
        <w:t xml:space="preserve"> in 2010 to about </w:t>
      </w:r>
      <w:r w:rsidR="008373AC">
        <w:rPr>
          <w:rFonts w:ascii="Times New Roman" w:hAnsi="Times New Roman" w:cs="Times New Roman"/>
        </w:rPr>
        <w:t>4</w:t>
      </w:r>
      <w:r w:rsidR="00042036">
        <w:rPr>
          <w:rFonts w:ascii="Times New Roman" w:hAnsi="Times New Roman" w:cs="Times New Roman"/>
        </w:rPr>
        <w:t>%</w:t>
      </w:r>
      <w:r w:rsidR="00E15343">
        <w:rPr>
          <w:rFonts w:ascii="Times New Roman" w:hAnsi="Times New Roman" w:cs="Times New Roman"/>
        </w:rPr>
        <w:t xml:space="preserve"> </w:t>
      </w:r>
      <w:r w:rsidR="008373AC" w:rsidRPr="00537498">
        <w:rPr>
          <w:rFonts w:ascii="Times New Roman" w:hAnsi="Times New Roman" w:cs="Times New Roman"/>
        </w:rPr>
        <w:t>in 2013.</w:t>
      </w:r>
      <w:r w:rsidR="00DC40E4">
        <w:rPr>
          <w:rFonts w:ascii="Times New Roman" w:hAnsi="Times New Roman" w:cs="Times New Roman"/>
        </w:rPr>
        <w:t xml:space="preserve"> </w:t>
      </w:r>
      <w:r>
        <w:rPr>
          <w:rFonts w:ascii="Times New Roman" w:hAnsi="Times New Roman" w:cs="Times New Roman"/>
          <w:i/>
        </w:rPr>
        <w:t xml:space="preserve">See </w:t>
      </w:r>
      <w:r>
        <w:rPr>
          <w:rFonts w:ascii="Times New Roman" w:hAnsi="Times New Roman" w:cs="Times New Roman"/>
        </w:rPr>
        <w:t>Column (B) of Table 1</w:t>
      </w:r>
      <w:r w:rsidR="00D80370">
        <w:rPr>
          <w:rFonts w:ascii="Times New Roman" w:hAnsi="Times New Roman" w:cs="Times New Roman"/>
        </w:rPr>
        <w:t>2</w:t>
      </w:r>
      <w:r>
        <w:rPr>
          <w:rFonts w:ascii="Times New Roman" w:hAnsi="Times New Roman" w:cs="Times New Roman"/>
        </w:rPr>
        <w:t xml:space="preserve">. </w:t>
      </w:r>
      <w:r w:rsidR="00DC40E4">
        <w:rPr>
          <w:rFonts w:ascii="Times New Roman" w:hAnsi="Times New Roman" w:cs="Times New Roman"/>
        </w:rPr>
        <w:t>W</w:t>
      </w:r>
      <w:r w:rsidR="008373AC" w:rsidRPr="00537498">
        <w:rPr>
          <w:rFonts w:ascii="Times New Roman" w:hAnsi="Times New Roman" w:cs="Times New Roman"/>
        </w:rPr>
        <w:t>e found no substantive consolidations in our sample.</w:t>
      </w:r>
      <w:r>
        <w:rPr>
          <w:rFonts w:ascii="Times New Roman" w:hAnsi="Times New Roman" w:cs="Times New Roman"/>
        </w:rPr>
        <w:t xml:space="preserve"> </w:t>
      </w:r>
      <w:r>
        <w:rPr>
          <w:rFonts w:ascii="Times New Roman" w:hAnsi="Times New Roman" w:cs="Times New Roman"/>
          <w:i/>
        </w:rPr>
        <w:t xml:space="preserve">See </w:t>
      </w:r>
      <w:r>
        <w:rPr>
          <w:rFonts w:ascii="Times New Roman" w:hAnsi="Times New Roman" w:cs="Times New Roman"/>
        </w:rPr>
        <w:t>Column (C) of Table 1</w:t>
      </w:r>
      <w:r w:rsidR="00D80370">
        <w:rPr>
          <w:rFonts w:ascii="Times New Roman" w:hAnsi="Times New Roman" w:cs="Times New Roman"/>
        </w:rPr>
        <w:t>2</w:t>
      </w:r>
      <w:r>
        <w:rPr>
          <w:rFonts w:ascii="Times New Roman" w:hAnsi="Times New Roman" w:cs="Times New Roman"/>
        </w:rPr>
        <w:t xml:space="preserve">. </w:t>
      </w:r>
    </w:p>
    <w:p w14:paraId="212D4769" w14:textId="1541F02C" w:rsidR="008373AC" w:rsidRPr="00537498" w:rsidRDefault="00E15343" w:rsidP="009629EF">
      <w:pPr>
        <w:spacing w:line="480" w:lineRule="auto"/>
        <w:ind w:firstLine="720"/>
        <w:rPr>
          <w:rFonts w:ascii="Times New Roman" w:hAnsi="Times New Roman" w:cs="Times New Roman"/>
        </w:rPr>
      </w:pPr>
      <w:r>
        <w:rPr>
          <w:rFonts w:ascii="Times New Roman" w:hAnsi="Times New Roman" w:cs="Times New Roman"/>
        </w:rPr>
        <w:t xml:space="preserve">The main </w:t>
      </w:r>
      <w:r w:rsidR="00461985">
        <w:rPr>
          <w:rFonts w:ascii="Times New Roman" w:hAnsi="Times New Roman" w:cs="Times New Roman"/>
        </w:rPr>
        <w:t xml:space="preserve">conclusion </w:t>
      </w:r>
      <w:r w:rsidR="00CB4B22">
        <w:rPr>
          <w:rFonts w:ascii="Times New Roman" w:hAnsi="Times New Roman" w:cs="Times New Roman"/>
        </w:rPr>
        <w:t xml:space="preserve">we draw </w:t>
      </w:r>
      <w:r>
        <w:rPr>
          <w:rFonts w:ascii="Times New Roman" w:hAnsi="Times New Roman" w:cs="Times New Roman"/>
        </w:rPr>
        <w:t xml:space="preserve">from these </w:t>
      </w:r>
      <w:r w:rsidR="00CB4B22">
        <w:rPr>
          <w:rFonts w:ascii="Times New Roman" w:hAnsi="Times New Roman" w:cs="Times New Roman"/>
        </w:rPr>
        <w:t xml:space="preserve">findings </w:t>
      </w:r>
      <w:r>
        <w:rPr>
          <w:rFonts w:ascii="Times New Roman" w:hAnsi="Times New Roman" w:cs="Times New Roman"/>
        </w:rPr>
        <w:t>is that affiliate filings and consolidation</w:t>
      </w:r>
      <w:r w:rsidR="00CB4B22">
        <w:rPr>
          <w:rFonts w:ascii="Times New Roman" w:hAnsi="Times New Roman" w:cs="Times New Roman"/>
        </w:rPr>
        <w:t>, whether procedural or substantive,</w:t>
      </w:r>
      <w:r>
        <w:rPr>
          <w:rFonts w:ascii="Times New Roman" w:hAnsi="Times New Roman" w:cs="Times New Roman"/>
        </w:rPr>
        <w:t xml:space="preserve"> seem to be somewhat rare</w:t>
      </w:r>
      <w:r w:rsidR="00CB4B22">
        <w:rPr>
          <w:rFonts w:ascii="Times New Roman" w:hAnsi="Times New Roman" w:cs="Times New Roman"/>
        </w:rPr>
        <w:t xml:space="preserve"> among individual chapter 11 debtors</w:t>
      </w:r>
      <w:r>
        <w:rPr>
          <w:rFonts w:ascii="Times New Roman" w:hAnsi="Times New Roman" w:cs="Times New Roman"/>
        </w:rPr>
        <w:t xml:space="preserve">. </w:t>
      </w:r>
      <w:r w:rsidR="008373AC" w:rsidRPr="00537498">
        <w:rPr>
          <w:rFonts w:ascii="Times New Roman" w:hAnsi="Times New Roman" w:cs="Times New Roman"/>
        </w:rPr>
        <w:t xml:space="preserve">We do not want to overemphasize the differences between the </w:t>
      </w:r>
      <w:r w:rsidR="00CB4B22">
        <w:rPr>
          <w:rFonts w:ascii="Times New Roman" w:hAnsi="Times New Roman" w:cs="Times New Roman"/>
        </w:rPr>
        <w:t xml:space="preserve">two </w:t>
      </w:r>
      <w:r w:rsidR="008373AC" w:rsidRPr="00537498">
        <w:rPr>
          <w:rFonts w:ascii="Times New Roman" w:hAnsi="Times New Roman" w:cs="Times New Roman"/>
        </w:rPr>
        <w:t>years. Our sample sizes are relatively small and</w:t>
      </w:r>
      <w:r w:rsidR="00CB4B22">
        <w:rPr>
          <w:rFonts w:ascii="Times New Roman" w:hAnsi="Times New Roman" w:cs="Times New Roman"/>
        </w:rPr>
        <w:t>, thus,</w:t>
      </w:r>
      <w:r w:rsidR="008373AC" w:rsidRPr="00537498">
        <w:rPr>
          <w:rFonts w:ascii="Times New Roman" w:hAnsi="Times New Roman" w:cs="Times New Roman"/>
        </w:rPr>
        <w:t xml:space="preserve"> there is a significant amount of uncertainty as to the true means for the full population</w:t>
      </w:r>
      <w:r w:rsidR="00CB4B22">
        <w:rPr>
          <w:rFonts w:ascii="Times New Roman" w:hAnsi="Times New Roman" w:cs="Times New Roman"/>
        </w:rPr>
        <w:t xml:space="preserve"> for 2010 and 2013</w:t>
      </w:r>
      <w:r w:rsidR="008373AC" w:rsidRPr="00537498">
        <w:rPr>
          <w:rFonts w:ascii="Times New Roman" w:hAnsi="Times New Roman" w:cs="Times New Roman"/>
        </w:rPr>
        <w:t xml:space="preserve">. The difference in the rate of affiliate bankruptcies </w:t>
      </w:r>
      <w:r w:rsidR="00CB4B22">
        <w:rPr>
          <w:rFonts w:ascii="Times New Roman" w:hAnsi="Times New Roman" w:cs="Times New Roman"/>
        </w:rPr>
        <w:t xml:space="preserve">between 2010 and 2013 </w:t>
      </w:r>
      <w:r w:rsidR="008373AC" w:rsidRPr="00537498">
        <w:rPr>
          <w:rFonts w:ascii="Times New Roman" w:hAnsi="Times New Roman" w:cs="Times New Roman"/>
        </w:rPr>
        <w:t>may actually be smaller (</w:t>
      </w:r>
      <w:r w:rsidR="008373AC">
        <w:rPr>
          <w:rFonts w:ascii="Times New Roman" w:hAnsi="Times New Roman" w:cs="Times New Roman"/>
        </w:rPr>
        <w:t>or larger</w:t>
      </w:r>
      <w:r w:rsidR="008373AC" w:rsidRPr="00537498">
        <w:rPr>
          <w:rFonts w:ascii="Times New Roman" w:hAnsi="Times New Roman" w:cs="Times New Roman"/>
        </w:rPr>
        <w:t>)</w:t>
      </w:r>
      <w:r w:rsidR="00CB4B22">
        <w:rPr>
          <w:rFonts w:ascii="Times New Roman" w:hAnsi="Times New Roman" w:cs="Times New Roman"/>
        </w:rPr>
        <w:t xml:space="preserve">, </w:t>
      </w:r>
      <w:r w:rsidR="008373AC" w:rsidRPr="00537498">
        <w:rPr>
          <w:rFonts w:ascii="Times New Roman" w:hAnsi="Times New Roman" w:cs="Times New Roman"/>
        </w:rPr>
        <w:t>and the difference in the rate of administrative consolidation is not statistically significant.</w:t>
      </w:r>
      <w:r w:rsidR="00E32E8B">
        <w:rPr>
          <w:rFonts w:ascii="Times New Roman" w:hAnsi="Times New Roman" w:cs="Times New Roman"/>
        </w:rPr>
        <w:t xml:space="preserve"> </w:t>
      </w:r>
    </w:p>
    <w:p w14:paraId="61193EBD" w14:textId="309373D8" w:rsidR="008373AC" w:rsidRPr="00B026E4" w:rsidRDefault="008373AC" w:rsidP="00AF5C87">
      <w:pPr>
        <w:keepLines/>
        <w:spacing w:line="480" w:lineRule="auto"/>
        <w:jc w:val="center"/>
        <w:rPr>
          <w:rFonts w:ascii="Times New Roman" w:hAnsi="Times New Roman" w:cs="Times New Roman"/>
          <w:b/>
        </w:rPr>
      </w:pPr>
      <w:r w:rsidRPr="00B026E4">
        <w:rPr>
          <w:rFonts w:ascii="Times New Roman" w:hAnsi="Times New Roman" w:cs="Times New Roman"/>
          <w:b/>
        </w:rPr>
        <w:t xml:space="preserve">Table </w:t>
      </w:r>
      <w:r>
        <w:rPr>
          <w:rFonts w:ascii="Times New Roman" w:hAnsi="Times New Roman" w:cs="Times New Roman"/>
          <w:b/>
        </w:rPr>
        <w:t>1</w:t>
      </w:r>
      <w:r w:rsidR="00D80370">
        <w:rPr>
          <w:rFonts w:ascii="Times New Roman" w:hAnsi="Times New Roman" w:cs="Times New Roman"/>
          <w:b/>
        </w:rPr>
        <w:t>2</w:t>
      </w:r>
      <w:r>
        <w:rPr>
          <w:rFonts w:ascii="Times New Roman" w:hAnsi="Times New Roman" w:cs="Times New Roman"/>
          <w:b/>
        </w:rPr>
        <w:t>: Related Bankruptcy Cases</w:t>
      </w:r>
    </w:p>
    <w:tbl>
      <w:tblPr>
        <w:tblStyle w:val="TableGrid"/>
        <w:tblW w:w="8748" w:type="dxa"/>
        <w:tblLook w:val="04A0" w:firstRow="1" w:lastRow="0" w:firstColumn="1" w:lastColumn="0" w:noHBand="0" w:noVBand="1"/>
      </w:tblPr>
      <w:tblGrid>
        <w:gridCol w:w="1340"/>
        <w:gridCol w:w="1108"/>
        <w:gridCol w:w="1260"/>
        <w:gridCol w:w="1170"/>
        <w:gridCol w:w="1350"/>
        <w:gridCol w:w="1260"/>
        <w:gridCol w:w="1260"/>
      </w:tblGrid>
      <w:tr w:rsidR="008373AC" w:rsidRPr="00537498" w14:paraId="0DCE5E36" w14:textId="77777777" w:rsidTr="00D80370">
        <w:trPr>
          <w:trHeight w:val="300"/>
        </w:trPr>
        <w:tc>
          <w:tcPr>
            <w:tcW w:w="1340" w:type="dxa"/>
            <w:tcBorders>
              <w:top w:val="single" w:sz="18" w:space="0" w:color="auto"/>
              <w:left w:val="single" w:sz="18" w:space="0" w:color="auto"/>
              <w:bottom w:val="single" w:sz="18" w:space="0" w:color="auto"/>
              <w:right w:val="single" w:sz="18" w:space="0" w:color="auto"/>
            </w:tcBorders>
            <w:noWrap/>
            <w:hideMark/>
          </w:tcPr>
          <w:p w14:paraId="2088D053" w14:textId="77777777" w:rsidR="008373AC" w:rsidRPr="00B026E4" w:rsidRDefault="008373AC" w:rsidP="00AF5C87">
            <w:pPr>
              <w:keepLines/>
              <w:rPr>
                <w:rFonts w:ascii="Times New Roman" w:eastAsia="Times New Roman" w:hAnsi="Times New Roman" w:cs="Times New Roman"/>
                <w:color w:val="000000"/>
              </w:rPr>
            </w:pPr>
          </w:p>
        </w:tc>
        <w:tc>
          <w:tcPr>
            <w:tcW w:w="2368" w:type="dxa"/>
            <w:gridSpan w:val="2"/>
            <w:tcBorders>
              <w:top w:val="single" w:sz="18" w:space="0" w:color="auto"/>
              <w:left w:val="single" w:sz="18" w:space="0" w:color="auto"/>
              <w:bottom w:val="single" w:sz="18" w:space="0" w:color="auto"/>
              <w:right w:val="single" w:sz="18" w:space="0" w:color="auto"/>
            </w:tcBorders>
            <w:noWrap/>
            <w:hideMark/>
          </w:tcPr>
          <w:p w14:paraId="211D87F7" w14:textId="77777777" w:rsidR="00CB4B22" w:rsidRDefault="00CB4B22" w:rsidP="00AF5C87">
            <w:pPr>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p w14:paraId="3BACB6B3" w14:textId="77777777" w:rsidR="008373AC" w:rsidRPr="00B026E4" w:rsidRDefault="008373AC" w:rsidP="00AF5C87">
            <w:pPr>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Affiliate Bankruptcy</w:t>
            </w:r>
          </w:p>
        </w:tc>
        <w:tc>
          <w:tcPr>
            <w:tcW w:w="2520" w:type="dxa"/>
            <w:gridSpan w:val="2"/>
            <w:tcBorders>
              <w:top w:val="single" w:sz="18" w:space="0" w:color="auto"/>
              <w:left w:val="single" w:sz="18" w:space="0" w:color="auto"/>
              <w:bottom w:val="single" w:sz="18" w:space="0" w:color="auto"/>
              <w:right w:val="single" w:sz="18" w:space="0" w:color="auto"/>
            </w:tcBorders>
            <w:noWrap/>
            <w:hideMark/>
          </w:tcPr>
          <w:p w14:paraId="6849E1D2" w14:textId="77777777" w:rsidR="00CB4B22" w:rsidRDefault="00CB4B22" w:rsidP="00AF5C87">
            <w:pPr>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(B)</w:t>
            </w:r>
          </w:p>
          <w:p w14:paraId="6BE9D3DB" w14:textId="77777777" w:rsidR="008373AC" w:rsidRPr="00B026E4" w:rsidRDefault="008373AC" w:rsidP="00AF5C87">
            <w:pPr>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Administrative Consolidation</w:t>
            </w:r>
          </w:p>
        </w:tc>
        <w:tc>
          <w:tcPr>
            <w:tcW w:w="2520" w:type="dxa"/>
            <w:gridSpan w:val="2"/>
            <w:tcBorders>
              <w:top w:val="single" w:sz="18" w:space="0" w:color="auto"/>
              <w:left w:val="single" w:sz="18" w:space="0" w:color="auto"/>
              <w:bottom w:val="single" w:sz="18" w:space="0" w:color="auto"/>
              <w:right w:val="single" w:sz="18" w:space="0" w:color="auto"/>
            </w:tcBorders>
            <w:noWrap/>
            <w:hideMark/>
          </w:tcPr>
          <w:p w14:paraId="51B89AED" w14:textId="77777777" w:rsidR="00CB4B22" w:rsidRDefault="00CB4B22" w:rsidP="00AF5C87">
            <w:pPr>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w:t>
            </w:r>
          </w:p>
          <w:p w14:paraId="047168CE" w14:textId="321C4DFD" w:rsidR="008373AC" w:rsidRPr="00B026E4" w:rsidRDefault="008373AC" w:rsidP="00AF5C87">
            <w:pPr>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Substantive Consolidation</w:t>
            </w:r>
          </w:p>
        </w:tc>
      </w:tr>
      <w:tr w:rsidR="008373AC" w:rsidRPr="00537498" w14:paraId="41B3BE39" w14:textId="77777777" w:rsidTr="00741D07">
        <w:trPr>
          <w:trHeight w:val="300"/>
        </w:trPr>
        <w:tc>
          <w:tcPr>
            <w:tcW w:w="1340" w:type="dxa"/>
            <w:tcBorders>
              <w:top w:val="single" w:sz="18" w:space="0" w:color="auto"/>
              <w:right w:val="single" w:sz="18" w:space="0" w:color="auto"/>
            </w:tcBorders>
            <w:noWrap/>
            <w:hideMark/>
          </w:tcPr>
          <w:p w14:paraId="4100FA02" w14:textId="75693184" w:rsidR="008373AC" w:rsidRPr="00B026E4" w:rsidRDefault="008373AC" w:rsidP="00AF5C87">
            <w:pPr>
              <w:keepLines/>
              <w:rPr>
                <w:rFonts w:ascii="Times New Roman" w:eastAsia="Times New Roman" w:hAnsi="Times New Roman" w:cs="Times New Roman"/>
                <w:color w:val="000000"/>
              </w:rPr>
            </w:pPr>
          </w:p>
        </w:tc>
        <w:tc>
          <w:tcPr>
            <w:tcW w:w="1108" w:type="dxa"/>
            <w:tcBorders>
              <w:top w:val="single" w:sz="18" w:space="0" w:color="auto"/>
              <w:left w:val="single" w:sz="18" w:space="0" w:color="auto"/>
            </w:tcBorders>
            <w:noWrap/>
            <w:hideMark/>
          </w:tcPr>
          <w:p w14:paraId="5D840800" w14:textId="77777777" w:rsidR="008373AC" w:rsidRPr="00B026E4" w:rsidRDefault="008373AC" w:rsidP="00AF5C87">
            <w:pPr>
              <w:keepLines/>
              <w:jc w:val="right"/>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2010</w:t>
            </w:r>
          </w:p>
        </w:tc>
        <w:tc>
          <w:tcPr>
            <w:tcW w:w="1260" w:type="dxa"/>
            <w:tcBorders>
              <w:top w:val="single" w:sz="18" w:space="0" w:color="auto"/>
              <w:right w:val="single" w:sz="18" w:space="0" w:color="auto"/>
            </w:tcBorders>
            <w:noWrap/>
            <w:hideMark/>
          </w:tcPr>
          <w:p w14:paraId="2D33C9B5" w14:textId="77777777" w:rsidR="008373AC" w:rsidRPr="00B026E4" w:rsidRDefault="008373AC" w:rsidP="00AF5C87">
            <w:pPr>
              <w:keepLines/>
              <w:jc w:val="right"/>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2013</w:t>
            </w:r>
          </w:p>
        </w:tc>
        <w:tc>
          <w:tcPr>
            <w:tcW w:w="1170" w:type="dxa"/>
            <w:tcBorders>
              <w:top w:val="single" w:sz="18" w:space="0" w:color="auto"/>
              <w:left w:val="single" w:sz="18" w:space="0" w:color="auto"/>
            </w:tcBorders>
            <w:noWrap/>
            <w:hideMark/>
          </w:tcPr>
          <w:p w14:paraId="36CDF933" w14:textId="77777777" w:rsidR="008373AC" w:rsidRPr="00B026E4" w:rsidRDefault="008373AC" w:rsidP="00AF5C87">
            <w:pPr>
              <w:keepLines/>
              <w:jc w:val="right"/>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2010</w:t>
            </w:r>
          </w:p>
        </w:tc>
        <w:tc>
          <w:tcPr>
            <w:tcW w:w="1350" w:type="dxa"/>
            <w:tcBorders>
              <w:top w:val="single" w:sz="18" w:space="0" w:color="auto"/>
              <w:right w:val="single" w:sz="18" w:space="0" w:color="auto"/>
            </w:tcBorders>
            <w:noWrap/>
            <w:hideMark/>
          </w:tcPr>
          <w:p w14:paraId="16DDE834" w14:textId="77777777" w:rsidR="008373AC" w:rsidRPr="00B026E4" w:rsidRDefault="008373AC" w:rsidP="00AF5C87">
            <w:pPr>
              <w:keepLines/>
              <w:jc w:val="right"/>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2013</w:t>
            </w:r>
          </w:p>
        </w:tc>
        <w:tc>
          <w:tcPr>
            <w:tcW w:w="1260" w:type="dxa"/>
            <w:tcBorders>
              <w:top w:val="single" w:sz="18" w:space="0" w:color="auto"/>
              <w:left w:val="single" w:sz="18" w:space="0" w:color="auto"/>
            </w:tcBorders>
            <w:noWrap/>
            <w:hideMark/>
          </w:tcPr>
          <w:p w14:paraId="5A21E217" w14:textId="77777777" w:rsidR="008373AC" w:rsidRPr="00B026E4" w:rsidRDefault="008373AC" w:rsidP="00AF5C87">
            <w:pPr>
              <w:keepLines/>
              <w:jc w:val="right"/>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2010</w:t>
            </w:r>
          </w:p>
        </w:tc>
        <w:tc>
          <w:tcPr>
            <w:tcW w:w="1260" w:type="dxa"/>
            <w:tcBorders>
              <w:top w:val="single" w:sz="18" w:space="0" w:color="auto"/>
            </w:tcBorders>
            <w:noWrap/>
            <w:hideMark/>
          </w:tcPr>
          <w:p w14:paraId="60EB65F8" w14:textId="77777777" w:rsidR="008373AC" w:rsidRPr="00B026E4" w:rsidRDefault="008373AC" w:rsidP="00AF5C87">
            <w:pPr>
              <w:keepLines/>
              <w:jc w:val="right"/>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2013</w:t>
            </w:r>
          </w:p>
        </w:tc>
      </w:tr>
      <w:tr w:rsidR="008373AC" w:rsidRPr="00537498" w14:paraId="091BD5DF" w14:textId="77777777" w:rsidTr="00741D07">
        <w:trPr>
          <w:trHeight w:val="300"/>
        </w:trPr>
        <w:tc>
          <w:tcPr>
            <w:tcW w:w="1340" w:type="dxa"/>
            <w:tcBorders>
              <w:right w:val="single" w:sz="18" w:space="0" w:color="auto"/>
            </w:tcBorders>
            <w:noWrap/>
            <w:hideMark/>
          </w:tcPr>
          <w:p w14:paraId="27957676" w14:textId="77777777" w:rsidR="008373AC" w:rsidRPr="00B026E4" w:rsidRDefault="008373AC" w:rsidP="00AF5C87">
            <w:pPr>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Yes</w:t>
            </w:r>
          </w:p>
        </w:tc>
        <w:tc>
          <w:tcPr>
            <w:tcW w:w="1108" w:type="dxa"/>
            <w:tcBorders>
              <w:left w:val="single" w:sz="18" w:space="0" w:color="auto"/>
            </w:tcBorders>
            <w:noWrap/>
            <w:hideMark/>
          </w:tcPr>
          <w:p w14:paraId="2BEE59F8" w14:textId="115FA8FA" w:rsidR="008373AC" w:rsidRPr="00B026E4" w:rsidRDefault="005808CE" w:rsidP="00AF5C87">
            <w:pPr>
              <w:keepLines/>
              <w:jc w:val="right"/>
              <w:rPr>
                <w:rFonts w:ascii="Times New Roman" w:eastAsia="Times New Roman" w:hAnsi="Times New Roman" w:cs="Times New Roman"/>
                <w:color w:val="000000"/>
              </w:rPr>
            </w:pPr>
            <w:r w:rsidRPr="005808CE">
              <w:rPr>
                <w:rFonts w:ascii="Times New Roman" w:eastAsia="Times New Roman" w:hAnsi="Times New Roman" w:cs="Times New Roman"/>
                <w:color w:val="000000"/>
              </w:rPr>
              <w:t>4.6%</w:t>
            </w:r>
          </w:p>
        </w:tc>
        <w:tc>
          <w:tcPr>
            <w:tcW w:w="1260" w:type="dxa"/>
            <w:tcBorders>
              <w:right w:val="single" w:sz="18" w:space="0" w:color="auto"/>
            </w:tcBorders>
            <w:noWrap/>
            <w:hideMark/>
          </w:tcPr>
          <w:p w14:paraId="71FE5569"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12.3%</w:t>
            </w:r>
          </w:p>
        </w:tc>
        <w:tc>
          <w:tcPr>
            <w:tcW w:w="1170" w:type="dxa"/>
            <w:tcBorders>
              <w:left w:val="single" w:sz="18" w:space="0" w:color="auto"/>
            </w:tcBorders>
            <w:noWrap/>
            <w:hideMark/>
          </w:tcPr>
          <w:p w14:paraId="451F8093"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7.3%</w:t>
            </w:r>
          </w:p>
        </w:tc>
        <w:tc>
          <w:tcPr>
            <w:tcW w:w="1350" w:type="dxa"/>
            <w:tcBorders>
              <w:right w:val="single" w:sz="18" w:space="0" w:color="auto"/>
            </w:tcBorders>
            <w:noWrap/>
            <w:hideMark/>
          </w:tcPr>
          <w:p w14:paraId="649462BD"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3.5%</w:t>
            </w:r>
          </w:p>
        </w:tc>
        <w:tc>
          <w:tcPr>
            <w:tcW w:w="1260" w:type="dxa"/>
            <w:tcBorders>
              <w:left w:val="single" w:sz="18" w:space="0" w:color="auto"/>
            </w:tcBorders>
            <w:noWrap/>
            <w:hideMark/>
          </w:tcPr>
          <w:p w14:paraId="2B9CD69C"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0.0%</w:t>
            </w:r>
          </w:p>
        </w:tc>
        <w:tc>
          <w:tcPr>
            <w:tcW w:w="1260" w:type="dxa"/>
            <w:noWrap/>
            <w:hideMark/>
          </w:tcPr>
          <w:p w14:paraId="3AE1F25E"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0.0%</w:t>
            </w:r>
          </w:p>
        </w:tc>
      </w:tr>
      <w:tr w:rsidR="008373AC" w:rsidRPr="00537498" w14:paraId="5F1CCD06" w14:textId="77777777" w:rsidTr="00741D07">
        <w:trPr>
          <w:trHeight w:val="300"/>
        </w:trPr>
        <w:tc>
          <w:tcPr>
            <w:tcW w:w="1340" w:type="dxa"/>
            <w:tcBorders>
              <w:right w:val="single" w:sz="18" w:space="0" w:color="auto"/>
            </w:tcBorders>
            <w:noWrap/>
            <w:hideMark/>
          </w:tcPr>
          <w:p w14:paraId="0BE877B3" w14:textId="77777777" w:rsidR="008373AC" w:rsidRPr="00B026E4" w:rsidRDefault="008373AC" w:rsidP="00AF5C87">
            <w:pPr>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No</w:t>
            </w:r>
          </w:p>
        </w:tc>
        <w:tc>
          <w:tcPr>
            <w:tcW w:w="1108" w:type="dxa"/>
            <w:tcBorders>
              <w:left w:val="single" w:sz="18" w:space="0" w:color="auto"/>
            </w:tcBorders>
            <w:noWrap/>
            <w:hideMark/>
          </w:tcPr>
          <w:p w14:paraId="7044BD87" w14:textId="1DE22DBA" w:rsidR="008373AC" w:rsidRPr="00B026E4" w:rsidRDefault="005808CE" w:rsidP="00AF5C87">
            <w:pPr>
              <w:keepLines/>
              <w:jc w:val="right"/>
              <w:rPr>
                <w:rFonts w:ascii="Times New Roman" w:eastAsia="Times New Roman" w:hAnsi="Times New Roman" w:cs="Times New Roman"/>
                <w:color w:val="000000"/>
              </w:rPr>
            </w:pPr>
            <w:r w:rsidRPr="005808CE">
              <w:rPr>
                <w:rFonts w:ascii="Times New Roman" w:eastAsia="Times New Roman" w:hAnsi="Times New Roman" w:cs="Times New Roman"/>
                <w:color w:val="000000"/>
              </w:rPr>
              <w:t>89.9%</w:t>
            </w:r>
          </w:p>
        </w:tc>
        <w:tc>
          <w:tcPr>
            <w:tcW w:w="1260" w:type="dxa"/>
            <w:tcBorders>
              <w:right w:val="single" w:sz="18" w:space="0" w:color="auto"/>
            </w:tcBorders>
            <w:noWrap/>
            <w:hideMark/>
          </w:tcPr>
          <w:p w14:paraId="1827EA64"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85.1%</w:t>
            </w:r>
          </w:p>
        </w:tc>
        <w:tc>
          <w:tcPr>
            <w:tcW w:w="1170" w:type="dxa"/>
            <w:tcBorders>
              <w:left w:val="single" w:sz="18" w:space="0" w:color="auto"/>
            </w:tcBorders>
            <w:noWrap/>
            <w:hideMark/>
          </w:tcPr>
          <w:p w14:paraId="4E57CC07"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92.7%</w:t>
            </w:r>
          </w:p>
        </w:tc>
        <w:tc>
          <w:tcPr>
            <w:tcW w:w="1350" w:type="dxa"/>
            <w:tcBorders>
              <w:right w:val="single" w:sz="18" w:space="0" w:color="auto"/>
            </w:tcBorders>
            <w:noWrap/>
            <w:hideMark/>
          </w:tcPr>
          <w:p w14:paraId="193B103F"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96.5%</w:t>
            </w:r>
          </w:p>
        </w:tc>
        <w:tc>
          <w:tcPr>
            <w:tcW w:w="1260" w:type="dxa"/>
            <w:tcBorders>
              <w:left w:val="single" w:sz="18" w:space="0" w:color="auto"/>
            </w:tcBorders>
            <w:noWrap/>
            <w:hideMark/>
          </w:tcPr>
          <w:p w14:paraId="09EB035A"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100.0%</w:t>
            </w:r>
          </w:p>
        </w:tc>
        <w:tc>
          <w:tcPr>
            <w:tcW w:w="1260" w:type="dxa"/>
            <w:noWrap/>
            <w:hideMark/>
          </w:tcPr>
          <w:p w14:paraId="17EC4B98"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100.0%</w:t>
            </w:r>
          </w:p>
        </w:tc>
      </w:tr>
      <w:tr w:rsidR="008373AC" w:rsidRPr="00537498" w14:paraId="6EB1981D" w14:textId="77777777" w:rsidTr="00741D07">
        <w:trPr>
          <w:trHeight w:val="300"/>
        </w:trPr>
        <w:tc>
          <w:tcPr>
            <w:tcW w:w="1340" w:type="dxa"/>
            <w:tcBorders>
              <w:right w:val="single" w:sz="18" w:space="0" w:color="auto"/>
            </w:tcBorders>
            <w:noWrap/>
            <w:hideMark/>
          </w:tcPr>
          <w:p w14:paraId="6EF251F8" w14:textId="77777777" w:rsidR="008373AC" w:rsidRPr="00B026E4" w:rsidRDefault="008373AC" w:rsidP="00AF5C87">
            <w:pPr>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Unknown</w:t>
            </w:r>
          </w:p>
        </w:tc>
        <w:tc>
          <w:tcPr>
            <w:tcW w:w="1108" w:type="dxa"/>
            <w:tcBorders>
              <w:left w:val="single" w:sz="18" w:space="0" w:color="auto"/>
            </w:tcBorders>
            <w:noWrap/>
            <w:hideMark/>
          </w:tcPr>
          <w:p w14:paraId="613F7B6C"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5.5%</w:t>
            </w:r>
          </w:p>
        </w:tc>
        <w:tc>
          <w:tcPr>
            <w:tcW w:w="1260" w:type="dxa"/>
            <w:tcBorders>
              <w:right w:val="single" w:sz="18" w:space="0" w:color="auto"/>
            </w:tcBorders>
            <w:noWrap/>
            <w:hideMark/>
          </w:tcPr>
          <w:p w14:paraId="5B6EC077"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2.6%</w:t>
            </w:r>
          </w:p>
        </w:tc>
        <w:tc>
          <w:tcPr>
            <w:tcW w:w="1170" w:type="dxa"/>
            <w:tcBorders>
              <w:left w:val="single" w:sz="18" w:space="0" w:color="auto"/>
            </w:tcBorders>
            <w:noWrap/>
            <w:hideMark/>
          </w:tcPr>
          <w:p w14:paraId="42DA7417"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0.0%</w:t>
            </w:r>
          </w:p>
        </w:tc>
        <w:tc>
          <w:tcPr>
            <w:tcW w:w="1350" w:type="dxa"/>
            <w:tcBorders>
              <w:right w:val="single" w:sz="18" w:space="0" w:color="auto"/>
            </w:tcBorders>
            <w:noWrap/>
            <w:hideMark/>
          </w:tcPr>
          <w:p w14:paraId="51A46E8C"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0.0%</w:t>
            </w:r>
          </w:p>
        </w:tc>
        <w:tc>
          <w:tcPr>
            <w:tcW w:w="1260" w:type="dxa"/>
            <w:tcBorders>
              <w:left w:val="single" w:sz="18" w:space="0" w:color="auto"/>
            </w:tcBorders>
            <w:noWrap/>
            <w:hideMark/>
          </w:tcPr>
          <w:p w14:paraId="2C31C2AF"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0.0%</w:t>
            </w:r>
          </w:p>
        </w:tc>
        <w:tc>
          <w:tcPr>
            <w:tcW w:w="1260" w:type="dxa"/>
            <w:noWrap/>
            <w:hideMark/>
          </w:tcPr>
          <w:p w14:paraId="0C06748A"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0.0%</w:t>
            </w:r>
          </w:p>
        </w:tc>
      </w:tr>
    </w:tbl>
    <w:p w14:paraId="2E258367" w14:textId="77777777" w:rsidR="008373AC" w:rsidRPr="00537498" w:rsidRDefault="008373AC" w:rsidP="008373AC">
      <w:pPr>
        <w:rPr>
          <w:rFonts w:ascii="Times New Roman" w:hAnsi="Times New Roman" w:cs="Times New Roman"/>
        </w:rPr>
      </w:pPr>
    </w:p>
    <w:p w14:paraId="702ECB6D" w14:textId="11CCCE61" w:rsidR="008373AC" w:rsidRPr="00537498" w:rsidRDefault="008373AC" w:rsidP="008373AC">
      <w:pPr>
        <w:spacing w:line="480" w:lineRule="auto"/>
        <w:rPr>
          <w:rFonts w:ascii="Times New Roman" w:hAnsi="Times New Roman" w:cs="Times New Roman"/>
        </w:rPr>
      </w:pPr>
      <w:r w:rsidRPr="00537498">
        <w:rPr>
          <w:rFonts w:ascii="Times New Roman" w:hAnsi="Times New Roman" w:cs="Times New Roman"/>
        </w:rPr>
        <w:tab/>
        <w:t xml:space="preserve">To </w:t>
      </w:r>
      <w:r w:rsidR="00461985">
        <w:rPr>
          <w:rFonts w:ascii="Times New Roman" w:hAnsi="Times New Roman" w:cs="Times New Roman"/>
        </w:rPr>
        <w:t>test</w:t>
      </w:r>
      <w:r w:rsidR="00461985" w:rsidRPr="00537498">
        <w:rPr>
          <w:rFonts w:ascii="Times New Roman" w:hAnsi="Times New Roman" w:cs="Times New Roman"/>
        </w:rPr>
        <w:t xml:space="preserve"> </w:t>
      </w:r>
      <w:r w:rsidRPr="00537498">
        <w:rPr>
          <w:rFonts w:ascii="Times New Roman" w:hAnsi="Times New Roman" w:cs="Times New Roman"/>
        </w:rPr>
        <w:t xml:space="preserve">for </w:t>
      </w:r>
      <w:r>
        <w:rPr>
          <w:rFonts w:ascii="Times New Roman" w:hAnsi="Times New Roman" w:cs="Times New Roman"/>
        </w:rPr>
        <w:t xml:space="preserve">further </w:t>
      </w:r>
      <w:r w:rsidRPr="00537498">
        <w:rPr>
          <w:rFonts w:ascii="Times New Roman" w:hAnsi="Times New Roman" w:cs="Times New Roman"/>
        </w:rPr>
        <w:t>entanglements</w:t>
      </w:r>
      <w:r>
        <w:rPr>
          <w:rFonts w:ascii="Times New Roman" w:hAnsi="Times New Roman" w:cs="Times New Roman"/>
        </w:rPr>
        <w:t xml:space="preserve"> between </w:t>
      </w:r>
      <w:r w:rsidR="00E32E8B">
        <w:rPr>
          <w:rFonts w:ascii="Times New Roman" w:hAnsi="Times New Roman" w:cs="Times New Roman"/>
        </w:rPr>
        <w:t xml:space="preserve">a </w:t>
      </w:r>
      <w:r>
        <w:rPr>
          <w:rFonts w:ascii="Times New Roman" w:hAnsi="Times New Roman" w:cs="Times New Roman"/>
        </w:rPr>
        <w:t>debtor’s financial affairs and those of another individual or legal entity</w:t>
      </w:r>
      <w:r w:rsidRPr="00537498">
        <w:rPr>
          <w:rFonts w:ascii="Times New Roman" w:hAnsi="Times New Roman" w:cs="Times New Roman"/>
        </w:rPr>
        <w:t xml:space="preserve">, we </w:t>
      </w:r>
      <w:r w:rsidR="00CB4B22">
        <w:rPr>
          <w:rFonts w:ascii="Times New Roman" w:hAnsi="Times New Roman" w:cs="Times New Roman"/>
        </w:rPr>
        <w:t xml:space="preserve">also </w:t>
      </w:r>
      <w:r w:rsidRPr="00537498">
        <w:rPr>
          <w:rFonts w:ascii="Times New Roman" w:hAnsi="Times New Roman" w:cs="Times New Roman"/>
        </w:rPr>
        <w:t xml:space="preserve">looked </w:t>
      </w:r>
      <w:r w:rsidR="00CB4B22">
        <w:rPr>
          <w:rFonts w:ascii="Times New Roman" w:hAnsi="Times New Roman" w:cs="Times New Roman"/>
        </w:rPr>
        <w:t xml:space="preserve">at whether the debtor had guaranteed </w:t>
      </w:r>
      <w:r w:rsidR="00D913C8">
        <w:rPr>
          <w:rFonts w:ascii="Times New Roman" w:hAnsi="Times New Roman" w:cs="Times New Roman"/>
        </w:rPr>
        <w:t>the debt of another or serv</w:t>
      </w:r>
      <w:r w:rsidR="00CB4B22">
        <w:rPr>
          <w:rFonts w:ascii="Times New Roman" w:hAnsi="Times New Roman" w:cs="Times New Roman"/>
        </w:rPr>
        <w:t>ed</w:t>
      </w:r>
      <w:r w:rsidR="00D913C8">
        <w:rPr>
          <w:rFonts w:ascii="Times New Roman" w:hAnsi="Times New Roman" w:cs="Times New Roman"/>
        </w:rPr>
        <w:t xml:space="preserve"> as a co-debtor </w:t>
      </w:r>
      <w:r w:rsidRPr="00537498">
        <w:rPr>
          <w:rFonts w:ascii="Times New Roman" w:hAnsi="Times New Roman" w:cs="Times New Roman"/>
        </w:rPr>
        <w:t>for</w:t>
      </w:r>
      <w:r w:rsidR="00D913C8">
        <w:rPr>
          <w:rFonts w:ascii="Times New Roman" w:hAnsi="Times New Roman" w:cs="Times New Roman"/>
        </w:rPr>
        <w:t xml:space="preserve"> someone other than </w:t>
      </w:r>
      <w:r w:rsidR="008444B8">
        <w:rPr>
          <w:rFonts w:ascii="Times New Roman" w:hAnsi="Times New Roman" w:cs="Times New Roman"/>
        </w:rPr>
        <w:t>a</w:t>
      </w:r>
      <w:r w:rsidR="00D913C8">
        <w:rPr>
          <w:rFonts w:ascii="Times New Roman" w:hAnsi="Times New Roman" w:cs="Times New Roman"/>
        </w:rPr>
        <w:t xml:space="preserve"> spouse</w:t>
      </w:r>
      <w:r w:rsidRPr="00537498">
        <w:rPr>
          <w:rFonts w:ascii="Times New Roman" w:hAnsi="Times New Roman" w:cs="Times New Roman"/>
        </w:rPr>
        <w:t xml:space="preserve">. </w:t>
      </w:r>
      <w:r>
        <w:rPr>
          <w:rFonts w:ascii="Times New Roman" w:hAnsi="Times New Roman" w:cs="Times New Roman"/>
        </w:rPr>
        <w:t xml:space="preserve">We coded </w:t>
      </w:r>
      <w:r w:rsidR="00E32E8B">
        <w:rPr>
          <w:rFonts w:ascii="Times New Roman" w:hAnsi="Times New Roman" w:cs="Times New Roman"/>
        </w:rPr>
        <w:t xml:space="preserve">not only </w:t>
      </w:r>
      <w:r>
        <w:rPr>
          <w:rFonts w:ascii="Times New Roman" w:hAnsi="Times New Roman" w:cs="Times New Roman"/>
        </w:rPr>
        <w:t>for the existence of a guarant</w:t>
      </w:r>
      <w:r w:rsidR="008A442F">
        <w:rPr>
          <w:rFonts w:ascii="Times New Roman" w:hAnsi="Times New Roman" w:cs="Times New Roman"/>
        </w:rPr>
        <w:t>y</w:t>
      </w:r>
      <w:r>
        <w:rPr>
          <w:rFonts w:ascii="Times New Roman" w:hAnsi="Times New Roman" w:cs="Times New Roman"/>
        </w:rPr>
        <w:t xml:space="preserve"> or co-debtor, but also </w:t>
      </w:r>
      <w:r w:rsidR="00CB4B22">
        <w:rPr>
          <w:rFonts w:ascii="Times New Roman" w:hAnsi="Times New Roman" w:cs="Times New Roman"/>
        </w:rPr>
        <w:t xml:space="preserve">for </w:t>
      </w:r>
      <w:r>
        <w:rPr>
          <w:rFonts w:ascii="Times New Roman" w:hAnsi="Times New Roman" w:cs="Times New Roman"/>
        </w:rPr>
        <w:t xml:space="preserve">whether the </w:t>
      </w:r>
      <w:r w:rsidR="008A442F">
        <w:rPr>
          <w:rFonts w:ascii="Times New Roman" w:hAnsi="Times New Roman" w:cs="Times New Roman"/>
        </w:rPr>
        <w:t xml:space="preserve">co-debtor or the </w:t>
      </w:r>
      <w:r w:rsidR="00570A09">
        <w:rPr>
          <w:rFonts w:ascii="Times New Roman" w:hAnsi="Times New Roman" w:cs="Times New Roman"/>
        </w:rPr>
        <w:t xml:space="preserve">obligor on </w:t>
      </w:r>
      <w:r w:rsidR="008A442F">
        <w:rPr>
          <w:rFonts w:ascii="Times New Roman" w:hAnsi="Times New Roman" w:cs="Times New Roman"/>
        </w:rPr>
        <w:t>the guaranteed debt</w:t>
      </w:r>
      <w:r>
        <w:rPr>
          <w:rFonts w:ascii="Times New Roman" w:hAnsi="Times New Roman" w:cs="Times New Roman"/>
        </w:rPr>
        <w:t xml:space="preserve"> was an individual or non-human legal entity. </w:t>
      </w:r>
      <w:r w:rsidR="00DC40E4">
        <w:rPr>
          <w:rFonts w:ascii="Times New Roman" w:hAnsi="Times New Roman" w:cs="Times New Roman"/>
        </w:rPr>
        <w:t xml:space="preserve">The most striking finding, shown in </w:t>
      </w:r>
      <w:r>
        <w:rPr>
          <w:rFonts w:ascii="Times New Roman" w:hAnsi="Times New Roman" w:cs="Times New Roman"/>
        </w:rPr>
        <w:t>Table 1</w:t>
      </w:r>
      <w:r w:rsidR="00D80370">
        <w:rPr>
          <w:rFonts w:ascii="Times New Roman" w:hAnsi="Times New Roman" w:cs="Times New Roman"/>
        </w:rPr>
        <w:t>3</w:t>
      </w:r>
      <w:r w:rsidR="00DC40E4">
        <w:rPr>
          <w:rFonts w:ascii="Times New Roman" w:hAnsi="Times New Roman" w:cs="Times New Roman"/>
        </w:rPr>
        <w:t>,</w:t>
      </w:r>
      <w:r w:rsidR="00405E3E">
        <w:rPr>
          <w:rFonts w:ascii="Times New Roman" w:hAnsi="Times New Roman" w:cs="Times New Roman"/>
        </w:rPr>
        <w:t xml:space="preserve"> is that more than </w:t>
      </w:r>
      <w:r w:rsidR="00D45089">
        <w:rPr>
          <w:rFonts w:ascii="Times New Roman" w:hAnsi="Times New Roman" w:cs="Times New Roman"/>
        </w:rPr>
        <w:t>30</w:t>
      </w:r>
      <w:r w:rsidR="00132831">
        <w:rPr>
          <w:rFonts w:ascii="Times New Roman" w:hAnsi="Times New Roman" w:cs="Times New Roman"/>
        </w:rPr>
        <w:t>%</w:t>
      </w:r>
      <w:r w:rsidR="00405E3E">
        <w:rPr>
          <w:rFonts w:ascii="Times New Roman" w:hAnsi="Times New Roman" w:cs="Times New Roman"/>
        </w:rPr>
        <w:t xml:space="preserve"> of the debtors in each year were liable</w:t>
      </w:r>
      <w:r w:rsidR="00CB4B22">
        <w:rPr>
          <w:rFonts w:ascii="Times New Roman" w:hAnsi="Times New Roman" w:cs="Times New Roman"/>
        </w:rPr>
        <w:t>, in some fashion,</w:t>
      </w:r>
      <w:r w:rsidR="00405E3E">
        <w:rPr>
          <w:rFonts w:ascii="Times New Roman" w:hAnsi="Times New Roman" w:cs="Times New Roman"/>
        </w:rPr>
        <w:t xml:space="preserve"> for debt owed by a</w:t>
      </w:r>
      <w:r w:rsidR="00583CB6">
        <w:rPr>
          <w:rFonts w:ascii="Times New Roman" w:hAnsi="Times New Roman" w:cs="Times New Roman"/>
        </w:rPr>
        <w:t>nother</w:t>
      </w:r>
      <w:r w:rsidR="00405E3E">
        <w:rPr>
          <w:rFonts w:ascii="Times New Roman" w:hAnsi="Times New Roman" w:cs="Times New Roman"/>
        </w:rPr>
        <w:t xml:space="preserve"> legal entity</w:t>
      </w:r>
      <w:r w:rsidR="00DC40E4">
        <w:rPr>
          <w:rFonts w:ascii="Times New Roman" w:hAnsi="Times New Roman" w:cs="Times New Roman"/>
        </w:rPr>
        <w:t>. This</w:t>
      </w:r>
      <w:r w:rsidR="00405E3E">
        <w:rPr>
          <w:rFonts w:ascii="Times New Roman" w:hAnsi="Times New Roman" w:cs="Times New Roman"/>
        </w:rPr>
        <w:t xml:space="preserve"> </w:t>
      </w:r>
      <w:r w:rsidR="00CB4B22">
        <w:rPr>
          <w:rFonts w:ascii="Times New Roman" w:hAnsi="Times New Roman" w:cs="Times New Roman"/>
        </w:rPr>
        <w:t xml:space="preserve">finding </w:t>
      </w:r>
      <w:r w:rsidR="00405E3E">
        <w:rPr>
          <w:rFonts w:ascii="Times New Roman" w:hAnsi="Times New Roman" w:cs="Times New Roman"/>
        </w:rPr>
        <w:t>suggest</w:t>
      </w:r>
      <w:r w:rsidR="00DC40E4">
        <w:rPr>
          <w:rFonts w:ascii="Times New Roman" w:hAnsi="Times New Roman" w:cs="Times New Roman"/>
        </w:rPr>
        <w:t>s</w:t>
      </w:r>
      <w:r w:rsidR="00405E3E">
        <w:rPr>
          <w:rFonts w:ascii="Times New Roman" w:hAnsi="Times New Roman" w:cs="Times New Roman"/>
        </w:rPr>
        <w:t xml:space="preserve"> substantial entanglement in some business enterprise</w:t>
      </w:r>
      <w:r w:rsidR="00CB4B22">
        <w:rPr>
          <w:rFonts w:ascii="Times New Roman" w:hAnsi="Times New Roman" w:cs="Times New Roman"/>
        </w:rPr>
        <w:t xml:space="preserve"> among the individual chapter 11 debtors in our random samples</w:t>
      </w:r>
      <w:r w:rsidR="00405E3E">
        <w:rPr>
          <w:rFonts w:ascii="Times New Roman" w:hAnsi="Times New Roman" w:cs="Times New Roman"/>
        </w:rPr>
        <w:t>.</w:t>
      </w:r>
    </w:p>
    <w:p w14:paraId="75F7E33D" w14:textId="77777777" w:rsidR="00461985" w:rsidRDefault="00461985" w:rsidP="008373AC">
      <w:pPr>
        <w:jc w:val="center"/>
        <w:rPr>
          <w:rFonts w:ascii="Times New Roman" w:hAnsi="Times New Roman" w:cs="Times New Roman"/>
          <w:b/>
        </w:rPr>
      </w:pPr>
    </w:p>
    <w:p w14:paraId="70B08416" w14:textId="77777777" w:rsidR="009629EF" w:rsidRDefault="009629EF" w:rsidP="00AF5C87">
      <w:pPr>
        <w:keepLines/>
        <w:spacing w:line="480" w:lineRule="auto"/>
        <w:jc w:val="center"/>
        <w:rPr>
          <w:rFonts w:ascii="Times New Roman" w:hAnsi="Times New Roman" w:cs="Times New Roman"/>
          <w:b/>
        </w:rPr>
      </w:pPr>
    </w:p>
    <w:p w14:paraId="60FA5D17" w14:textId="7CF85193" w:rsidR="008373AC" w:rsidRPr="00B026E4" w:rsidRDefault="008373AC" w:rsidP="00A42155">
      <w:pPr>
        <w:keepNext/>
        <w:keepLines/>
        <w:spacing w:line="480" w:lineRule="auto"/>
        <w:jc w:val="center"/>
        <w:rPr>
          <w:rFonts w:ascii="Times New Roman" w:hAnsi="Times New Roman" w:cs="Times New Roman"/>
          <w:b/>
        </w:rPr>
      </w:pPr>
      <w:r w:rsidRPr="00B026E4">
        <w:rPr>
          <w:rFonts w:ascii="Times New Roman" w:hAnsi="Times New Roman" w:cs="Times New Roman"/>
          <w:b/>
        </w:rPr>
        <w:t xml:space="preserve">Table </w:t>
      </w:r>
      <w:r w:rsidR="00AC11DB">
        <w:rPr>
          <w:rFonts w:ascii="Times New Roman" w:hAnsi="Times New Roman" w:cs="Times New Roman"/>
          <w:b/>
        </w:rPr>
        <w:t>1</w:t>
      </w:r>
      <w:r w:rsidR="00D80370">
        <w:rPr>
          <w:rFonts w:ascii="Times New Roman" w:hAnsi="Times New Roman" w:cs="Times New Roman"/>
          <w:b/>
        </w:rPr>
        <w:t>3</w:t>
      </w:r>
      <w:r w:rsidRPr="00B026E4">
        <w:rPr>
          <w:rFonts w:ascii="Times New Roman" w:hAnsi="Times New Roman" w:cs="Times New Roman"/>
          <w:b/>
        </w:rPr>
        <w:t>: Guarant</w:t>
      </w:r>
      <w:r w:rsidR="00CB4CA2">
        <w:rPr>
          <w:rFonts w:ascii="Times New Roman" w:hAnsi="Times New Roman" w:cs="Times New Roman"/>
          <w:b/>
        </w:rPr>
        <w:t>ie</w:t>
      </w:r>
      <w:r>
        <w:rPr>
          <w:rFonts w:ascii="Times New Roman" w:hAnsi="Times New Roman" w:cs="Times New Roman"/>
          <w:b/>
        </w:rPr>
        <w:t>s</w:t>
      </w:r>
      <w:r w:rsidRPr="00B026E4">
        <w:rPr>
          <w:rFonts w:ascii="Times New Roman" w:hAnsi="Times New Roman" w:cs="Times New Roman"/>
          <w:b/>
        </w:rPr>
        <w:t xml:space="preserve"> </w:t>
      </w:r>
      <w:r w:rsidR="00405E3E">
        <w:rPr>
          <w:rFonts w:ascii="Times New Roman" w:hAnsi="Times New Roman" w:cs="Times New Roman"/>
          <w:b/>
        </w:rPr>
        <w:t>or</w:t>
      </w:r>
      <w:r w:rsidRPr="00B026E4">
        <w:rPr>
          <w:rFonts w:ascii="Times New Roman" w:hAnsi="Times New Roman" w:cs="Times New Roman"/>
          <w:b/>
        </w:rPr>
        <w:t xml:space="preserve"> Co-Debtors</w:t>
      </w:r>
    </w:p>
    <w:tbl>
      <w:tblPr>
        <w:tblStyle w:val="TableGrid"/>
        <w:tblW w:w="7920" w:type="dxa"/>
        <w:tblInd w:w="288" w:type="dxa"/>
        <w:tblLayout w:type="fixed"/>
        <w:tblLook w:val="04A0" w:firstRow="1" w:lastRow="0" w:firstColumn="1" w:lastColumn="0" w:noHBand="0" w:noVBand="1"/>
      </w:tblPr>
      <w:tblGrid>
        <w:gridCol w:w="4860"/>
        <w:gridCol w:w="1530"/>
        <w:gridCol w:w="1530"/>
      </w:tblGrid>
      <w:tr w:rsidR="00405E3E" w:rsidRPr="00537498" w14:paraId="233D9217" w14:textId="77777777" w:rsidTr="00A6149D">
        <w:trPr>
          <w:trHeight w:val="300"/>
        </w:trPr>
        <w:tc>
          <w:tcPr>
            <w:tcW w:w="4860" w:type="dxa"/>
            <w:tcBorders>
              <w:top w:val="nil"/>
              <w:left w:val="nil"/>
              <w:bottom w:val="single" w:sz="18" w:space="0" w:color="auto"/>
              <w:right w:val="single" w:sz="18" w:space="0" w:color="auto"/>
            </w:tcBorders>
            <w:noWrap/>
            <w:hideMark/>
          </w:tcPr>
          <w:p w14:paraId="7FD21484" w14:textId="77777777" w:rsidR="00405E3E" w:rsidRPr="00B026E4" w:rsidRDefault="00405E3E" w:rsidP="00A42155">
            <w:pPr>
              <w:keepNext/>
              <w:keepLines/>
              <w:rPr>
                <w:rFonts w:ascii="Times New Roman" w:eastAsia="Times New Roman" w:hAnsi="Times New Roman" w:cs="Times New Roman"/>
                <w:color w:val="000000"/>
              </w:rPr>
            </w:pPr>
          </w:p>
        </w:tc>
        <w:tc>
          <w:tcPr>
            <w:tcW w:w="3060" w:type="dxa"/>
            <w:gridSpan w:val="2"/>
            <w:tcBorders>
              <w:top w:val="single" w:sz="18" w:space="0" w:color="auto"/>
              <w:left w:val="single" w:sz="18" w:space="0" w:color="auto"/>
              <w:bottom w:val="single" w:sz="18" w:space="0" w:color="auto"/>
              <w:right w:val="single" w:sz="18" w:space="0" w:color="auto"/>
            </w:tcBorders>
            <w:noWrap/>
            <w:hideMark/>
          </w:tcPr>
          <w:p w14:paraId="2860C3A0" w14:textId="1C816474" w:rsidR="00405E3E" w:rsidRPr="00B026E4" w:rsidRDefault="00405E3E" w:rsidP="00A42155">
            <w:pPr>
              <w:keepNext/>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Guaranty or Co-Debtor</w:t>
            </w:r>
          </w:p>
        </w:tc>
      </w:tr>
      <w:tr w:rsidR="00405E3E" w:rsidRPr="00537498" w14:paraId="6078ACE2" w14:textId="77777777" w:rsidTr="00A6149D">
        <w:trPr>
          <w:trHeight w:val="300"/>
        </w:trPr>
        <w:tc>
          <w:tcPr>
            <w:tcW w:w="4860" w:type="dxa"/>
            <w:tcBorders>
              <w:top w:val="single" w:sz="18" w:space="0" w:color="auto"/>
              <w:left w:val="single" w:sz="18" w:space="0" w:color="auto"/>
              <w:bottom w:val="single" w:sz="18" w:space="0" w:color="auto"/>
              <w:right w:val="single" w:sz="18" w:space="0" w:color="auto"/>
            </w:tcBorders>
            <w:noWrap/>
            <w:hideMark/>
          </w:tcPr>
          <w:p w14:paraId="0C1A4258" w14:textId="77777777" w:rsidR="00405E3E" w:rsidRPr="00B026E4" w:rsidRDefault="00405E3E" w:rsidP="00A42155">
            <w:pPr>
              <w:keepNext/>
              <w:keepLines/>
              <w:rPr>
                <w:rFonts w:ascii="Times New Roman" w:eastAsia="Times New Roman" w:hAnsi="Times New Roman" w:cs="Times New Roman"/>
                <w:color w:val="000000"/>
              </w:rPr>
            </w:pPr>
          </w:p>
        </w:tc>
        <w:tc>
          <w:tcPr>
            <w:tcW w:w="1530" w:type="dxa"/>
            <w:tcBorders>
              <w:top w:val="single" w:sz="18" w:space="0" w:color="auto"/>
              <w:left w:val="single" w:sz="18" w:space="0" w:color="auto"/>
              <w:bottom w:val="single" w:sz="18" w:space="0" w:color="auto"/>
              <w:right w:val="single" w:sz="18" w:space="0" w:color="auto"/>
            </w:tcBorders>
            <w:noWrap/>
            <w:hideMark/>
          </w:tcPr>
          <w:p w14:paraId="3F2B3716" w14:textId="77777777" w:rsidR="00405E3E" w:rsidRPr="00B026E4" w:rsidRDefault="00405E3E" w:rsidP="00A42155">
            <w:pPr>
              <w:keepNext/>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2010</w:t>
            </w:r>
          </w:p>
        </w:tc>
        <w:tc>
          <w:tcPr>
            <w:tcW w:w="1530" w:type="dxa"/>
            <w:tcBorders>
              <w:top w:val="single" w:sz="18" w:space="0" w:color="auto"/>
              <w:left w:val="single" w:sz="18" w:space="0" w:color="auto"/>
              <w:bottom w:val="single" w:sz="18" w:space="0" w:color="auto"/>
              <w:right w:val="single" w:sz="18" w:space="0" w:color="auto"/>
            </w:tcBorders>
            <w:noWrap/>
            <w:hideMark/>
          </w:tcPr>
          <w:p w14:paraId="77ED2A32" w14:textId="77777777" w:rsidR="00405E3E" w:rsidRPr="00B026E4" w:rsidRDefault="00405E3E" w:rsidP="00A42155">
            <w:pPr>
              <w:keepNext/>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2013</w:t>
            </w:r>
          </w:p>
        </w:tc>
      </w:tr>
      <w:tr w:rsidR="00405E3E" w:rsidRPr="00537498" w14:paraId="4BB518C5" w14:textId="77777777" w:rsidTr="00A6149D">
        <w:trPr>
          <w:trHeight w:val="300"/>
        </w:trPr>
        <w:tc>
          <w:tcPr>
            <w:tcW w:w="4860" w:type="dxa"/>
            <w:tcBorders>
              <w:top w:val="single" w:sz="18" w:space="0" w:color="auto"/>
              <w:right w:val="single" w:sz="18" w:space="0" w:color="auto"/>
            </w:tcBorders>
            <w:noWrap/>
            <w:hideMark/>
          </w:tcPr>
          <w:p w14:paraId="108D4986" w14:textId="7129EDAA" w:rsidR="00405E3E" w:rsidRPr="00B026E4" w:rsidRDefault="00405E3E" w:rsidP="00A42155">
            <w:pPr>
              <w:keepNext/>
              <w:keepLines/>
              <w:rPr>
                <w:rFonts w:ascii="Times New Roman" w:eastAsia="Times New Roman" w:hAnsi="Times New Roman" w:cs="Times New Roman"/>
                <w:b/>
                <w:bCs/>
                <w:color w:val="000000"/>
              </w:rPr>
            </w:pPr>
            <w:r>
              <w:rPr>
                <w:rFonts w:ascii="Times New Roman" w:eastAsia="Times New Roman" w:hAnsi="Times New Roman" w:cs="Times New Roman"/>
                <w:b/>
                <w:bCs/>
                <w:color w:val="000000"/>
              </w:rPr>
              <w:t>Co-debtor or guarantor of both legal entity and individual</w:t>
            </w:r>
          </w:p>
        </w:tc>
        <w:tc>
          <w:tcPr>
            <w:tcW w:w="1530" w:type="dxa"/>
            <w:tcBorders>
              <w:top w:val="single" w:sz="18" w:space="0" w:color="auto"/>
              <w:left w:val="single" w:sz="18" w:space="0" w:color="auto"/>
              <w:right w:val="single" w:sz="18" w:space="0" w:color="auto"/>
            </w:tcBorders>
            <w:noWrap/>
            <w:hideMark/>
          </w:tcPr>
          <w:p w14:paraId="54134C2C" w14:textId="77777777" w:rsidR="00405E3E" w:rsidRPr="00B026E4" w:rsidRDefault="00405E3E" w:rsidP="00A4215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17.4%</w:t>
            </w:r>
          </w:p>
        </w:tc>
        <w:tc>
          <w:tcPr>
            <w:tcW w:w="1530" w:type="dxa"/>
            <w:tcBorders>
              <w:top w:val="single" w:sz="18" w:space="0" w:color="auto"/>
              <w:left w:val="single" w:sz="18" w:space="0" w:color="auto"/>
            </w:tcBorders>
            <w:noWrap/>
            <w:hideMark/>
          </w:tcPr>
          <w:p w14:paraId="035E176B" w14:textId="77777777" w:rsidR="00405E3E" w:rsidRPr="00B026E4" w:rsidRDefault="00405E3E" w:rsidP="00A4215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20.2%</w:t>
            </w:r>
          </w:p>
        </w:tc>
      </w:tr>
      <w:tr w:rsidR="00405E3E" w:rsidRPr="00537498" w14:paraId="111039F7" w14:textId="77777777" w:rsidTr="00A6149D">
        <w:trPr>
          <w:trHeight w:val="300"/>
        </w:trPr>
        <w:tc>
          <w:tcPr>
            <w:tcW w:w="4860" w:type="dxa"/>
            <w:tcBorders>
              <w:right w:val="single" w:sz="18" w:space="0" w:color="auto"/>
            </w:tcBorders>
            <w:noWrap/>
            <w:hideMark/>
          </w:tcPr>
          <w:p w14:paraId="7D84208B" w14:textId="77777777" w:rsidR="00405E3E" w:rsidRPr="00B026E4" w:rsidRDefault="00405E3E" w:rsidP="00A42155">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Legal Entity</w:t>
            </w:r>
            <w:r>
              <w:rPr>
                <w:rFonts w:ascii="Times New Roman" w:eastAsia="Times New Roman" w:hAnsi="Times New Roman" w:cs="Times New Roman"/>
                <w:b/>
                <w:bCs/>
                <w:color w:val="000000"/>
              </w:rPr>
              <w:t xml:space="preserve"> only</w:t>
            </w:r>
          </w:p>
        </w:tc>
        <w:tc>
          <w:tcPr>
            <w:tcW w:w="1530" w:type="dxa"/>
            <w:tcBorders>
              <w:left w:val="single" w:sz="18" w:space="0" w:color="auto"/>
              <w:right w:val="single" w:sz="18" w:space="0" w:color="auto"/>
            </w:tcBorders>
            <w:noWrap/>
            <w:hideMark/>
          </w:tcPr>
          <w:p w14:paraId="6347A29C" w14:textId="77777777" w:rsidR="00405E3E" w:rsidRPr="00B026E4" w:rsidRDefault="00405E3E" w:rsidP="00A4215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15.6%</w:t>
            </w:r>
          </w:p>
        </w:tc>
        <w:tc>
          <w:tcPr>
            <w:tcW w:w="1530" w:type="dxa"/>
            <w:tcBorders>
              <w:left w:val="single" w:sz="18" w:space="0" w:color="auto"/>
            </w:tcBorders>
            <w:noWrap/>
            <w:hideMark/>
          </w:tcPr>
          <w:p w14:paraId="4E363807" w14:textId="77777777" w:rsidR="00405E3E" w:rsidRPr="00B026E4" w:rsidRDefault="00405E3E" w:rsidP="00A4215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17.5%</w:t>
            </w:r>
          </w:p>
        </w:tc>
      </w:tr>
      <w:tr w:rsidR="00405E3E" w:rsidRPr="00537498" w14:paraId="4E8DB9FC" w14:textId="77777777" w:rsidTr="00A6149D">
        <w:trPr>
          <w:trHeight w:val="300"/>
        </w:trPr>
        <w:tc>
          <w:tcPr>
            <w:tcW w:w="4860" w:type="dxa"/>
            <w:tcBorders>
              <w:right w:val="single" w:sz="18" w:space="0" w:color="auto"/>
            </w:tcBorders>
            <w:noWrap/>
            <w:hideMark/>
          </w:tcPr>
          <w:p w14:paraId="368C6EE8" w14:textId="77777777" w:rsidR="00405E3E" w:rsidRPr="00B026E4" w:rsidRDefault="00405E3E" w:rsidP="00A42155">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Individual</w:t>
            </w:r>
            <w:r>
              <w:rPr>
                <w:rFonts w:ascii="Times New Roman" w:eastAsia="Times New Roman" w:hAnsi="Times New Roman" w:cs="Times New Roman"/>
                <w:b/>
                <w:bCs/>
                <w:color w:val="000000"/>
              </w:rPr>
              <w:t xml:space="preserve"> only</w:t>
            </w:r>
          </w:p>
        </w:tc>
        <w:tc>
          <w:tcPr>
            <w:tcW w:w="1530" w:type="dxa"/>
            <w:tcBorders>
              <w:left w:val="single" w:sz="18" w:space="0" w:color="auto"/>
              <w:right w:val="single" w:sz="18" w:space="0" w:color="auto"/>
            </w:tcBorders>
            <w:noWrap/>
            <w:hideMark/>
          </w:tcPr>
          <w:p w14:paraId="2C3A76B4" w14:textId="77777777" w:rsidR="00405E3E" w:rsidRPr="00B026E4" w:rsidRDefault="00405E3E" w:rsidP="00A4215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12.8%</w:t>
            </w:r>
          </w:p>
        </w:tc>
        <w:tc>
          <w:tcPr>
            <w:tcW w:w="1530" w:type="dxa"/>
            <w:tcBorders>
              <w:left w:val="single" w:sz="18" w:space="0" w:color="auto"/>
            </w:tcBorders>
            <w:noWrap/>
            <w:hideMark/>
          </w:tcPr>
          <w:p w14:paraId="59E8AEFB" w14:textId="77777777" w:rsidR="00405E3E" w:rsidRPr="00B026E4" w:rsidRDefault="00405E3E" w:rsidP="00A4215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14.0%</w:t>
            </w:r>
          </w:p>
        </w:tc>
      </w:tr>
      <w:tr w:rsidR="00405E3E" w:rsidRPr="00537498" w14:paraId="25455A1D" w14:textId="77777777" w:rsidTr="00A6149D">
        <w:trPr>
          <w:trHeight w:val="300"/>
        </w:trPr>
        <w:tc>
          <w:tcPr>
            <w:tcW w:w="4860" w:type="dxa"/>
            <w:tcBorders>
              <w:right w:val="single" w:sz="18" w:space="0" w:color="auto"/>
            </w:tcBorders>
            <w:noWrap/>
            <w:hideMark/>
          </w:tcPr>
          <w:p w14:paraId="2E24DA7B" w14:textId="77777777" w:rsidR="00405E3E" w:rsidRPr="00B026E4" w:rsidRDefault="00405E3E" w:rsidP="00A42155">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Unknown Entity</w:t>
            </w:r>
          </w:p>
        </w:tc>
        <w:tc>
          <w:tcPr>
            <w:tcW w:w="1530" w:type="dxa"/>
            <w:tcBorders>
              <w:left w:val="single" w:sz="18" w:space="0" w:color="auto"/>
              <w:right w:val="single" w:sz="18" w:space="0" w:color="auto"/>
            </w:tcBorders>
            <w:noWrap/>
            <w:hideMark/>
          </w:tcPr>
          <w:p w14:paraId="4D61A8A1" w14:textId="77777777" w:rsidR="00405E3E" w:rsidRPr="00B026E4" w:rsidRDefault="00405E3E" w:rsidP="00A4215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0.0%</w:t>
            </w:r>
          </w:p>
        </w:tc>
        <w:tc>
          <w:tcPr>
            <w:tcW w:w="1530" w:type="dxa"/>
            <w:tcBorders>
              <w:left w:val="single" w:sz="18" w:space="0" w:color="auto"/>
            </w:tcBorders>
            <w:noWrap/>
            <w:hideMark/>
          </w:tcPr>
          <w:p w14:paraId="368EF477" w14:textId="77777777" w:rsidR="00405E3E" w:rsidRPr="00B026E4" w:rsidRDefault="00405E3E" w:rsidP="00A4215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0.9%</w:t>
            </w:r>
          </w:p>
        </w:tc>
      </w:tr>
      <w:tr w:rsidR="00405E3E" w:rsidRPr="00537498" w14:paraId="14C6408A" w14:textId="77777777" w:rsidTr="00A6149D">
        <w:trPr>
          <w:trHeight w:val="300"/>
        </w:trPr>
        <w:tc>
          <w:tcPr>
            <w:tcW w:w="4860" w:type="dxa"/>
            <w:tcBorders>
              <w:right w:val="single" w:sz="18" w:space="0" w:color="auto"/>
            </w:tcBorders>
            <w:noWrap/>
            <w:hideMark/>
          </w:tcPr>
          <w:p w14:paraId="709EDF0D" w14:textId="77777777" w:rsidR="00405E3E" w:rsidRPr="00B026E4" w:rsidRDefault="00405E3E" w:rsidP="00A42155">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None</w:t>
            </w:r>
          </w:p>
        </w:tc>
        <w:tc>
          <w:tcPr>
            <w:tcW w:w="1530" w:type="dxa"/>
            <w:tcBorders>
              <w:left w:val="single" w:sz="18" w:space="0" w:color="auto"/>
              <w:right w:val="single" w:sz="18" w:space="0" w:color="auto"/>
            </w:tcBorders>
            <w:noWrap/>
            <w:hideMark/>
          </w:tcPr>
          <w:p w14:paraId="585BA3CD" w14:textId="77777777" w:rsidR="00405E3E" w:rsidRPr="00B026E4" w:rsidRDefault="00405E3E" w:rsidP="00A4215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39.4%</w:t>
            </w:r>
          </w:p>
        </w:tc>
        <w:tc>
          <w:tcPr>
            <w:tcW w:w="1530" w:type="dxa"/>
            <w:tcBorders>
              <w:left w:val="single" w:sz="18" w:space="0" w:color="auto"/>
            </w:tcBorders>
            <w:noWrap/>
            <w:hideMark/>
          </w:tcPr>
          <w:p w14:paraId="4EA7C1E5" w14:textId="77777777" w:rsidR="00405E3E" w:rsidRPr="00B026E4" w:rsidRDefault="00405E3E" w:rsidP="00A4215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29.8%</w:t>
            </w:r>
          </w:p>
        </w:tc>
      </w:tr>
      <w:tr w:rsidR="00405E3E" w:rsidRPr="00537498" w14:paraId="4A05ED8B" w14:textId="77777777" w:rsidTr="00A6149D">
        <w:trPr>
          <w:trHeight w:val="300"/>
        </w:trPr>
        <w:tc>
          <w:tcPr>
            <w:tcW w:w="4860" w:type="dxa"/>
            <w:tcBorders>
              <w:right w:val="single" w:sz="18" w:space="0" w:color="auto"/>
            </w:tcBorders>
            <w:noWrap/>
            <w:hideMark/>
          </w:tcPr>
          <w:p w14:paraId="14A6B983" w14:textId="77777777" w:rsidR="00405E3E" w:rsidRPr="00B026E4" w:rsidRDefault="00405E3E" w:rsidP="00A42155">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Unknown</w:t>
            </w:r>
          </w:p>
        </w:tc>
        <w:tc>
          <w:tcPr>
            <w:tcW w:w="1530" w:type="dxa"/>
            <w:tcBorders>
              <w:left w:val="single" w:sz="18" w:space="0" w:color="auto"/>
              <w:right w:val="single" w:sz="18" w:space="0" w:color="auto"/>
            </w:tcBorders>
            <w:noWrap/>
            <w:hideMark/>
          </w:tcPr>
          <w:p w14:paraId="05C38196" w14:textId="77777777" w:rsidR="00405E3E" w:rsidRPr="00B026E4" w:rsidRDefault="00405E3E" w:rsidP="00A4215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14.7%</w:t>
            </w:r>
          </w:p>
        </w:tc>
        <w:tc>
          <w:tcPr>
            <w:tcW w:w="1530" w:type="dxa"/>
            <w:tcBorders>
              <w:left w:val="single" w:sz="18" w:space="0" w:color="auto"/>
            </w:tcBorders>
            <w:noWrap/>
            <w:hideMark/>
          </w:tcPr>
          <w:p w14:paraId="384F01D4" w14:textId="77777777" w:rsidR="00405E3E" w:rsidRPr="00B026E4" w:rsidRDefault="00405E3E" w:rsidP="00A4215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17.5%</w:t>
            </w:r>
          </w:p>
        </w:tc>
      </w:tr>
    </w:tbl>
    <w:p w14:paraId="171EE1D3" w14:textId="77777777" w:rsidR="004B0A0C" w:rsidRDefault="004B0A0C" w:rsidP="00EB7FD9">
      <w:pPr>
        <w:spacing w:line="480" w:lineRule="auto"/>
        <w:ind w:firstLine="720"/>
        <w:rPr>
          <w:rFonts w:ascii="Times New Roman" w:hAnsi="Times New Roman" w:cs="Times New Roman"/>
        </w:rPr>
      </w:pPr>
    </w:p>
    <w:p w14:paraId="04763CF1" w14:textId="791618C8" w:rsidR="00EE23D1" w:rsidRPr="00933FD2" w:rsidRDefault="00956500" w:rsidP="00EE23D1">
      <w:pPr>
        <w:spacing w:line="480" w:lineRule="auto"/>
        <w:ind w:firstLine="720"/>
        <w:rPr>
          <w:rFonts w:ascii="Times New Roman" w:hAnsi="Times New Roman" w:cs="Times New Roman"/>
        </w:rPr>
      </w:pPr>
      <w:r>
        <w:rPr>
          <w:rFonts w:ascii="Times New Roman" w:hAnsi="Times New Roman" w:cs="Times New Roman"/>
        </w:rPr>
        <w:t xml:space="preserve">Given </w:t>
      </w:r>
      <w:r w:rsidR="00E949BB">
        <w:rPr>
          <w:rFonts w:ascii="Times New Roman" w:hAnsi="Times New Roman" w:cs="Times New Roman"/>
        </w:rPr>
        <w:t xml:space="preserve">the evidence </w:t>
      </w:r>
      <w:r>
        <w:rPr>
          <w:rFonts w:ascii="Times New Roman" w:hAnsi="Times New Roman" w:cs="Times New Roman"/>
        </w:rPr>
        <w:t xml:space="preserve">that a large number of </w:t>
      </w:r>
      <w:r w:rsidR="00E949BB">
        <w:rPr>
          <w:rFonts w:ascii="Times New Roman" w:hAnsi="Times New Roman" w:cs="Times New Roman"/>
        </w:rPr>
        <w:t xml:space="preserve">the </w:t>
      </w:r>
      <w:r>
        <w:rPr>
          <w:rFonts w:ascii="Times New Roman" w:hAnsi="Times New Roman" w:cs="Times New Roman"/>
        </w:rPr>
        <w:t xml:space="preserve">individual debtors in </w:t>
      </w:r>
      <w:r w:rsidR="00E949BB">
        <w:rPr>
          <w:rFonts w:ascii="Times New Roman" w:hAnsi="Times New Roman" w:cs="Times New Roman"/>
        </w:rPr>
        <w:t>the 2010 and 2013 random sample</w:t>
      </w:r>
      <w:r>
        <w:rPr>
          <w:rFonts w:ascii="Times New Roman" w:hAnsi="Times New Roman" w:cs="Times New Roman"/>
        </w:rPr>
        <w:t xml:space="preserve"> were engaged in </w:t>
      </w:r>
      <w:r w:rsidR="00E949BB">
        <w:rPr>
          <w:rFonts w:ascii="Times New Roman" w:hAnsi="Times New Roman" w:cs="Times New Roman"/>
        </w:rPr>
        <w:t xml:space="preserve">some form of </w:t>
      </w:r>
      <w:r>
        <w:rPr>
          <w:rFonts w:ascii="Times New Roman" w:hAnsi="Times New Roman" w:cs="Times New Roman"/>
        </w:rPr>
        <w:t>business activity, we expected a substantial cohort to check the small business debtor box on the voluntary petition. The small business debtor definition in the Code applies to individual debtors and contains no requirement that the debtor be primarily engaged in business or commercial activity.</w:t>
      </w:r>
      <w:bookmarkStart w:id="17" w:name="_Ref332102122"/>
      <w:r>
        <w:rPr>
          <w:rStyle w:val="FootnoteReference"/>
          <w:rFonts w:ascii="Times New Roman" w:hAnsi="Times New Roman" w:cs="Times New Roman"/>
        </w:rPr>
        <w:footnoteReference w:id="114"/>
      </w:r>
      <w:bookmarkEnd w:id="17"/>
      <w:r>
        <w:rPr>
          <w:rFonts w:ascii="Times New Roman" w:hAnsi="Times New Roman" w:cs="Times New Roman"/>
        </w:rPr>
        <w:t xml:space="preserve"> </w:t>
      </w:r>
      <w:r w:rsidR="00E949BB">
        <w:rPr>
          <w:rFonts w:ascii="Times New Roman" w:hAnsi="Times New Roman" w:cs="Times New Roman"/>
        </w:rPr>
        <w:t>Yet, as the data in Table 1</w:t>
      </w:r>
      <w:r w:rsidR="00D80370">
        <w:rPr>
          <w:rFonts w:ascii="Times New Roman" w:hAnsi="Times New Roman" w:cs="Times New Roman"/>
        </w:rPr>
        <w:t>4</w:t>
      </w:r>
      <w:r w:rsidR="00E949BB">
        <w:rPr>
          <w:rFonts w:ascii="Times New Roman" w:hAnsi="Times New Roman" w:cs="Times New Roman"/>
        </w:rPr>
        <w:t xml:space="preserve"> demonstrate, </w:t>
      </w:r>
      <w:r w:rsidR="00E949BB" w:rsidRPr="00537498">
        <w:rPr>
          <w:rFonts w:ascii="Times New Roman" w:hAnsi="Times New Roman" w:cs="Times New Roman"/>
        </w:rPr>
        <w:t xml:space="preserve">the vast majority of individual </w:t>
      </w:r>
      <w:r w:rsidR="00AA091B">
        <w:rPr>
          <w:rFonts w:ascii="Times New Roman" w:hAnsi="Times New Roman" w:cs="Times New Roman"/>
        </w:rPr>
        <w:t>chapter</w:t>
      </w:r>
      <w:r w:rsidR="00E949BB" w:rsidRPr="00537498">
        <w:rPr>
          <w:rFonts w:ascii="Times New Roman" w:hAnsi="Times New Roman" w:cs="Times New Roman"/>
        </w:rPr>
        <w:t xml:space="preserve"> 11 debtors in 2010 and 2013 did not identify as small business debtors on the voluntary petition. </w:t>
      </w:r>
      <w:r w:rsidR="00EE23D1" w:rsidRPr="00537498">
        <w:rPr>
          <w:rFonts w:ascii="Times New Roman" w:hAnsi="Times New Roman" w:cs="Times New Roman"/>
        </w:rPr>
        <w:t>In 2010, only 15.</w:t>
      </w:r>
      <w:r w:rsidR="00676294">
        <w:rPr>
          <w:rFonts w:ascii="Times New Roman" w:hAnsi="Times New Roman" w:cs="Times New Roman"/>
        </w:rPr>
        <w:t>6</w:t>
      </w:r>
      <w:r w:rsidR="00042036">
        <w:rPr>
          <w:rFonts w:ascii="Times New Roman" w:hAnsi="Times New Roman" w:cs="Times New Roman"/>
        </w:rPr>
        <w:t>%</w:t>
      </w:r>
      <w:r w:rsidR="00EE23D1" w:rsidRPr="00537498">
        <w:rPr>
          <w:rFonts w:ascii="Times New Roman" w:hAnsi="Times New Roman" w:cs="Times New Roman"/>
        </w:rPr>
        <w:t xml:space="preserve"> of individual </w:t>
      </w:r>
      <w:r w:rsidR="00AA091B">
        <w:rPr>
          <w:rFonts w:ascii="Times New Roman" w:hAnsi="Times New Roman" w:cs="Times New Roman"/>
        </w:rPr>
        <w:t>chapter</w:t>
      </w:r>
      <w:r w:rsidR="00EE23D1" w:rsidRPr="00537498">
        <w:rPr>
          <w:rFonts w:ascii="Times New Roman" w:hAnsi="Times New Roman" w:cs="Times New Roman"/>
        </w:rPr>
        <w:t xml:space="preserve"> 11 debtors checked the small business debtor box on their voluntary petitions; that figure dropped to 11.4</w:t>
      </w:r>
      <w:r w:rsidR="00042036">
        <w:rPr>
          <w:rFonts w:ascii="Times New Roman" w:hAnsi="Times New Roman" w:cs="Times New Roman"/>
        </w:rPr>
        <w:t>%</w:t>
      </w:r>
      <w:r w:rsidR="00EE23D1" w:rsidRPr="00537498">
        <w:rPr>
          <w:rFonts w:ascii="Times New Roman" w:hAnsi="Times New Roman" w:cs="Times New Roman"/>
        </w:rPr>
        <w:t xml:space="preserve"> in 2013.</w:t>
      </w:r>
      <w:r w:rsidR="007B014F">
        <w:rPr>
          <w:rStyle w:val="FootnoteReference"/>
          <w:rFonts w:ascii="Times New Roman" w:hAnsi="Times New Roman" w:cs="Times New Roman"/>
        </w:rPr>
        <w:footnoteReference w:id="115"/>
      </w:r>
      <w:r w:rsidR="00EE23D1" w:rsidRPr="00537498">
        <w:rPr>
          <w:rFonts w:ascii="Times New Roman" w:hAnsi="Times New Roman" w:cs="Times New Roman"/>
        </w:rPr>
        <w:t xml:space="preserve"> </w:t>
      </w:r>
    </w:p>
    <w:p w14:paraId="0A8F2F96" w14:textId="5FC19DAD" w:rsidR="00EE23D1" w:rsidRPr="00537498" w:rsidRDefault="00EE23D1" w:rsidP="00E42A43">
      <w:pPr>
        <w:spacing w:line="480" w:lineRule="auto"/>
        <w:ind w:firstLine="720"/>
        <w:rPr>
          <w:rFonts w:ascii="Times New Roman" w:hAnsi="Times New Roman" w:cs="Times New Roman"/>
        </w:rPr>
      </w:pPr>
      <w:r w:rsidRPr="00537498">
        <w:rPr>
          <w:rFonts w:ascii="Times New Roman" w:hAnsi="Times New Roman" w:cs="Times New Roman"/>
        </w:rPr>
        <w:t>In approximately 11</w:t>
      </w:r>
      <w:r w:rsidR="00042036">
        <w:rPr>
          <w:rFonts w:ascii="Times New Roman" w:hAnsi="Times New Roman" w:cs="Times New Roman"/>
        </w:rPr>
        <w:t>%</w:t>
      </w:r>
      <w:r w:rsidRPr="00537498">
        <w:rPr>
          <w:rFonts w:ascii="Times New Roman" w:hAnsi="Times New Roman" w:cs="Times New Roman"/>
        </w:rPr>
        <w:t xml:space="preserve"> of the cases</w:t>
      </w:r>
      <w:r>
        <w:rPr>
          <w:rFonts w:ascii="Times New Roman" w:hAnsi="Times New Roman" w:cs="Times New Roman"/>
        </w:rPr>
        <w:t xml:space="preserve"> in the 2010 and 2013 samples</w:t>
      </w:r>
      <w:r w:rsidRPr="00537498">
        <w:rPr>
          <w:rFonts w:ascii="Times New Roman" w:hAnsi="Times New Roman" w:cs="Times New Roman"/>
        </w:rPr>
        <w:t xml:space="preserve">, the debtor did not identify </w:t>
      </w:r>
      <w:r w:rsidR="00DC40E4">
        <w:rPr>
          <w:rFonts w:ascii="Times New Roman" w:hAnsi="Times New Roman" w:cs="Times New Roman"/>
        </w:rPr>
        <w:t xml:space="preserve">his or her </w:t>
      </w:r>
      <w:r w:rsidRPr="00537498">
        <w:rPr>
          <w:rFonts w:ascii="Times New Roman" w:hAnsi="Times New Roman" w:cs="Times New Roman"/>
        </w:rPr>
        <w:t xml:space="preserve">status as a small or non-small business debtor on the petition. These cases are shown in </w:t>
      </w:r>
      <w:r>
        <w:rPr>
          <w:rFonts w:ascii="Times New Roman" w:hAnsi="Times New Roman" w:cs="Times New Roman"/>
        </w:rPr>
        <w:t>Table 1</w:t>
      </w:r>
      <w:r w:rsidR="00D80370">
        <w:rPr>
          <w:rFonts w:ascii="Times New Roman" w:hAnsi="Times New Roman" w:cs="Times New Roman"/>
        </w:rPr>
        <w:t>4</w:t>
      </w:r>
      <w:r w:rsidRPr="00537498">
        <w:rPr>
          <w:rFonts w:ascii="Times New Roman" w:hAnsi="Times New Roman" w:cs="Times New Roman"/>
        </w:rPr>
        <w:t xml:space="preserve"> as “</w:t>
      </w:r>
      <w:r>
        <w:rPr>
          <w:rFonts w:ascii="Times New Roman" w:hAnsi="Times New Roman" w:cs="Times New Roman"/>
        </w:rPr>
        <w:t>N</w:t>
      </w:r>
      <w:r w:rsidRPr="00537498">
        <w:rPr>
          <w:rFonts w:ascii="Times New Roman" w:hAnsi="Times New Roman" w:cs="Times New Roman"/>
        </w:rPr>
        <w:t>/</w:t>
      </w:r>
      <w:r>
        <w:rPr>
          <w:rFonts w:ascii="Times New Roman" w:hAnsi="Times New Roman" w:cs="Times New Roman"/>
        </w:rPr>
        <w:t>A</w:t>
      </w:r>
      <w:r w:rsidRPr="00537498">
        <w:rPr>
          <w:rFonts w:ascii="Times New Roman" w:hAnsi="Times New Roman" w:cs="Times New Roman"/>
        </w:rPr>
        <w:t>” or “</w:t>
      </w:r>
      <w:r>
        <w:rPr>
          <w:rFonts w:ascii="Times New Roman" w:hAnsi="Times New Roman" w:cs="Times New Roman"/>
        </w:rPr>
        <w:t>N</w:t>
      </w:r>
      <w:r w:rsidRPr="00537498">
        <w:rPr>
          <w:rFonts w:ascii="Times New Roman" w:hAnsi="Times New Roman" w:cs="Times New Roman"/>
        </w:rPr>
        <w:t>/</w:t>
      </w:r>
      <w:r>
        <w:rPr>
          <w:rFonts w:ascii="Times New Roman" w:hAnsi="Times New Roman" w:cs="Times New Roman"/>
        </w:rPr>
        <w:t>A</w:t>
      </w:r>
      <w:r w:rsidRPr="00537498">
        <w:rPr>
          <w:rFonts w:ascii="Times New Roman" w:hAnsi="Times New Roman" w:cs="Times New Roman"/>
        </w:rPr>
        <w:t xml:space="preserve">-converted.” </w:t>
      </w:r>
      <w:r>
        <w:rPr>
          <w:rFonts w:ascii="Times New Roman" w:hAnsi="Times New Roman" w:cs="Times New Roman"/>
        </w:rPr>
        <w:t>Of that 11</w:t>
      </w:r>
      <w:r w:rsidR="00042036">
        <w:rPr>
          <w:rFonts w:ascii="Times New Roman" w:hAnsi="Times New Roman" w:cs="Times New Roman"/>
        </w:rPr>
        <w:t>%</w:t>
      </w:r>
      <w:r>
        <w:rPr>
          <w:rFonts w:ascii="Times New Roman" w:hAnsi="Times New Roman" w:cs="Times New Roman"/>
        </w:rPr>
        <w:t>, a small number of debtors (less than 3</w:t>
      </w:r>
      <w:r w:rsidR="00042036">
        <w:rPr>
          <w:rFonts w:ascii="Times New Roman" w:hAnsi="Times New Roman" w:cs="Times New Roman"/>
        </w:rPr>
        <w:t>%</w:t>
      </w:r>
      <w:r>
        <w:rPr>
          <w:rFonts w:ascii="Times New Roman" w:hAnsi="Times New Roman" w:cs="Times New Roman"/>
        </w:rPr>
        <w:t xml:space="preserve"> each year) either failed to check one of the small business status boxes on the</w:t>
      </w:r>
      <w:r w:rsidR="00405E3E">
        <w:rPr>
          <w:rFonts w:ascii="Times New Roman" w:hAnsi="Times New Roman" w:cs="Times New Roman"/>
        </w:rPr>
        <w:t xml:space="preserve">ir </w:t>
      </w:r>
      <w:r w:rsidR="00AA091B">
        <w:rPr>
          <w:rFonts w:ascii="Times New Roman" w:hAnsi="Times New Roman" w:cs="Times New Roman"/>
        </w:rPr>
        <w:t>chapter</w:t>
      </w:r>
      <w:r w:rsidR="00405E3E">
        <w:rPr>
          <w:rFonts w:ascii="Times New Roman" w:hAnsi="Times New Roman" w:cs="Times New Roman"/>
        </w:rPr>
        <w:t xml:space="preserve"> 11</w:t>
      </w:r>
      <w:r>
        <w:rPr>
          <w:rFonts w:ascii="Times New Roman" w:hAnsi="Times New Roman" w:cs="Times New Roman"/>
        </w:rPr>
        <w:t xml:space="preserve"> petition or checked both boxes; we coded these cases as “N/A.” Another </w:t>
      </w:r>
      <w:r w:rsidRPr="00537498">
        <w:rPr>
          <w:rFonts w:ascii="Times New Roman" w:hAnsi="Times New Roman" w:cs="Times New Roman"/>
        </w:rPr>
        <w:t>8</w:t>
      </w:r>
      <w:r w:rsidR="00042036">
        <w:rPr>
          <w:rFonts w:ascii="Times New Roman" w:hAnsi="Times New Roman" w:cs="Times New Roman"/>
        </w:rPr>
        <w:t>%</w:t>
      </w:r>
      <w:r w:rsidRPr="00537498">
        <w:rPr>
          <w:rFonts w:ascii="Times New Roman" w:hAnsi="Times New Roman" w:cs="Times New Roman"/>
        </w:rPr>
        <w:t xml:space="preserve"> to 9</w:t>
      </w:r>
      <w:r w:rsidR="00042036">
        <w:rPr>
          <w:rFonts w:ascii="Times New Roman" w:hAnsi="Times New Roman" w:cs="Times New Roman"/>
        </w:rPr>
        <w:t>%</w:t>
      </w:r>
      <w:r w:rsidRPr="00537498">
        <w:rPr>
          <w:rFonts w:ascii="Times New Roman" w:hAnsi="Times New Roman" w:cs="Times New Roman"/>
        </w:rPr>
        <w:t xml:space="preserve"> of the individual debtors in the 2010 and 2013 random sample who failed to identify as a small business debtor began bank</w:t>
      </w:r>
      <w:r>
        <w:rPr>
          <w:rFonts w:ascii="Times New Roman" w:hAnsi="Times New Roman" w:cs="Times New Roman"/>
        </w:rPr>
        <w:t xml:space="preserve">ruptcy in a chapter other than </w:t>
      </w:r>
      <w:r w:rsidR="00AA091B">
        <w:rPr>
          <w:rFonts w:ascii="Times New Roman" w:hAnsi="Times New Roman" w:cs="Times New Roman"/>
        </w:rPr>
        <w:t>chapter</w:t>
      </w:r>
      <w:r w:rsidRPr="00537498">
        <w:rPr>
          <w:rFonts w:ascii="Times New Roman" w:hAnsi="Times New Roman" w:cs="Times New Roman"/>
        </w:rPr>
        <w:t xml:space="preserve"> 11</w:t>
      </w:r>
      <w:r>
        <w:rPr>
          <w:rFonts w:ascii="Times New Roman" w:hAnsi="Times New Roman" w:cs="Times New Roman"/>
        </w:rPr>
        <w:t xml:space="preserve">. Only </w:t>
      </w:r>
      <w:r w:rsidR="00AA091B">
        <w:rPr>
          <w:rFonts w:ascii="Times New Roman" w:hAnsi="Times New Roman" w:cs="Times New Roman"/>
        </w:rPr>
        <w:t>chapter</w:t>
      </w:r>
      <w:r w:rsidRPr="00537498">
        <w:rPr>
          <w:rFonts w:ascii="Times New Roman" w:hAnsi="Times New Roman" w:cs="Times New Roman"/>
        </w:rPr>
        <w:t xml:space="preserve"> 11 debtors </w:t>
      </w:r>
      <w:r>
        <w:rPr>
          <w:rFonts w:ascii="Times New Roman" w:hAnsi="Times New Roman" w:cs="Times New Roman"/>
        </w:rPr>
        <w:t>must</w:t>
      </w:r>
      <w:r w:rsidRPr="00537498">
        <w:rPr>
          <w:rFonts w:ascii="Times New Roman" w:hAnsi="Times New Roman" w:cs="Times New Roman"/>
        </w:rPr>
        <w:t xml:space="preserve"> complete the small business portion of the voluntary petition.</w:t>
      </w:r>
      <w:r w:rsidRPr="00537498">
        <w:rPr>
          <w:rStyle w:val="FootnoteReference"/>
          <w:rFonts w:ascii="Times New Roman" w:hAnsi="Times New Roman" w:cs="Times New Roman"/>
        </w:rPr>
        <w:footnoteReference w:id="116"/>
      </w:r>
      <w:r>
        <w:rPr>
          <w:rFonts w:ascii="Times New Roman" w:hAnsi="Times New Roman" w:cs="Times New Roman"/>
        </w:rPr>
        <w:t xml:space="preserve">  Upon conversion to </w:t>
      </w:r>
      <w:r w:rsidR="00AA091B">
        <w:rPr>
          <w:rFonts w:ascii="Times New Roman" w:hAnsi="Times New Roman" w:cs="Times New Roman"/>
        </w:rPr>
        <w:t>chapter</w:t>
      </w:r>
      <w:r w:rsidRPr="00537498">
        <w:rPr>
          <w:rFonts w:ascii="Times New Roman" w:hAnsi="Times New Roman" w:cs="Times New Roman"/>
        </w:rPr>
        <w:t xml:space="preserve"> 11, many debtors in the </w:t>
      </w:r>
      <w:r>
        <w:rPr>
          <w:rFonts w:ascii="Times New Roman" w:hAnsi="Times New Roman" w:cs="Times New Roman"/>
        </w:rPr>
        <w:t xml:space="preserve">2010 and 2013 </w:t>
      </w:r>
      <w:r w:rsidRPr="00537498">
        <w:rPr>
          <w:rFonts w:ascii="Times New Roman" w:hAnsi="Times New Roman" w:cs="Times New Roman"/>
        </w:rPr>
        <w:t>random sample did not re-file the voluntary petition and, hence, these debtors did not designate their status as a small or non-small business debtor.</w:t>
      </w:r>
    </w:p>
    <w:p w14:paraId="780A13A7" w14:textId="272ACC38" w:rsidR="00E949BB" w:rsidRPr="00EB7FD9" w:rsidRDefault="00E949BB" w:rsidP="00AF5C87">
      <w:pPr>
        <w:keepLines/>
        <w:spacing w:line="480" w:lineRule="auto"/>
        <w:ind w:firstLine="720"/>
        <w:jc w:val="center"/>
        <w:rPr>
          <w:rFonts w:ascii="Times New Roman" w:hAnsi="Times New Roman" w:cs="Times New Roman"/>
          <w:b/>
        </w:rPr>
      </w:pPr>
      <w:r>
        <w:rPr>
          <w:rFonts w:ascii="Times New Roman" w:hAnsi="Times New Roman" w:cs="Times New Roman"/>
          <w:b/>
        </w:rPr>
        <w:t>Table 1</w:t>
      </w:r>
      <w:r w:rsidR="00D80370">
        <w:rPr>
          <w:rFonts w:ascii="Times New Roman" w:hAnsi="Times New Roman" w:cs="Times New Roman"/>
          <w:b/>
        </w:rPr>
        <w:t>4</w:t>
      </w:r>
      <w:r>
        <w:rPr>
          <w:rFonts w:ascii="Times New Roman" w:hAnsi="Times New Roman" w:cs="Times New Roman"/>
          <w:b/>
        </w:rPr>
        <w:t>: Small Business Debtors</w:t>
      </w:r>
      <w:r w:rsidR="00A42155">
        <w:rPr>
          <w:rFonts w:ascii="Times New Roman" w:hAnsi="Times New Roman" w:cs="Times New Roman"/>
          <w:b/>
        </w:rPr>
        <w:t>—</w:t>
      </w:r>
      <w:r>
        <w:rPr>
          <w:rFonts w:ascii="Times New Roman" w:hAnsi="Times New Roman" w:cs="Times New Roman"/>
          <w:b/>
        </w:rPr>
        <w:t>2010 and 2013</w:t>
      </w:r>
    </w:p>
    <w:tbl>
      <w:tblPr>
        <w:tblStyle w:val="TableGrid"/>
        <w:tblW w:w="0" w:type="auto"/>
        <w:tblLook w:val="04A0" w:firstRow="1" w:lastRow="0" w:firstColumn="1" w:lastColumn="0" w:noHBand="0" w:noVBand="1"/>
      </w:tblPr>
      <w:tblGrid>
        <w:gridCol w:w="3954"/>
        <w:gridCol w:w="2452"/>
        <w:gridCol w:w="2211"/>
      </w:tblGrid>
      <w:tr w:rsidR="00E949BB" w14:paraId="0527314C" w14:textId="77777777" w:rsidTr="00A6149D">
        <w:trPr>
          <w:trHeight w:hRule="exact" w:val="288"/>
        </w:trPr>
        <w:tc>
          <w:tcPr>
            <w:tcW w:w="4068" w:type="dxa"/>
            <w:tcBorders>
              <w:top w:val="nil"/>
              <w:left w:val="nil"/>
              <w:right w:val="single" w:sz="18" w:space="0" w:color="auto"/>
            </w:tcBorders>
          </w:tcPr>
          <w:p w14:paraId="246316B8" w14:textId="77777777" w:rsidR="00E949BB" w:rsidRPr="00EB7FD9" w:rsidRDefault="00E949BB" w:rsidP="002D0882">
            <w:pPr>
              <w:keepLines/>
              <w:rPr>
                <w:rFonts w:ascii="Times New Roman" w:hAnsi="Times New Roman" w:cs="Times New Roman"/>
                <w:b/>
              </w:rPr>
            </w:pPr>
          </w:p>
        </w:tc>
        <w:tc>
          <w:tcPr>
            <w:tcW w:w="2520" w:type="dxa"/>
            <w:tcBorders>
              <w:top w:val="single" w:sz="18" w:space="0" w:color="auto"/>
              <w:left w:val="single" w:sz="18" w:space="0" w:color="auto"/>
              <w:right w:val="single" w:sz="18" w:space="0" w:color="auto"/>
            </w:tcBorders>
          </w:tcPr>
          <w:p w14:paraId="199E27A2" w14:textId="107A5821" w:rsidR="00E949BB" w:rsidRPr="009D6263" w:rsidRDefault="00E949BB" w:rsidP="002D0882">
            <w:pPr>
              <w:keepLines/>
              <w:jc w:val="center"/>
              <w:rPr>
                <w:rFonts w:ascii="Times New Roman" w:hAnsi="Times New Roman" w:cs="Times New Roman"/>
                <w:b/>
              </w:rPr>
            </w:pPr>
            <w:r w:rsidRPr="009D6263">
              <w:rPr>
                <w:rFonts w:ascii="Times New Roman" w:hAnsi="Times New Roman" w:cs="Times New Roman"/>
                <w:b/>
              </w:rPr>
              <w:t>2010</w:t>
            </w:r>
          </w:p>
        </w:tc>
        <w:tc>
          <w:tcPr>
            <w:tcW w:w="2268" w:type="dxa"/>
            <w:tcBorders>
              <w:top w:val="single" w:sz="18" w:space="0" w:color="auto"/>
              <w:left w:val="single" w:sz="18" w:space="0" w:color="auto"/>
              <w:right w:val="single" w:sz="18" w:space="0" w:color="auto"/>
            </w:tcBorders>
          </w:tcPr>
          <w:p w14:paraId="6D0C1FA7" w14:textId="40939B24" w:rsidR="00E949BB" w:rsidRPr="009D6263" w:rsidRDefault="00E949BB" w:rsidP="002D0882">
            <w:pPr>
              <w:keepLines/>
              <w:jc w:val="center"/>
              <w:rPr>
                <w:rFonts w:ascii="Times New Roman" w:hAnsi="Times New Roman" w:cs="Times New Roman"/>
                <w:b/>
              </w:rPr>
            </w:pPr>
            <w:r w:rsidRPr="009D6263">
              <w:rPr>
                <w:rFonts w:ascii="Times New Roman" w:hAnsi="Times New Roman" w:cs="Times New Roman"/>
                <w:b/>
              </w:rPr>
              <w:t>2013</w:t>
            </w:r>
          </w:p>
        </w:tc>
      </w:tr>
      <w:tr w:rsidR="002D0882" w14:paraId="464F5ADF" w14:textId="77777777" w:rsidTr="00A6149D">
        <w:trPr>
          <w:trHeight w:hRule="exact" w:val="288"/>
        </w:trPr>
        <w:tc>
          <w:tcPr>
            <w:tcW w:w="4068" w:type="dxa"/>
            <w:tcBorders>
              <w:top w:val="single" w:sz="18" w:space="0" w:color="auto"/>
              <w:right w:val="single" w:sz="18" w:space="0" w:color="auto"/>
            </w:tcBorders>
          </w:tcPr>
          <w:p w14:paraId="5B743F13" w14:textId="63B7B9B9" w:rsidR="002D0882" w:rsidRPr="009D6263" w:rsidRDefault="002D0882" w:rsidP="002D0882">
            <w:pPr>
              <w:keepLines/>
              <w:rPr>
                <w:rFonts w:ascii="Times New Roman" w:hAnsi="Times New Roman" w:cs="Times New Roman"/>
                <w:b/>
              </w:rPr>
            </w:pPr>
            <w:r w:rsidRPr="009D6263">
              <w:rPr>
                <w:rFonts w:ascii="Times New Roman" w:hAnsi="Times New Roman" w:cs="Times New Roman"/>
                <w:b/>
              </w:rPr>
              <w:t>Small Business</w:t>
            </w:r>
          </w:p>
        </w:tc>
        <w:tc>
          <w:tcPr>
            <w:tcW w:w="2520" w:type="dxa"/>
            <w:tcBorders>
              <w:top w:val="single" w:sz="18" w:space="0" w:color="auto"/>
              <w:left w:val="single" w:sz="18" w:space="0" w:color="auto"/>
              <w:right w:val="single" w:sz="18" w:space="0" w:color="auto"/>
            </w:tcBorders>
          </w:tcPr>
          <w:p w14:paraId="67BDB86C" w14:textId="3DA4A75A" w:rsidR="002D0882" w:rsidRDefault="002D0882" w:rsidP="002D0882">
            <w:pPr>
              <w:keepLines/>
              <w:jc w:val="right"/>
              <w:rPr>
                <w:rFonts w:ascii="Times New Roman" w:hAnsi="Times New Roman" w:cs="Times New Roman"/>
              </w:rPr>
            </w:pPr>
            <w:r>
              <w:rPr>
                <w:rFonts w:ascii="Times New Roman" w:hAnsi="Times New Roman" w:cs="Times New Roman"/>
              </w:rPr>
              <w:t>15.6%</w:t>
            </w:r>
          </w:p>
        </w:tc>
        <w:tc>
          <w:tcPr>
            <w:tcW w:w="2268" w:type="dxa"/>
            <w:tcBorders>
              <w:top w:val="single" w:sz="18" w:space="0" w:color="auto"/>
              <w:left w:val="single" w:sz="18" w:space="0" w:color="auto"/>
            </w:tcBorders>
          </w:tcPr>
          <w:p w14:paraId="16654687" w14:textId="70B50700" w:rsidR="002D0882" w:rsidRDefault="002D0882" w:rsidP="002D0882">
            <w:pPr>
              <w:keepLines/>
              <w:jc w:val="right"/>
              <w:rPr>
                <w:rFonts w:ascii="Times New Roman" w:hAnsi="Times New Roman" w:cs="Times New Roman"/>
              </w:rPr>
            </w:pPr>
            <w:r>
              <w:rPr>
                <w:rFonts w:ascii="Times New Roman" w:hAnsi="Times New Roman" w:cs="Times New Roman"/>
              </w:rPr>
              <w:t>11.4%</w:t>
            </w:r>
          </w:p>
        </w:tc>
      </w:tr>
      <w:tr w:rsidR="002D0882" w14:paraId="0161ADC9" w14:textId="77777777" w:rsidTr="00A6149D">
        <w:trPr>
          <w:trHeight w:hRule="exact" w:val="288"/>
        </w:trPr>
        <w:tc>
          <w:tcPr>
            <w:tcW w:w="4068" w:type="dxa"/>
            <w:tcBorders>
              <w:right w:val="single" w:sz="18" w:space="0" w:color="auto"/>
            </w:tcBorders>
          </w:tcPr>
          <w:p w14:paraId="6D5DEED5" w14:textId="1A5CDE61" w:rsidR="002D0882" w:rsidRPr="009D6263" w:rsidRDefault="002D0882" w:rsidP="002D0882">
            <w:pPr>
              <w:keepLines/>
              <w:rPr>
                <w:rFonts w:ascii="Times New Roman" w:hAnsi="Times New Roman" w:cs="Times New Roman"/>
                <w:b/>
              </w:rPr>
            </w:pPr>
            <w:r w:rsidRPr="009D6263">
              <w:rPr>
                <w:rFonts w:ascii="Times New Roman" w:hAnsi="Times New Roman" w:cs="Times New Roman"/>
                <w:b/>
              </w:rPr>
              <w:t>Not Small Business</w:t>
            </w:r>
          </w:p>
        </w:tc>
        <w:tc>
          <w:tcPr>
            <w:tcW w:w="2520" w:type="dxa"/>
            <w:tcBorders>
              <w:left w:val="single" w:sz="18" w:space="0" w:color="auto"/>
              <w:right w:val="single" w:sz="18" w:space="0" w:color="auto"/>
            </w:tcBorders>
          </w:tcPr>
          <w:p w14:paraId="6B120DCF" w14:textId="6BDA8D00" w:rsidR="002D0882" w:rsidRDefault="002D0882" w:rsidP="002D0882">
            <w:pPr>
              <w:keepLines/>
              <w:jc w:val="right"/>
              <w:rPr>
                <w:rFonts w:ascii="Times New Roman" w:hAnsi="Times New Roman" w:cs="Times New Roman"/>
              </w:rPr>
            </w:pPr>
            <w:r>
              <w:rPr>
                <w:rFonts w:ascii="Times New Roman" w:hAnsi="Times New Roman" w:cs="Times New Roman"/>
              </w:rPr>
              <w:t>73.4%</w:t>
            </w:r>
          </w:p>
        </w:tc>
        <w:tc>
          <w:tcPr>
            <w:tcW w:w="2268" w:type="dxa"/>
            <w:tcBorders>
              <w:left w:val="single" w:sz="18" w:space="0" w:color="auto"/>
            </w:tcBorders>
          </w:tcPr>
          <w:p w14:paraId="19A8F23C" w14:textId="3A601889" w:rsidR="002D0882" w:rsidRDefault="002D0882" w:rsidP="002D0882">
            <w:pPr>
              <w:keepLines/>
              <w:jc w:val="right"/>
              <w:rPr>
                <w:rFonts w:ascii="Times New Roman" w:hAnsi="Times New Roman" w:cs="Times New Roman"/>
              </w:rPr>
            </w:pPr>
            <w:r>
              <w:rPr>
                <w:rFonts w:ascii="Times New Roman" w:hAnsi="Times New Roman" w:cs="Times New Roman"/>
              </w:rPr>
              <w:t>77.2%</w:t>
            </w:r>
          </w:p>
        </w:tc>
      </w:tr>
      <w:tr w:rsidR="002D0882" w14:paraId="0B298F5C" w14:textId="77777777" w:rsidTr="00A6149D">
        <w:trPr>
          <w:trHeight w:hRule="exact" w:val="288"/>
        </w:trPr>
        <w:tc>
          <w:tcPr>
            <w:tcW w:w="4068" w:type="dxa"/>
            <w:tcBorders>
              <w:right w:val="single" w:sz="18" w:space="0" w:color="auto"/>
            </w:tcBorders>
          </w:tcPr>
          <w:p w14:paraId="1B549E29" w14:textId="02CAF44D" w:rsidR="002D0882" w:rsidRPr="009D6263" w:rsidRDefault="002D0882" w:rsidP="002D0882">
            <w:pPr>
              <w:keepLines/>
              <w:rPr>
                <w:rFonts w:ascii="Times New Roman" w:hAnsi="Times New Roman" w:cs="Times New Roman"/>
                <w:b/>
              </w:rPr>
            </w:pPr>
            <w:r w:rsidRPr="009D6263">
              <w:rPr>
                <w:rFonts w:ascii="Times New Roman" w:hAnsi="Times New Roman" w:cs="Times New Roman"/>
                <w:b/>
              </w:rPr>
              <w:t>N/A - converted</w:t>
            </w:r>
          </w:p>
        </w:tc>
        <w:tc>
          <w:tcPr>
            <w:tcW w:w="2520" w:type="dxa"/>
            <w:tcBorders>
              <w:left w:val="single" w:sz="18" w:space="0" w:color="auto"/>
              <w:right w:val="single" w:sz="18" w:space="0" w:color="auto"/>
            </w:tcBorders>
          </w:tcPr>
          <w:p w14:paraId="0FB7618E" w14:textId="139A0A07" w:rsidR="002D0882" w:rsidRDefault="002D0882" w:rsidP="002D0882">
            <w:pPr>
              <w:keepLines/>
              <w:jc w:val="right"/>
              <w:rPr>
                <w:rFonts w:ascii="Times New Roman" w:hAnsi="Times New Roman" w:cs="Times New Roman"/>
              </w:rPr>
            </w:pPr>
            <w:r>
              <w:rPr>
                <w:rFonts w:ascii="Times New Roman" w:hAnsi="Times New Roman" w:cs="Times New Roman"/>
              </w:rPr>
              <w:t>8.3%</w:t>
            </w:r>
          </w:p>
        </w:tc>
        <w:tc>
          <w:tcPr>
            <w:tcW w:w="2268" w:type="dxa"/>
            <w:tcBorders>
              <w:left w:val="single" w:sz="18" w:space="0" w:color="auto"/>
            </w:tcBorders>
          </w:tcPr>
          <w:p w14:paraId="1C3728EB" w14:textId="177F623F" w:rsidR="002D0882" w:rsidRDefault="002D0882" w:rsidP="002D0882">
            <w:pPr>
              <w:keepLines/>
              <w:jc w:val="right"/>
              <w:rPr>
                <w:rFonts w:ascii="Times New Roman" w:hAnsi="Times New Roman" w:cs="Times New Roman"/>
              </w:rPr>
            </w:pPr>
            <w:r>
              <w:rPr>
                <w:rFonts w:ascii="Times New Roman" w:hAnsi="Times New Roman" w:cs="Times New Roman"/>
              </w:rPr>
              <w:t>8.8%</w:t>
            </w:r>
          </w:p>
        </w:tc>
      </w:tr>
      <w:tr w:rsidR="002D0882" w14:paraId="35A0E1FA" w14:textId="77777777" w:rsidTr="00A6149D">
        <w:trPr>
          <w:trHeight w:hRule="exact" w:val="288"/>
        </w:trPr>
        <w:tc>
          <w:tcPr>
            <w:tcW w:w="4068" w:type="dxa"/>
            <w:tcBorders>
              <w:right w:val="single" w:sz="18" w:space="0" w:color="auto"/>
            </w:tcBorders>
          </w:tcPr>
          <w:p w14:paraId="546D7F4B" w14:textId="3F0ADC21" w:rsidR="002D0882" w:rsidRPr="009D6263" w:rsidRDefault="002D0882" w:rsidP="002D0882">
            <w:pPr>
              <w:keepLines/>
              <w:rPr>
                <w:rFonts w:ascii="Times New Roman" w:hAnsi="Times New Roman" w:cs="Times New Roman"/>
                <w:b/>
              </w:rPr>
            </w:pPr>
            <w:r w:rsidRPr="009D6263">
              <w:rPr>
                <w:rFonts w:ascii="Times New Roman" w:hAnsi="Times New Roman" w:cs="Times New Roman"/>
                <w:b/>
              </w:rPr>
              <w:t>N/A</w:t>
            </w:r>
          </w:p>
        </w:tc>
        <w:tc>
          <w:tcPr>
            <w:tcW w:w="2520" w:type="dxa"/>
            <w:tcBorders>
              <w:left w:val="single" w:sz="18" w:space="0" w:color="auto"/>
              <w:right w:val="single" w:sz="18" w:space="0" w:color="auto"/>
            </w:tcBorders>
          </w:tcPr>
          <w:p w14:paraId="6B7E36F4" w14:textId="0CE8CB1B" w:rsidR="002D0882" w:rsidRDefault="002D0882" w:rsidP="002D0882">
            <w:pPr>
              <w:keepLines/>
              <w:jc w:val="right"/>
              <w:rPr>
                <w:rFonts w:ascii="Times New Roman" w:hAnsi="Times New Roman" w:cs="Times New Roman"/>
              </w:rPr>
            </w:pPr>
            <w:r>
              <w:rPr>
                <w:rFonts w:ascii="Times New Roman" w:hAnsi="Times New Roman" w:cs="Times New Roman"/>
              </w:rPr>
              <w:t>2.8%</w:t>
            </w:r>
          </w:p>
        </w:tc>
        <w:tc>
          <w:tcPr>
            <w:tcW w:w="2268" w:type="dxa"/>
            <w:tcBorders>
              <w:left w:val="single" w:sz="18" w:space="0" w:color="auto"/>
            </w:tcBorders>
          </w:tcPr>
          <w:p w14:paraId="306BE0EE" w14:textId="59C47178" w:rsidR="002D0882" w:rsidRDefault="002D0882" w:rsidP="002D0882">
            <w:pPr>
              <w:keepLines/>
              <w:jc w:val="right"/>
              <w:rPr>
                <w:rFonts w:ascii="Times New Roman" w:hAnsi="Times New Roman" w:cs="Times New Roman"/>
              </w:rPr>
            </w:pPr>
            <w:r>
              <w:rPr>
                <w:rFonts w:ascii="Times New Roman" w:hAnsi="Times New Roman" w:cs="Times New Roman"/>
              </w:rPr>
              <w:t>2.6%</w:t>
            </w:r>
          </w:p>
        </w:tc>
      </w:tr>
    </w:tbl>
    <w:p w14:paraId="39C30EF4" w14:textId="77777777" w:rsidR="00A6149D" w:rsidRDefault="00A6149D" w:rsidP="00EB7FD9">
      <w:pPr>
        <w:spacing w:line="480" w:lineRule="auto"/>
        <w:ind w:firstLine="720"/>
        <w:rPr>
          <w:rFonts w:ascii="Times New Roman" w:hAnsi="Times New Roman" w:cs="Times New Roman"/>
        </w:rPr>
      </w:pPr>
    </w:p>
    <w:p w14:paraId="4BA4436E" w14:textId="131BB793" w:rsidR="006718A6" w:rsidRDefault="004B0A0C" w:rsidP="00EB7FD9">
      <w:pPr>
        <w:spacing w:line="480" w:lineRule="auto"/>
        <w:ind w:firstLine="720"/>
        <w:rPr>
          <w:rFonts w:ascii="Times New Roman" w:hAnsi="Times New Roman" w:cs="Times New Roman"/>
        </w:rPr>
      </w:pPr>
      <w:r w:rsidRPr="00537498">
        <w:rPr>
          <w:rFonts w:ascii="Times New Roman" w:hAnsi="Times New Roman" w:cs="Times New Roman"/>
        </w:rPr>
        <w:t xml:space="preserve">It is unclear whether the figures </w:t>
      </w:r>
      <w:r w:rsidR="006718A6">
        <w:rPr>
          <w:rFonts w:ascii="Times New Roman" w:hAnsi="Times New Roman" w:cs="Times New Roman"/>
        </w:rPr>
        <w:t>in Table 1</w:t>
      </w:r>
      <w:r w:rsidR="00D80370">
        <w:rPr>
          <w:rFonts w:ascii="Times New Roman" w:hAnsi="Times New Roman" w:cs="Times New Roman"/>
        </w:rPr>
        <w:t>4</w:t>
      </w:r>
      <w:r w:rsidR="006718A6">
        <w:rPr>
          <w:rFonts w:ascii="Times New Roman" w:hAnsi="Times New Roman" w:cs="Times New Roman"/>
        </w:rPr>
        <w:t xml:space="preserve"> </w:t>
      </w:r>
      <w:r w:rsidRPr="00537498">
        <w:rPr>
          <w:rFonts w:ascii="Times New Roman" w:hAnsi="Times New Roman" w:cs="Times New Roman"/>
        </w:rPr>
        <w:t xml:space="preserve">accurately reflect the </w:t>
      </w:r>
      <w:r w:rsidR="00E3004F">
        <w:rPr>
          <w:rFonts w:ascii="Times New Roman" w:hAnsi="Times New Roman" w:cs="Times New Roman"/>
        </w:rPr>
        <w:t xml:space="preserve">percentage </w:t>
      </w:r>
      <w:r w:rsidRPr="00537498">
        <w:rPr>
          <w:rFonts w:ascii="Times New Roman" w:hAnsi="Times New Roman" w:cs="Times New Roman"/>
        </w:rPr>
        <w:t xml:space="preserve">of small business debtors among the individual </w:t>
      </w:r>
      <w:r w:rsidR="00AA091B">
        <w:rPr>
          <w:rFonts w:ascii="Times New Roman" w:hAnsi="Times New Roman" w:cs="Times New Roman"/>
        </w:rPr>
        <w:t>chapter</w:t>
      </w:r>
      <w:r w:rsidRPr="00537498">
        <w:rPr>
          <w:rFonts w:ascii="Times New Roman" w:hAnsi="Times New Roman" w:cs="Times New Roman"/>
        </w:rPr>
        <w:t xml:space="preserve"> 11 debt</w:t>
      </w:r>
      <w:r w:rsidR="00A42155">
        <w:rPr>
          <w:rFonts w:ascii="Times New Roman" w:hAnsi="Times New Roman" w:cs="Times New Roman"/>
        </w:rPr>
        <w:t>ors in the</w:t>
      </w:r>
      <w:r w:rsidR="009937C0">
        <w:rPr>
          <w:rFonts w:ascii="Times New Roman" w:hAnsi="Times New Roman" w:cs="Times New Roman"/>
        </w:rPr>
        <w:t xml:space="preserve"> random sample. </w:t>
      </w:r>
      <w:r w:rsidR="006718A6">
        <w:rPr>
          <w:rFonts w:ascii="Times New Roman" w:hAnsi="Times New Roman" w:cs="Times New Roman"/>
        </w:rPr>
        <w:t>With BAPCPA, Congress eliminated the small business election, adopted in 1994, and required debtors to identify as small business debtors if they satisfied the Code’s new definition.</w:t>
      </w:r>
      <w:r w:rsidR="006718A6">
        <w:rPr>
          <w:rStyle w:val="FootnoteReference"/>
          <w:rFonts w:ascii="Times New Roman" w:hAnsi="Times New Roman" w:cs="Times New Roman"/>
        </w:rPr>
        <w:footnoteReference w:id="117"/>
      </w:r>
      <w:r w:rsidR="006718A6">
        <w:rPr>
          <w:rFonts w:ascii="Times New Roman" w:hAnsi="Times New Roman" w:cs="Times New Roman"/>
        </w:rPr>
        <w:t xml:space="preserve"> Yet, some commentators, including one of us, have questioned whether </w:t>
      </w:r>
      <w:r w:rsidR="00AA091B">
        <w:rPr>
          <w:rFonts w:ascii="Times New Roman" w:hAnsi="Times New Roman" w:cs="Times New Roman"/>
        </w:rPr>
        <w:t>chapter</w:t>
      </w:r>
      <w:r w:rsidR="006718A6">
        <w:rPr>
          <w:rFonts w:ascii="Times New Roman" w:hAnsi="Times New Roman" w:cs="Times New Roman"/>
        </w:rPr>
        <w:t xml:space="preserve"> 11 “small business debtors are not self-reporting and may not be proceeding as small business cases.”</w:t>
      </w:r>
      <w:r w:rsidR="006718A6">
        <w:rPr>
          <w:rStyle w:val="FootnoteReference"/>
          <w:rFonts w:ascii="Times New Roman" w:hAnsi="Times New Roman" w:cs="Times New Roman"/>
        </w:rPr>
        <w:footnoteReference w:id="118"/>
      </w:r>
    </w:p>
    <w:p w14:paraId="67874066" w14:textId="57D68339" w:rsidR="00E12702" w:rsidRDefault="007A470E" w:rsidP="00EB7FD9">
      <w:pPr>
        <w:spacing w:line="480" w:lineRule="auto"/>
        <w:ind w:firstLine="720"/>
        <w:rPr>
          <w:rFonts w:ascii="Times New Roman" w:hAnsi="Times New Roman" w:cs="Times New Roman"/>
        </w:rPr>
      </w:pPr>
      <w:r>
        <w:rPr>
          <w:rFonts w:ascii="Times New Roman" w:hAnsi="Times New Roman" w:cs="Times New Roman"/>
        </w:rPr>
        <w:t>I</w:t>
      </w:r>
      <w:r w:rsidR="004B0A0C" w:rsidRPr="00537498">
        <w:rPr>
          <w:rFonts w:ascii="Times New Roman" w:hAnsi="Times New Roman" w:cs="Times New Roman"/>
        </w:rPr>
        <w:t>ndividual debtor</w:t>
      </w:r>
      <w:r>
        <w:rPr>
          <w:rFonts w:ascii="Times New Roman" w:hAnsi="Times New Roman" w:cs="Times New Roman"/>
        </w:rPr>
        <w:t>s</w:t>
      </w:r>
      <w:r w:rsidR="004B0A0C" w:rsidRPr="00537498">
        <w:rPr>
          <w:rFonts w:ascii="Times New Roman" w:hAnsi="Times New Roman" w:cs="Times New Roman"/>
        </w:rPr>
        <w:t xml:space="preserve"> qualif</w:t>
      </w:r>
      <w:r>
        <w:rPr>
          <w:rFonts w:ascii="Times New Roman" w:hAnsi="Times New Roman" w:cs="Times New Roman"/>
        </w:rPr>
        <w:t>y</w:t>
      </w:r>
      <w:r w:rsidR="004B0A0C" w:rsidRPr="00537498">
        <w:rPr>
          <w:rFonts w:ascii="Times New Roman" w:hAnsi="Times New Roman" w:cs="Times New Roman"/>
        </w:rPr>
        <w:t xml:space="preserve"> as small business debtor</w:t>
      </w:r>
      <w:r>
        <w:rPr>
          <w:rFonts w:ascii="Times New Roman" w:hAnsi="Times New Roman" w:cs="Times New Roman"/>
        </w:rPr>
        <w:t>s</w:t>
      </w:r>
      <w:r w:rsidR="004B0A0C" w:rsidRPr="00537498">
        <w:rPr>
          <w:rFonts w:ascii="Times New Roman" w:hAnsi="Times New Roman" w:cs="Times New Roman"/>
        </w:rPr>
        <w:t xml:space="preserve"> if: (1) </w:t>
      </w:r>
      <w:r>
        <w:rPr>
          <w:rFonts w:ascii="Times New Roman" w:hAnsi="Times New Roman" w:cs="Times New Roman"/>
        </w:rPr>
        <w:t>they are</w:t>
      </w:r>
      <w:r w:rsidR="004B0A0C" w:rsidRPr="00537498">
        <w:rPr>
          <w:rFonts w:ascii="Times New Roman" w:hAnsi="Times New Roman" w:cs="Times New Roman"/>
        </w:rPr>
        <w:t xml:space="preserve"> engaged in business or commercial activities; (2) </w:t>
      </w:r>
      <w:r>
        <w:rPr>
          <w:rFonts w:ascii="Times New Roman" w:hAnsi="Times New Roman" w:cs="Times New Roman"/>
        </w:rPr>
        <w:t>their</w:t>
      </w:r>
      <w:r w:rsidR="004B0A0C" w:rsidRPr="00537498">
        <w:rPr>
          <w:rFonts w:ascii="Times New Roman" w:hAnsi="Times New Roman" w:cs="Times New Roman"/>
        </w:rPr>
        <w:t xml:space="preserve"> liabilities fall below the statutory debt limit then in place for small businesses;</w:t>
      </w:r>
      <w:bookmarkStart w:id="18" w:name="_Ref333839199"/>
      <w:r w:rsidR="004B0A0C" w:rsidRPr="00537498">
        <w:rPr>
          <w:rStyle w:val="FootnoteReference"/>
          <w:rFonts w:ascii="Times New Roman" w:hAnsi="Times New Roman" w:cs="Times New Roman"/>
        </w:rPr>
        <w:footnoteReference w:id="119"/>
      </w:r>
      <w:bookmarkEnd w:id="18"/>
      <w:r w:rsidR="004B0A0C" w:rsidRPr="00537498">
        <w:rPr>
          <w:rFonts w:ascii="Times New Roman" w:hAnsi="Times New Roman" w:cs="Times New Roman"/>
        </w:rPr>
        <w:t xml:space="preserve"> (3) </w:t>
      </w:r>
      <w:r w:rsidR="00BA788F">
        <w:rPr>
          <w:rFonts w:ascii="Times New Roman" w:hAnsi="Times New Roman" w:cs="Times New Roman"/>
        </w:rPr>
        <w:t xml:space="preserve">no </w:t>
      </w:r>
      <w:r w:rsidR="004B0A0C" w:rsidRPr="00537498">
        <w:rPr>
          <w:rFonts w:ascii="Times New Roman" w:hAnsi="Times New Roman" w:cs="Times New Roman"/>
        </w:rPr>
        <w:t>official unsecured creditors’ committee</w:t>
      </w:r>
      <w:r>
        <w:rPr>
          <w:rFonts w:ascii="Times New Roman" w:hAnsi="Times New Roman" w:cs="Times New Roman"/>
        </w:rPr>
        <w:t>s</w:t>
      </w:r>
      <w:r w:rsidR="004B0A0C" w:rsidRPr="00537498">
        <w:rPr>
          <w:rFonts w:ascii="Times New Roman" w:hAnsi="Times New Roman" w:cs="Times New Roman"/>
        </w:rPr>
        <w:t xml:space="preserve"> form</w:t>
      </w:r>
      <w:r w:rsidR="00BA788F">
        <w:rPr>
          <w:rFonts w:ascii="Times New Roman" w:hAnsi="Times New Roman" w:cs="Times New Roman"/>
        </w:rPr>
        <w:t>s</w:t>
      </w:r>
      <w:r w:rsidR="004B0A0C" w:rsidRPr="00537498">
        <w:rPr>
          <w:rFonts w:ascii="Times New Roman" w:hAnsi="Times New Roman" w:cs="Times New Roman"/>
        </w:rPr>
        <w:t xml:space="preserve">; and (4) </w:t>
      </w:r>
      <w:r w:rsidR="00BA788F">
        <w:rPr>
          <w:rFonts w:ascii="Times New Roman" w:hAnsi="Times New Roman" w:cs="Times New Roman"/>
        </w:rPr>
        <w:t>the debtor’s</w:t>
      </w:r>
      <w:r w:rsidR="004B0A0C" w:rsidRPr="00537498">
        <w:rPr>
          <w:rFonts w:ascii="Times New Roman" w:hAnsi="Times New Roman" w:cs="Times New Roman"/>
        </w:rPr>
        <w:t xml:space="preserve"> primary activity is not </w:t>
      </w:r>
      <w:r w:rsidR="006718A6">
        <w:rPr>
          <w:rFonts w:ascii="Times New Roman" w:hAnsi="Times New Roman" w:cs="Times New Roman"/>
        </w:rPr>
        <w:t xml:space="preserve">the </w:t>
      </w:r>
      <w:r w:rsidR="004B0A0C" w:rsidRPr="00537498">
        <w:rPr>
          <w:rFonts w:ascii="Times New Roman" w:hAnsi="Times New Roman" w:cs="Times New Roman"/>
        </w:rPr>
        <w:t>business of owning or operating real property.</w:t>
      </w:r>
      <w:bookmarkStart w:id="19" w:name="_Ref332102126"/>
      <w:r w:rsidR="004B0A0C" w:rsidRPr="00537498">
        <w:rPr>
          <w:rStyle w:val="FootnoteReference"/>
          <w:rFonts w:ascii="Times New Roman" w:hAnsi="Times New Roman" w:cs="Times New Roman"/>
        </w:rPr>
        <w:footnoteReference w:id="120"/>
      </w:r>
      <w:bookmarkEnd w:id="19"/>
      <w:r w:rsidR="004B0A0C" w:rsidRPr="00537498">
        <w:rPr>
          <w:rFonts w:ascii="Times New Roman" w:hAnsi="Times New Roman" w:cs="Times New Roman"/>
        </w:rPr>
        <w:t xml:space="preserve"> </w:t>
      </w:r>
      <w:r w:rsidR="006718A6">
        <w:rPr>
          <w:rFonts w:ascii="Times New Roman" w:hAnsi="Times New Roman" w:cs="Times New Roman"/>
        </w:rPr>
        <w:t>As Table 1</w:t>
      </w:r>
      <w:r w:rsidR="00D80370">
        <w:rPr>
          <w:rFonts w:ascii="Times New Roman" w:hAnsi="Times New Roman" w:cs="Times New Roman"/>
        </w:rPr>
        <w:t>1</w:t>
      </w:r>
      <w:r w:rsidR="006718A6">
        <w:rPr>
          <w:rFonts w:ascii="Times New Roman" w:hAnsi="Times New Roman" w:cs="Times New Roman"/>
        </w:rPr>
        <w:t xml:space="preserve"> show</w:t>
      </w:r>
      <w:r w:rsidR="003D6BD8">
        <w:rPr>
          <w:rFonts w:ascii="Times New Roman" w:hAnsi="Times New Roman" w:cs="Times New Roman"/>
        </w:rPr>
        <w:t>s</w:t>
      </w:r>
      <w:r w:rsidR="006718A6">
        <w:rPr>
          <w:rFonts w:ascii="Times New Roman" w:hAnsi="Times New Roman" w:cs="Times New Roman"/>
        </w:rPr>
        <w:t>, the vast majority of debtors in the 2010 and 2013 samples were engaged in some form of business or commercial enterprise. Half the debtors in 2010 had total liabilities reported on their summary of schedules, without deducting for contingent and unliquidated debt, of $1,8</w:t>
      </w:r>
      <w:r w:rsidR="00405E3E">
        <w:rPr>
          <w:rFonts w:ascii="Times New Roman" w:hAnsi="Times New Roman" w:cs="Times New Roman"/>
        </w:rPr>
        <w:t>3</w:t>
      </w:r>
      <w:r w:rsidR="006718A6">
        <w:rPr>
          <w:rFonts w:ascii="Times New Roman" w:hAnsi="Times New Roman" w:cs="Times New Roman"/>
        </w:rPr>
        <w:t xml:space="preserve">7,241 or less. </w:t>
      </w:r>
      <w:r w:rsidR="002C47D8">
        <w:rPr>
          <w:rFonts w:ascii="Times New Roman" w:hAnsi="Times New Roman" w:cs="Times New Roman"/>
          <w:i/>
        </w:rPr>
        <w:t xml:space="preserve">See infra </w:t>
      </w:r>
      <w:r w:rsidR="002C47D8">
        <w:rPr>
          <w:rFonts w:ascii="Times New Roman" w:hAnsi="Times New Roman" w:cs="Times New Roman"/>
        </w:rPr>
        <w:t xml:space="preserve">Table </w:t>
      </w:r>
      <w:r w:rsidR="00CA37D6">
        <w:rPr>
          <w:rFonts w:ascii="Times New Roman" w:hAnsi="Times New Roman" w:cs="Times New Roman"/>
        </w:rPr>
        <w:t>2</w:t>
      </w:r>
      <w:r w:rsidR="00D34E47">
        <w:rPr>
          <w:rFonts w:ascii="Times New Roman" w:hAnsi="Times New Roman" w:cs="Times New Roman"/>
        </w:rPr>
        <w:t>9</w:t>
      </w:r>
      <w:r w:rsidR="002C47D8">
        <w:rPr>
          <w:rFonts w:ascii="Times New Roman" w:hAnsi="Times New Roman" w:cs="Times New Roman"/>
        </w:rPr>
        <w:t xml:space="preserve">. </w:t>
      </w:r>
      <w:r w:rsidR="006718A6">
        <w:rPr>
          <w:rFonts w:ascii="Times New Roman" w:hAnsi="Times New Roman" w:cs="Times New Roman"/>
        </w:rPr>
        <w:t xml:space="preserve">In 2013, that median figure fell to $1,544,138.  </w:t>
      </w:r>
      <w:r w:rsidR="002C47D8">
        <w:rPr>
          <w:rFonts w:ascii="Times New Roman" w:hAnsi="Times New Roman" w:cs="Times New Roman"/>
          <w:i/>
        </w:rPr>
        <w:t xml:space="preserve">See infra </w:t>
      </w:r>
      <w:r w:rsidR="002C47D8">
        <w:rPr>
          <w:rFonts w:ascii="Times New Roman" w:hAnsi="Times New Roman" w:cs="Times New Roman"/>
        </w:rPr>
        <w:t xml:space="preserve">Table </w:t>
      </w:r>
      <w:r w:rsidR="00CA37D6">
        <w:rPr>
          <w:rFonts w:ascii="Times New Roman" w:hAnsi="Times New Roman" w:cs="Times New Roman"/>
        </w:rPr>
        <w:t>2</w:t>
      </w:r>
      <w:r w:rsidR="00D34E47">
        <w:rPr>
          <w:rFonts w:ascii="Times New Roman" w:hAnsi="Times New Roman" w:cs="Times New Roman"/>
        </w:rPr>
        <w:t>9</w:t>
      </w:r>
      <w:r w:rsidR="002C47D8">
        <w:rPr>
          <w:rFonts w:ascii="Times New Roman" w:hAnsi="Times New Roman" w:cs="Times New Roman"/>
        </w:rPr>
        <w:t xml:space="preserve">. </w:t>
      </w:r>
      <w:r w:rsidR="006718A6">
        <w:rPr>
          <w:rFonts w:ascii="Times New Roman" w:hAnsi="Times New Roman" w:cs="Times New Roman"/>
        </w:rPr>
        <w:t xml:space="preserve">Thus, at least half the debtors in the 2010 and 2013 sample had liabilities substantially below the then-current small business liability cutoff.  </w:t>
      </w:r>
      <w:r w:rsidR="00B00A7A">
        <w:rPr>
          <w:rFonts w:ascii="Times New Roman" w:hAnsi="Times New Roman" w:cs="Times New Roman"/>
        </w:rPr>
        <w:t xml:space="preserve">An official committee of unsecured creditors did not form in any of the cases in our 2010 or 2013 sample. </w:t>
      </w:r>
      <w:r w:rsidR="00E12702">
        <w:rPr>
          <w:rFonts w:ascii="Times New Roman" w:hAnsi="Times New Roman" w:cs="Times New Roman"/>
        </w:rPr>
        <w:t xml:space="preserve">Therefore, </w:t>
      </w:r>
      <w:r w:rsidR="00B00A7A">
        <w:rPr>
          <w:rFonts w:ascii="Times New Roman" w:hAnsi="Times New Roman" w:cs="Times New Roman"/>
        </w:rPr>
        <w:t xml:space="preserve">unless the primary activity of a substantial number of the debtors in our 2010 and 2013 </w:t>
      </w:r>
      <w:r w:rsidR="00BA788F">
        <w:rPr>
          <w:rFonts w:ascii="Times New Roman" w:hAnsi="Times New Roman" w:cs="Times New Roman"/>
        </w:rPr>
        <w:t xml:space="preserve">sample </w:t>
      </w:r>
      <w:r w:rsidR="00B00A7A">
        <w:rPr>
          <w:rFonts w:ascii="Times New Roman" w:hAnsi="Times New Roman" w:cs="Times New Roman"/>
        </w:rPr>
        <w:t xml:space="preserve">was the business of owning or operating real property, the data in Table </w:t>
      </w:r>
      <w:r w:rsidR="00E12702">
        <w:rPr>
          <w:rFonts w:ascii="Times New Roman" w:hAnsi="Times New Roman" w:cs="Times New Roman"/>
        </w:rPr>
        <w:t>1</w:t>
      </w:r>
      <w:r w:rsidR="00A6149D">
        <w:rPr>
          <w:rFonts w:ascii="Times New Roman" w:hAnsi="Times New Roman" w:cs="Times New Roman"/>
        </w:rPr>
        <w:t>4</w:t>
      </w:r>
      <w:r w:rsidR="00E12702">
        <w:rPr>
          <w:rFonts w:ascii="Times New Roman" w:hAnsi="Times New Roman" w:cs="Times New Roman"/>
        </w:rPr>
        <w:t xml:space="preserve"> suggest that many individual debtors </w:t>
      </w:r>
      <w:r w:rsidR="002C47D8">
        <w:rPr>
          <w:rFonts w:ascii="Times New Roman" w:hAnsi="Times New Roman" w:cs="Times New Roman"/>
        </w:rPr>
        <w:t xml:space="preserve">identify </w:t>
      </w:r>
      <w:r w:rsidR="00BA788F">
        <w:rPr>
          <w:rFonts w:ascii="Times New Roman" w:hAnsi="Times New Roman" w:cs="Times New Roman"/>
        </w:rPr>
        <w:t>as non-small business debtors despite qualifying under the small business debtor provisions.</w:t>
      </w:r>
    </w:p>
    <w:p w14:paraId="4D5D44AB" w14:textId="04777605" w:rsidR="004B0A0C" w:rsidRPr="00537498" w:rsidRDefault="00E12702" w:rsidP="00EB7FD9">
      <w:pPr>
        <w:spacing w:line="480" w:lineRule="auto"/>
        <w:ind w:firstLine="720"/>
        <w:rPr>
          <w:rFonts w:ascii="Times New Roman" w:hAnsi="Times New Roman" w:cs="Times New Roman"/>
        </w:rPr>
      </w:pPr>
      <w:r>
        <w:rPr>
          <w:rFonts w:ascii="Times New Roman" w:hAnsi="Times New Roman" w:cs="Times New Roman"/>
        </w:rPr>
        <w:t xml:space="preserve">As </w:t>
      </w:r>
      <w:r w:rsidR="00583CB6">
        <w:rPr>
          <w:rFonts w:ascii="Times New Roman" w:hAnsi="Times New Roman" w:cs="Times New Roman"/>
        </w:rPr>
        <w:t>our</w:t>
      </w:r>
      <w:r>
        <w:rPr>
          <w:rFonts w:ascii="Times New Roman" w:hAnsi="Times New Roman" w:cs="Times New Roman"/>
        </w:rPr>
        <w:t xml:space="preserve"> discussion </w:t>
      </w:r>
      <w:r w:rsidR="00583CB6">
        <w:rPr>
          <w:rFonts w:ascii="Times New Roman" w:hAnsi="Times New Roman" w:cs="Times New Roman"/>
        </w:rPr>
        <w:t xml:space="preserve">later </w:t>
      </w:r>
      <w:r>
        <w:rPr>
          <w:rFonts w:ascii="Times New Roman" w:hAnsi="Times New Roman" w:cs="Times New Roman"/>
        </w:rPr>
        <w:t>makes clear,</w:t>
      </w:r>
      <w:r w:rsidR="00583CB6">
        <w:rPr>
          <w:rStyle w:val="FootnoteReference"/>
          <w:rFonts w:ascii="Times New Roman" w:hAnsi="Times New Roman" w:cs="Times New Roman"/>
        </w:rPr>
        <w:footnoteReference w:id="121"/>
      </w:r>
      <w:r>
        <w:rPr>
          <w:rFonts w:ascii="Times New Roman" w:hAnsi="Times New Roman" w:cs="Times New Roman"/>
        </w:rPr>
        <w:t xml:space="preserve"> the real estate crisis did play an important role in a number of the cases in the random sample, especially those from 2010. Filing for relief under </w:t>
      </w:r>
      <w:r w:rsidR="00AA091B">
        <w:rPr>
          <w:rFonts w:ascii="Times New Roman" w:hAnsi="Times New Roman" w:cs="Times New Roman"/>
        </w:rPr>
        <w:t>chapter</w:t>
      </w:r>
      <w:r>
        <w:rPr>
          <w:rFonts w:ascii="Times New Roman" w:hAnsi="Times New Roman" w:cs="Times New Roman"/>
        </w:rPr>
        <w:t xml:space="preserve"> 11 because of a foreclosure action against a residence, however, does not mean that the debtor’s primary activity was the business of owning or operating real property. Determining which </w:t>
      </w:r>
      <w:r w:rsidR="00AA091B">
        <w:rPr>
          <w:rFonts w:ascii="Times New Roman" w:hAnsi="Times New Roman" w:cs="Times New Roman"/>
        </w:rPr>
        <w:t>chapter</w:t>
      </w:r>
      <w:r>
        <w:rPr>
          <w:rFonts w:ascii="Times New Roman" w:hAnsi="Times New Roman" w:cs="Times New Roman"/>
        </w:rPr>
        <w:t xml:space="preserve"> 11 debtors qualify for the “real property” exclusion and, thus, are not small business debtors is difficult, because Congress failed to define what constitutes a debtor’s primary activity</w:t>
      </w:r>
      <w:r w:rsidR="00BA788F">
        <w:rPr>
          <w:rFonts w:ascii="Times New Roman" w:hAnsi="Times New Roman" w:cs="Times New Roman"/>
        </w:rPr>
        <w:t>. Nonetheless, our data suggest</w:t>
      </w:r>
      <w:r>
        <w:rPr>
          <w:rFonts w:ascii="Times New Roman" w:hAnsi="Times New Roman" w:cs="Times New Roman"/>
        </w:rPr>
        <w:t xml:space="preserve"> that a not-insignificant number of debtors in both 2010 and 2013 qualified as small business debtors but failed to check the small business debtor box on the voluntary petition.</w:t>
      </w:r>
      <w:r w:rsidR="004B0A0C" w:rsidRPr="00537498">
        <w:rPr>
          <w:rStyle w:val="FootnoteReference"/>
          <w:rFonts w:ascii="Times New Roman" w:hAnsi="Times New Roman" w:cs="Times New Roman"/>
        </w:rPr>
        <w:footnoteReference w:id="122"/>
      </w:r>
      <w:r w:rsidR="004B0A0C" w:rsidRPr="00537498">
        <w:rPr>
          <w:rFonts w:ascii="Times New Roman" w:hAnsi="Times New Roman" w:cs="Times New Roman"/>
        </w:rPr>
        <w:t xml:space="preserve"> </w:t>
      </w:r>
    </w:p>
    <w:p w14:paraId="231D313A" w14:textId="4538CA44" w:rsidR="00830D16" w:rsidRDefault="004B0A0C" w:rsidP="00042842">
      <w:pPr>
        <w:spacing w:line="480" w:lineRule="auto"/>
        <w:ind w:firstLine="720"/>
        <w:rPr>
          <w:rFonts w:ascii="Times New Roman" w:hAnsi="Times New Roman" w:cs="Times New Roman"/>
        </w:rPr>
      </w:pPr>
      <w:r w:rsidRPr="00537498">
        <w:rPr>
          <w:rFonts w:ascii="Times New Roman" w:hAnsi="Times New Roman" w:cs="Times New Roman"/>
        </w:rPr>
        <w:t xml:space="preserve">Congress created the small business reforms in order to provide better monitoring of small business entities, which perform poorly in </w:t>
      </w:r>
      <w:r w:rsidR="00AA091B">
        <w:rPr>
          <w:rFonts w:ascii="Times New Roman" w:hAnsi="Times New Roman" w:cs="Times New Roman"/>
        </w:rPr>
        <w:t>chapter</w:t>
      </w:r>
      <w:r w:rsidRPr="00537498">
        <w:rPr>
          <w:rFonts w:ascii="Times New Roman" w:hAnsi="Times New Roman" w:cs="Times New Roman"/>
        </w:rPr>
        <w:t xml:space="preserve"> 11.</w:t>
      </w:r>
      <w:r w:rsidR="00E12702">
        <w:rPr>
          <w:rStyle w:val="FootnoteReference"/>
          <w:rFonts w:ascii="Times New Roman" w:hAnsi="Times New Roman" w:cs="Times New Roman"/>
        </w:rPr>
        <w:footnoteReference w:id="123"/>
      </w:r>
      <w:r w:rsidRPr="00537498">
        <w:rPr>
          <w:rFonts w:ascii="Times New Roman" w:hAnsi="Times New Roman" w:cs="Times New Roman"/>
        </w:rPr>
        <w:t xml:space="preserve"> </w:t>
      </w:r>
      <w:r w:rsidR="00553AF6">
        <w:rPr>
          <w:rFonts w:ascii="Times New Roman" w:hAnsi="Times New Roman" w:cs="Times New Roman"/>
        </w:rPr>
        <w:t xml:space="preserve"> </w:t>
      </w:r>
      <w:r w:rsidRPr="00537498">
        <w:rPr>
          <w:rFonts w:ascii="Times New Roman" w:hAnsi="Times New Roman" w:cs="Times New Roman"/>
        </w:rPr>
        <w:t xml:space="preserve">For the non-small business individual filers, </w:t>
      </w:r>
      <w:r w:rsidR="00D61735">
        <w:rPr>
          <w:rFonts w:ascii="Times New Roman" w:hAnsi="Times New Roman" w:cs="Times New Roman"/>
        </w:rPr>
        <w:t xml:space="preserve">however, </w:t>
      </w:r>
      <w:r w:rsidRPr="00537498">
        <w:rPr>
          <w:rFonts w:ascii="Times New Roman" w:hAnsi="Times New Roman" w:cs="Times New Roman"/>
        </w:rPr>
        <w:t xml:space="preserve">there is little oversight in </w:t>
      </w:r>
      <w:r w:rsidR="00AA091B">
        <w:rPr>
          <w:rFonts w:ascii="Times New Roman" w:hAnsi="Times New Roman" w:cs="Times New Roman"/>
        </w:rPr>
        <w:t>chapter</w:t>
      </w:r>
      <w:r w:rsidRPr="00537498">
        <w:rPr>
          <w:rFonts w:ascii="Times New Roman" w:hAnsi="Times New Roman" w:cs="Times New Roman"/>
        </w:rPr>
        <w:t xml:space="preserve"> 11</w:t>
      </w:r>
      <w:r w:rsidR="00350B41">
        <w:rPr>
          <w:rFonts w:ascii="Times New Roman" w:hAnsi="Times New Roman" w:cs="Times New Roman"/>
        </w:rPr>
        <w:t xml:space="preserve"> for a number of reasons</w:t>
      </w:r>
      <w:r w:rsidR="00042842">
        <w:rPr>
          <w:rFonts w:ascii="Times New Roman" w:hAnsi="Times New Roman" w:cs="Times New Roman"/>
        </w:rPr>
        <w:t>. First,</w:t>
      </w:r>
      <w:r w:rsidRPr="00537498">
        <w:rPr>
          <w:rFonts w:ascii="Times New Roman" w:hAnsi="Times New Roman" w:cs="Times New Roman"/>
        </w:rPr>
        <w:t xml:space="preserve"> </w:t>
      </w:r>
      <w:r w:rsidR="00830D16" w:rsidRPr="00537498">
        <w:rPr>
          <w:rFonts w:ascii="Times New Roman" w:hAnsi="Times New Roman" w:cs="Times New Roman"/>
        </w:rPr>
        <w:t xml:space="preserve">the </w:t>
      </w:r>
      <w:r w:rsidR="00830D16">
        <w:rPr>
          <w:rFonts w:ascii="Times New Roman" w:hAnsi="Times New Roman" w:cs="Times New Roman"/>
        </w:rPr>
        <w:t>United States Trustee</w:t>
      </w:r>
      <w:r w:rsidR="00830D16" w:rsidRPr="00537498">
        <w:rPr>
          <w:rFonts w:ascii="Times New Roman" w:hAnsi="Times New Roman" w:cs="Times New Roman"/>
        </w:rPr>
        <w:t>’s heightened oversight obligations do not apply.</w:t>
      </w:r>
      <w:r w:rsidR="00830D16" w:rsidRPr="00537498">
        <w:rPr>
          <w:rStyle w:val="FootnoteReference"/>
          <w:rFonts w:ascii="Times New Roman" w:hAnsi="Times New Roman" w:cs="Times New Roman"/>
        </w:rPr>
        <w:footnoteReference w:id="124"/>
      </w:r>
      <w:r w:rsidR="00830D16" w:rsidRPr="00537498">
        <w:rPr>
          <w:rFonts w:ascii="Times New Roman" w:hAnsi="Times New Roman" w:cs="Times New Roman"/>
        </w:rPr>
        <w:t xml:space="preserve"> </w:t>
      </w:r>
      <w:r w:rsidR="00830D16">
        <w:rPr>
          <w:rFonts w:ascii="Times New Roman" w:hAnsi="Times New Roman" w:cs="Times New Roman"/>
        </w:rPr>
        <w:t xml:space="preserve">Second, </w:t>
      </w:r>
      <w:r w:rsidR="00350B41">
        <w:rPr>
          <w:rFonts w:ascii="Times New Roman" w:hAnsi="Times New Roman" w:cs="Times New Roman"/>
        </w:rPr>
        <w:t xml:space="preserve">official creditors’ committees </w:t>
      </w:r>
      <w:r w:rsidR="00676294">
        <w:rPr>
          <w:rFonts w:ascii="Times New Roman" w:hAnsi="Times New Roman" w:cs="Times New Roman"/>
        </w:rPr>
        <w:t>are</w:t>
      </w:r>
      <w:r w:rsidR="00350B41">
        <w:rPr>
          <w:rFonts w:ascii="Times New Roman" w:hAnsi="Times New Roman" w:cs="Times New Roman"/>
        </w:rPr>
        <w:t xml:space="preserve"> nonexistent. W</w:t>
      </w:r>
      <w:r w:rsidR="00042842">
        <w:rPr>
          <w:rFonts w:ascii="Times New Roman" w:hAnsi="Times New Roman" w:cs="Times New Roman"/>
        </w:rPr>
        <w:t>e found no cases in the random sample in which a</w:t>
      </w:r>
      <w:r w:rsidRPr="00537498">
        <w:rPr>
          <w:rFonts w:ascii="Times New Roman" w:hAnsi="Times New Roman" w:cs="Times New Roman"/>
        </w:rPr>
        <w:t xml:space="preserve"> committee</w:t>
      </w:r>
      <w:r w:rsidR="00042842">
        <w:rPr>
          <w:rFonts w:ascii="Times New Roman" w:hAnsi="Times New Roman" w:cs="Times New Roman"/>
        </w:rPr>
        <w:t xml:space="preserve"> </w:t>
      </w:r>
      <w:r w:rsidRPr="00537498">
        <w:rPr>
          <w:rFonts w:ascii="Times New Roman" w:hAnsi="Times New Roman" w:cs="Times New Roman"/>
        </w:rPr>
        <w:t>form</w:t>
      </w:r>
      <w:r w:rsidR="00042842">
        <w:rPr>
          <w:rFonts w:ascii="Times New Roman" w:hAnsi="Times New Roman" w:cs="Times New Roman"/>
        </w:rPr>
        <w:t>ed.</w:t>
      </w:r>
      <w:bookmarkStart w:id="20" w:name="_Ref333754343"/>
      <w:r w:rsidRPr="00537498">
        <w:rPr>
          <w:rStyle w:val="FootnoteReference"/>
          <w:rFonts w:ascii="Times New Roman" w:hAnsi="Times New Roman" w:cs="Times New Roman"/>
        </w:rPr>
        <w:footnoteReference w:id="125"/>
      </w:r>
      <w:bookmarkEnd w:id="20"/>
      <w:r w:rsidRPr="00537498">
        <w:rPr>
          <w:rFonts w:ascii="Times New Roman" w:hAnsi="Times New Roman" w:cs="Times New Roman"/>
        </w:rPr>
        <w:t xml:space="preserve"> </w:t>
      </w:r>
      <w:r w:rsidR="00830D16">
        <w:rPr>
          <w:rFonts w:ascii="Times New Roman" w:hAnsi="Times New Roman" w:cs="Times New Roman"/>
        </w:rPr>
        <w:t xml:space="preserve">The absence of a committee raises concern about creditor disengagement; </w:t>
      </w:r>
      <w:r w:rsidR="00D61735">
        <w:rPr>
          <w:rFonts w:ascii="Times New Roman" w:hAnsi="Times New Roman" w:cs="Times New Roman"/>
        </w:rPr>
        <w:t xml:space="preserve">an </w:t>
      </w:r>
      <w:r w:rsidR="00830D16">
        <w:rPr>
          <w:rFonts w:ascii="Times New Roman" w:hAnsi="Times New Roman" w:cs="Times New Roman"/>
        </w:rPr>
        <w:t xml:space="preserve">unsecured creditor with </w:t>
      </w:r>
      <w:r w:rsidR="00D61735">
        <w:rPr>
          <w:rFonts w:ascii="Times New Roman" w:hAnsi="Times New Roman" w:cs="Times New Roman"/>
        </w:rPr>
        <w:t xml:space="preserve">a </w:t>
      </w:r>
      <w:r w:rsidR="00830D16">
        <w:rPr>
          <w:rFonts w:ascii="Times New Roman" w:hAnsi="Times New Roman" w:cs="Times New Roman"/>
        </w:rPr>
        <w:t xml:space="preserve">small claim </w:t>
      </w:r>
      <w:r w:rsidR="00D61735">
        <w:rPr>
          <w:rFonts w:ascii="Times New Roman" w:hAnsi="Times New Roman" w:cs="Times New Roman"/>
        </w:rPr>
        <w:t>may</w:t>
      </w:r>
      <w:r w:rsidR="00830D16">
        <w:rPr>
          <w:rFonts w:ascii="Times New Roman" w:hAnsi="Times New Roman" w:cs="Times New Roman"/>
        </w:rPr>
        <w:t xml:space="preserve"> decide that the cost of an attorney outweighs the benefit of participation in</w:t>
      </w:r>
      <w:r w:rsidR="00D61735">
        <w:rPr>
          <w:rFonts w:ascii="Times New Roman" w:hAnsi="Times New Roman" w:cs="Times New Roman"/>
        </w:rPr>
        <w:t xml:space="preserve"> the chapter 11 case. In fact, we found evidence of disengagement by unsecured creditors. I</w:t>
      </w:r>
      <w:r w:rsidR="00830D16">
        <w:rPr>
          <w:rFonts w:ascii="Times New Roman" w:hAnsi="Times New Roman" w:cs="Times New Roman"/>
        </w:rPr>
        <w:t xml:space="preserve">n approximately 60% of the random sample cases, there were no objections, of any type, raised by any unsecured creditor. </w:t>
      </w:r>
      <w:r w:rsidR="00830D16">
        <w:rPr>
          <w:rFonts w:ascii="Times New Roman" w:hAnsi="Times New Roman" w:cs="Times New Roman"/>
          <w:i/>
        </w:rPr>
        <w:t xml:space="preserve">See </w:t>
      </w:r>
      <w:r w:rsidR="00830D16">
        <w:rPr>
          <w:rFonts w:ascii="Times New Roman" w:hAnsi="Times New Roman" w:cs="Times New Roman"/>
        </w:rPr>
        <w:t xml:space="preserve">Table </w:t>
      </w:r>
      <w:r w:rsidR="00B35488">
        <w:rPr>
          <w:rFonts w:ascii="Times New Roman" w:hAnsi="Times New Roman" w:cs="Times New Roman"/>
        </w:rPr>
        <w:t>1</w:t>
      </w:r>
      <w:r w:rsidR="00D80370">
        <w:rPr>
          <w:rFonts w:ascii="Times New Roman" w:hAnsi="Times New Roman" w:cs="Times New Roman"/>
        </w:rPr>
        <w:t>5</w:t>
      </w:r>
      <w:r w:rsidR="00830D16">
        <w:rPr>
          <w:rFonts w:ascii="Times New Roman" w:hAnsi="Times New Roman" w:cs="Times New Roman"/>
        </w:rPr>
        <w:t>.</w:t>
      </w:r>
    </w:p>
    <w:p w14:paraId="15D1C4DB" w14:textId="3827215B" w:rsidR="00830D16" w:rsidRDefault="00830D16" w:rsidP="009937C0">
      <w:pPr>
        <w:pStyle w:val="ListParagraph"/>
        <w:keepNext/>
        <w:keepLines/>
        <w:spacing w:line="480" w:lineRule="auto"/>
        <w:ind w:left="0"/>
        <w:jc w:val="center"/>
        <w:rPr>
          <w:rFonts w:ascii="Times New Roman" w:hAnsi="Times New Roman" w:cs="Times New Roman"/>
          <w:b/>
        </w:rPr>
      </w:pPr>
      <w:r>
        <w:rPr>
          <w:rFonts w:ascii="Times New Roman" w:hAnsi="Times New Roman" w:cs="Times New Roman"/>
          <w:b/>
        </w:rPr>
        <w:t>Table</w:t>
      </w:r>
      <w:r w:rsidR="00583CB6">
        <w:rPr>
          <w:rFonts w:ascii="Times New Roman" w:hAnsi="Times New Roman" w:cs="Times New Roman"/>
          <w:b/>
        </w:rPr>
        <w:t xml:space="preserve"> </w:t>
      </w:r>
      <w:r w:rsidR="00B35488">
        <w:rPr>
          <w:rFonts w:ascii="Times New Roman" w:hAnsi="Times New Roman" w:cs="Times New Roman"/>
          <w:b/>
        </w:rPr>
        <w:t>1</w:t>
      </w:r>
      <w:r w:rsidR="00D80370">
        <w:rPr>
          <w:rFonts w:ascii="Times New Roman" w:hAnsi="Times New Roman" w:cs="Times New Roman"/>
          <w:b/>
        </w:rPr>
        <w:t>5</w:t>
      </w:r>
      <w:r>
        <w:rPr>
          <w:rFonts w:ascii="Times New Roman" w:hAnsi="Times New Roman" w:cs="Times New Roman"/>
          <w:b/>
        </w:rPr>
        <w:t>: Objection</w:t>
      </w:r>
      <w:r w:rsidR="002A5CA7">
        <w:rPr>
          <w:rFonts w:ascii="Times New Roman" w:hAnsi="Times New Roman" w:cs="Times New Roman"/>
          <w:b/>
        </w:rPr>
        <w:t>s</w:t>
      </w:r>
      <w:r>
        <w:rPr>
          <w:rFonts w:ascii="Times New Roman" w:hAnsi="Times New Roman" w:cs="Times New Roman"/>
          <w:b/>
        </w:rPr>
        <w:t xml:space="preserve"> by Unsecured Creditors</w:t>
      </w:r>
    </w:p>
    <w:tbl>
      <w:tblPr>
        <w:tblStyle w:val="TableGrid"/>
        <w:tblW w:w="0" w:type="auto"/>
        <w:tblInd w:w="468" w:type="dxa"/>
        <w:tblLook w:val="04A0" w:firstRow="1" w:lastRow="0" w:firstColumn="1" w:lastColumn="0" w:noHBand="0" w:noVBand="1"/>
      </w:tblPr>
      <w:tblGrid>
        <w:gridCol w:w="2610"/>
        <w:gridCol w:w="2610"/>
        <w:gridCol w:w="2610"/>
      </w:tblGrid>
      <w:tr w:rsidR="00830D16" w14:paraId="568C5991" w14:textId="77777777" w:rsidTr="00AF57A7">
        <w:tc>
          <w:tcPr>
            <w:tcW w:w="2610" w:type="dxa"/>
            <w:tcBorders>
              <w:bottom w:val="single" w:sz="12" w:space="0" w:color="auto"/>
              <w:right w:val="single" w:sz="12" w:space="0" w:color="auto"/>
            </w:tcBorders>
          </w:tcPr>
          <w:p w14:paraId="2B79D3EF" w14:textId="77777777" w:rsidR="00830D16" w:rsidRDefault="00830D16" w:rsidP="009937C0">
            <w:pPr>
              <w:pStyle w:val="ListParagraph"/>
              <w:keepNext/>
              <w:keepLines/>
              <w:ind w:left="0"/>
              <w:rPr>
                <w:rFonts w:ascii="Times New Roman" w:hAnsi="Times New Roman" w:cs="Times New Roman"/>
                <w:b/>
              </w:rPr>
            </w:pPr>
          </w:p>
        </w:tc>
        <w:tc>
          <w:tcPr>
            <w:tcW w:w="2610" w:type="dxa"/>
            <w:tcBorders>
              <w:left w:val="single" w:sz="12" w:space="0" w:color="auto"/>
              <w:bottom w:val="single" w:sz="12" w:space="0" w:color="auto"/>
              <w:right w:val="single" w:sz="12" w:space="0" w:color="auto"/>
            </w:tcBorders>
          </w:tcPr>
          <w:p w14:paraId="7BC45183" w14:textId="77777777" w:rsidR="00830D16" w:rsidRDefault="00830D16" w:rsidP="009937C0">
            <w:pPr>
              <w:pStyle w:val="ListParagraph"/>
              <w:keepNext/>
              <w:keepLines/>
              <w:ind w:left="0"/>
              <w:jc w:val="center"/>
              <w:rPr>
                <w:rFonts w:ascii="Times New Roman" w:hAnsi="Times New Roman" w:cs="Times New Roman"/>
                <w:b/>
              </w:rPr>
            </w:pPr>
            <w:r>
              <w:rPr>
                <w:rFonts w:ascii="Times New Roman" w:hAnsi="Times New Roman" w:cs="Times New Roman"/>
                <w:b/>
              </w:rPr>
              <w:t>2010</w:t>
            </w:r>
          </w:p>
        </w:tc>
        <w:tc>
          <w:tcPr>
            <w:tcW w:w="2610" w:type="dxa"/>
            <w:tcBorders>
              <w:left w:val="single" w:sz="12" w:space="0" w:color="auto"/>
              <w:bottom w:val="single" w:sz="12" w:space="0" w:color="auto"/>
            </w:tcBorders>
          </w:tcPr>
          <w:p w14:paraId="3577F8B0" w14:textId="77777777" w:rsidR="00830D16" w:rsidRDefault="00830D16" w:rsidP="009937C0">
            <w:pPr>
              <w:pStyle w:val="ListParagraph"/>
              <w:keepNext/>
              <w:keepLines/>
              <w:ind w:left="0"/>
              <w:jc w:val="center"/>
              <w:rPr>
                <w:rFonts w:ascii="Times New Roman" w:hAnsi="Times New Roman" w:cs="Times New Roman"/>
                <w:b/>
              </w:rPr>
            </w:pPr>
            <w:r>
              <w:rPr>
                <w:rFonts w:ascii="Times New Roman" w:hAnsi="Times New Roman" w:cs="Times New Roman"/>
                <w:b/>
              </w:rPr>
              <w:t>2013</w:t>
            </w:r>
          </w:p>
        </w:tc>
      </w:tr>
      <w:tr w:rsidR="00830D16" w14:paraId="3381A18A" w14:textId="77777777" w:rsidTr="00AF57A7">
        <w:tc>
          <w:tcPr>
            <w:tcW w:w="2610" w:type="dxa"/>
            <w:tcBorders>
              <w:top w:val="single" w:sz="12" w:space="0" w:color="auto"/>
              <w:right w:val="single" w:sz="12" w:space="0" w:color="auto"/>
            </w:tcBorders>
          </w:tcPr>
          <w:p w14:paraId="61550383" w14:textId="77777777" w:rsidR="00830D16" w:rsidRDefault="00830D16" w:rsidP="009937C0">
            <w:pPr>
              <w:pStyle w:val="ListParagraph"/>
              <w:keepNext/>
              <w:keepLines/>
              <w:ind w:left="0"/>
              <w:rPr>
                <w:rFonts w:ascii="Times New Roman" w:hAnsi="Times New Roman" w:cs="Times New Roman"/>
                <w:b/>
              </w:rPr>
            </w:pPr>
            <w:r>
              <w:rPr>
                <w:rFonts w:ascii="Times New Roman" w:hAnsi="Times New Roman" w:cs="Times New Roman"/>
                <w:b/>
              </w:rPr>
              <w:t>Objection</w:t>
            </w:r>
          </w:p>
        </w:tc>
        <w:tc>
          <w:tcPr>
            <w:tcW w:w="2610" w:type="dxa"/>
            <w:tcBorders>
              <w:top w:val="single" w:sz="12" w:space="0" w:color="auto"/>
              <w:left w:val="single" w:sz="12" w:space="0" w:color="auto"/>
              <w:right w:val="single" w:sz="12" w:space="0" w:color="auto"/>
            </w:tcBorders>
            <w:vAlign w:val="bottom"/>
          </w:tcPr>
          <w:p w14:paraId="1574B1C0" w14:textId="77777777" w:rsidR="00830D16" w:rsidRDefault="00830D16" w:rsidP="009937C0">
            <w:pPr>
              <w:pStyle w:val="ListParagraph"/>
              <w:keepNext/>
              <w:keepLines/>
              <w:ind w:left="0"/>
              <w:jc w:val="center"/>
              <w:rPr>
                <w:rFonts w:ascii="Times New Roman" w:hAnsi="Times New Roman" w:cs="Times New Roman"/>
                <w:b/>
              </w:rPr>
            </w:pPr>
            <w:r w:rsidRPr="00FB1F9F">
              <w:rPr>
                <w:rFonts w:ascii="Times New Roman" w:eastAsia="Times New Roman" w:hAnsi="Times New Roman" w:cs="Times New Roman"/>
                <w:color w:val="000000"/>
              </w:rPr>
              <w:t>3</w:t>
            </w:r>
            <w:r>
              <w:rPr>
                <w:rFonts w:ascii="Times New Roman" w:eastAsia="Times New Roman" w:hAnsi="Times New Roman" w:cs="Times New Roman"/>
                <w:color w:val="000000"/>
              </w:rPr>
              <w:t>8.5</w:t>
            </w:r>
            <w:r w:rsidRPr="00FB1F9F">
              <w:rPr>
                <w:rFonts w:ascii="Times New Roman" w:eastAsia="Times New Roman" w:hAnsi="Times New Roman" w:cs="Times New Roman"/>
                <w:color w:val="000000"/>
              </w:rPr>
              <w:t>%</w:t>
            </w:r>
          </w:p>
        </w:tc>
        <w:tc>
          <w:tcPr>
            <w:tcW w:w="2610" w:type="dxa"/>
            <w:tcBorders>
              <w:top w:val="single" w:sz="12" w:space="0" w:color="auto"/>
              <w:left w:val="single" w:sz="12" w:space="0" w:color="auto"/>
            </w:tcBorders>
            <w:vAlign w:val="bottom"/>
          </w:tcPr>
          <w:p w14:paraId="38D3E193" w14:textId="77777777" w:rsidR="00830D16" w:rsidRDefault="00830D16" w:rsidP="009937C0">
            <w:pPr>
              <w:pStyle w:val="ListParagraph"/>
              <w:keepNext/>
              <w:keepLines/>
              <w:ind w:left="0"/>
              <w:jc w:val="center"/>
              <w:rPr>
                <w:rFonts w:ascii="Times New Roman" w:hAnsi="Times New Roman" w:cs="Times New Roman"/>
                <w:b/>
              </w:rPr>
            </w:pPr>
            <w:r w:rsidRPr="00FB1F9F">
              <w:rPr>
                <w:rFonts w:ascii="Times New Roman" w:eastAsia="Times New Roman" w:hAnsi="Times New Roman" w:cs="Times New Roman"/>
                <w:color w:val="000000"/>
              </w:rPr>
              <w:t>39.5%</w:t>
            </w:r>
          </w:p>
        </w:tc>
      </w:tr>
      <w:tr w:rsidR="00830D16" w14:paraId="2E36758D" w14:textId="77777777" w:rsidTr="00AF57A7">
        <w:tc>
          <w:tcPr>
            <w:tcW w:w="2610" w:type="dxa"/>
            <w:tcBorders>
              <w:right w:val="single" w:sz="12" w:space="0" w:color="auto"/>
            </w:tcBorders>
          </w:tcPr>
          <w:p w14:paraId="0F1EFC82" w14:textId="77777777" w:rsidR="00830D16" w:rsidRDefault="00830D16" w:rsidP="009937C0">
            <w:pPr>
              <w:pStyle w:val="ListParagraph"/>
              <w:keepNext/>
              <w:keepLines/>
              <w:ind w:left="0"/>
              <w:rPr>
                <w:rFonts w:ascii="Times New Roman" w:hAnsi="Times New Roman" w:cs="Times New Roman"/>
                <w:b/>
              </w:rPr>
            </w:pPr>
            <w:r>
              <w:rPr>
                <w:rFonts w:ascii="Times New Roman" w:hAnsi="Times New Roman" w:cs="Times New Roman"/>
                <w:b/>
              </w:rPr>
              <w:t>No Objections</w:t>
            </w:r>
          </w:p>
        </w:tc>
        <w:tc>
          <w:tcPr>
            <w:tcW w:w="2610" w:type="dxa"/>
            <w:tcBorders>
              <w:left w:val="single" w:sz="12" w:space="0" w:color="auto"/>
              <w:right w:val="single" w:sz="12" w:space="0" w:color="auto"/>
            </w:tcBorders>
            <w:vAlign w:val="bottom"/>
          </w:tcPr>
          <w:p w14:paraId="32C9C4BE" w14:textId="77777777" w:rsidR="00830D16" w:rsidRDefault="00830D16" w:rsidP="009937C0">
            <w:pPr>
              <w:pStyle w:val="ListParagraph"/>
              <w:keepNext/>
              <w:keepLines/>
              <w:ind w:left="0"/>
              <w:jc w:val="center"/>
              <w:rPr>
                <w:rFonts w:ascii="Times New Roman" w:hAnsi="Times New Roman" w:cs="Times New Roman"/>
                <w:b/>
              </w:rPr>
            </w:pPr>
            <w:r w:rsidRPr="00FB1F9F">
              <w:rPr>
                <w:rFonts w:ascii="Times New Roman" w:eastAsia="Times New Roman" w:hAnsi="Times New Roman" w:cs="Times New Roman"/>
                <w:color w:val="000000"/>
              </w:rPr>
              <w:t>6</w:t>
            </w:r>
            <w:r>
              <w:rPr>
                <w:rFonts w:ascii="Times New Roman" w:eastAsia="Times New Roman" w:hAnsi="Times New Roman" w:cs="Times New Roman"/>
                <w:color w:val="000000"/>
              </w:rPr>
              <w:t>1.5</w:t>
            </w:r>
            <w:r w:rsidRPr="00FB1F9F">
              <w:rPr>
                <w:rFonts w:ascii="Times New Roman" w:eastAsia="Times New Roman" w:hAnsi="Times New Roman" w:cs="Times New Roman"/>
                <w:color w:val="000000"/>
              </w:rPr>
              <w:t>%</w:t>
            </w:r>
          </w:p>
        </w:tc>
        <w:tc>
          <w:tcPr>
            <w:tcW w:w="2610" w:type="dxa"/>
            <w:tcBorders>
              <w:left w:val="single" w:sz="12" w:space="0" w:color="auto"/>
            </w:tcBorders>
            <w:vAlign w:val="bottom"/>
          </w:tcPr>
          <w:p w14:paraId="018D8BBD" w14:textId="77777777" w:rsidR="00830D16" w:rsidRDefault="00830D16" w:rsidP="009937C0">
            <w:pPr>
              <w:pStyle w:val="ListParagraph"/>
              <w:keepNext/>
              <w:keepLines/>
              <w:ind w:left="0"/>
              <w:jc w:val="center"/>
              <w:rPr>
                <w:rFonts w:ascii="Times New Roman" w:hAnsi="Times New Roman" w:cs="Times New Roman"/>
                <w:b/>
              </w:rPr>
            </w:pPr>
            <w:r>
              <w:rPr>
                <w:rFonts w:ascii="Times New Roman" w:eastAsia="Times New Roman" w:hAnsi="Times New Roman" w:cs="Times New Roman"/>
                <w:color w:val="000000"/>
              </w:rPr>
              <w:t>60.5</w:t>
            </w:r>
            <w:r w:rsidRPr="00FB1F9F">
              <w:rPr>
                <w:rFonts w:ascii="Times New Roman" w:eastAsia="Times New Roman" w:hAnsi="Times New Roman" w:cs="Times New Roman"/>
                <w:color w:val="000000"/>
              </w:rPr>
              <w:t>%</w:t>
            </w:r>
          </w:p>
        </w:tc>
      </w:tr>
    </w:tbl>
    <w:p w14:paraId="247BA0AA" w14:textId="77777777" w:rsidR="00830D16" w:rsidRDefault="00830D16" w:rsidP="00042842">
      <w:pPr>
        <w:spacing w:line="480" w:lineRule="auto"/>
        <w:ind w:firstLine="720"/>
        <w:rPr>
          <w:rFonts w:ascii="Times New Roman" w:hAnsi="Times New Roman" w:cs="Times New Roman"/>
        </w:rPr>
      </w:pPr>
    </w:p>
    <w:p w14:paraId="233EEA67" w14:textId="6387DBE2" w:rsidR="00042842" w:rsidRDefault="00830D16" w:rsidP="00042842">
      <w:pPr>
        <w:spacing w:line="480" w:lineRule="auto"/>
        <w:ind w:firstLine="720"/>
        <w:rPr>
          <w:rFonts w:ascii="Times New Roman" w:hAnsi="Times New Roman" w:cs="Times New Roman"/>
          <w:i/>
        </w:rPr>
      </w:pPr>
      <w:r>
        <w:rPr>
          <w:rFonts w:ascii="Times New Roman" w:hAnsi="Times New Roman" w:cs="Times New Roman"/>
        </w:rPr>
        <w:t>Third, a</w:t>
      </w:r>
      <w:r w:rsidR="00042842">
        <w:rPr>
          <w:rFonts w:ascii="Times New Roman" w:hAnsi="Times New Roman" w:cs="Times New Roman"/>
        </w:rPr>
        <w:t xml:space="preserve">s the data in Table </w:t>
      </w:r>
      <w:r w:rsidR="00B35488">
        <w:rPr>
          <w:rFonts w:ascii="Times New Roman" w:hAnsi="Times New Roman" w:cs="Times New Roman"/>
        </w:rPr>
        <w:t>1</w:t>
      </w:r>
      <w:r w:rsidR="00D80370">
        <w:rPr>
          <w:rFonts w:ascii="Times New Roman" w:hAnsi="Times New Roman" w:cs="Times New Roman"/>
        </w:rPr>
        <w:t>6</w:t>
      </w:r>
      <w:r w:rsidR="00042842">
        <w:rPr>
          <w:rFonts w:ascii="Times New Roman" w:hAnsi="Times New Roman" w:cs="Times New Roman"/>
        </w:rPr>
        <w:t xml:space="preserve"> reveal, trustees and examiners are rarely appointed in individual chapter 11 cases.</w:t>
      </w:r>
      <w:r>
        <w:rPr>
          <w:rStyle w:val="FootnoteReference"/>
          <w:rFonts w:ascii="Times New Roman" w:hAnsi="Times New Roman" w:cs="Times New Roman"/>
        </w:rPr>
        <w:footnoteReference w:id="126"/>
      </w:r>
      <w:r w:rsidR="00042842">
        <w:rPr>
          <w:rFonts w:ascii="Times New Roman" w:hAnsi="Times New Roman" w:cs="Times New Roman"/>
        </w:rPr>
        <w:t xml:space="preserve"> </w:t>
      </w:r>
      <w:r w:rsidR="00E75572">
        <w:rPr>
          <w:rFonts w:ascii="Times New Roman" w:hAnsi="Times New Roman" w:cs="Times New Roman"/>
        </w:rPr>
        <w:t>T</w:t>
      </w:r>
      <w:r w:rsidR="00042842">
        <w:rPr>
          <w:rFonts w:ascii="Times New Roman" w:hAnsi="Times New Roman" w:cs="Times New Roman"/>
        </w:rPr>
        <w:t xml:space="preserve">he bankruptcy court appointed </w:t>
      </w:r>
      <w:r w:rsidR="00E75572">
        <w:rPr>
          <w:rFonts w:ascii="Times New Roman" w:hAnsi="Times New Roman" w:cs="Times New Roman"/>
        </w:rPr>
        <w:t xml:space="preserve">just four </w:t>
      </w:r>
      <w:r w:rsidR="00042842">
        <w:rPr>
          <w:rFonts w:ascii="Times New Roman" w:hAnsi="Times New Roman" w:cs="Times New Roman"/>
        </w:rPr>
        <w:t>chapter 11 trustee</w:t>
      </w:r>
      <w:r w:rsidR="00E75572">
        <w:rPr>
          <w:rFonts w:ascii="Times New Roman" w:hAnsi="Times New Roman" w:cs="Times New Roman"/>
        </w:rPr>
        <w:t>s in the 2010 cases and two in the 2013 cases</w:t>
      </w:r>
      <w:r w:rsidR="00042842">
        <w:rPr>
          <w:rFonts w:ascii="Times New Roman" w:hAnsi="Times New Roman" w:cs="Times New Roman"/>
        </w:rPr>
        <w:t xml:space="preserve">. An examiner was appointed in only one case, in 2010. In fact, as Table </w:t>
      </w:r>
      <w:r w:rsidR="00B35488">
        <w:rPr>
          <w:rFonts w:ascii="Times New Roman" w:hAnsi="Times New Roman" w:cs="Times New Roman"/>
        </w:rPr>
        <w:t>1</w:t>
      </w:r>
      <w:r w:rsidR="00D80370">
        <w:rPr>
          <w:rFonts w:ascii="Times New Roman" w:hAnsi="Times New Roman" w:cs="Times New Roman"/>
        </w:rPr>
        <w:t>6</w:t>
      </w:r>
      <w:r w:rsidR="00042842">
        <w:rPr>
          <w:rFonts w:ascii="Times New Roman" w:hAnsi="Times New Roman" w:cs="Times New Roman"/>
        </w:rPr>
        <w:t xml:space="preserve"> shows, in the overwhelming majority of individual chapter 11 cases in our </w:t>
      </w:r>
      <w:r w:rsidR="00D61735">
        <w:rPr>
          <w:rFonts w:ascii="Times New Roman" w:hAnsi="Times New Roman" w:cs="Times New Roman"/>
        </w:rPr>
        <w:t xml:space="preserve">random </w:t>
      </w:r>
      <w:r w:rsidR="00042842">
        <w:rPr>
          <w:rFonts w:ascii="Times New Roman" w:hAnsi="Times New Roman" w:cs="Times New Roman"/>
        </w:rPr>
        <w:t>sample</w:t>
      </w:r>
      <w:r w:rsidR="00D61735">
        <w:rPr>
          <w:rFonts w:ascii="Times New Roman" w:hAnsi="Times New Roman" w:cs="Times New Roman"/>
        </w:rPr>
        <w:t>s</w:t>
      </w:r>
      <w:r w:rsidR="00042842">
        <w:rPr>
          <w:rFonts w:ascii="Times New Roman" w:hAnsi="Times New Roman" w:cs="Times New Roman"/>
        </w:rPr>
        <w:t xml:space="preserve"> no party even moved for appointment of a chapter 11 trustee or examiner.</w:t>
      </w:r>
      <w:r w:rsidR="00042842" w:rsidRPr="00995C17">
        <w:rPr>
          <w:rFonts w:ascii="Times New Roman" w:hAnsi="Times New Roman" w:cs="Times New Roman"/>
          <w:i/>
        </w:rPr>
        <w:t xml:space="preserve"> </w:t>
      </w:r>
    </w:p>
    <w:p w14:paraId="3FB334DB" w14:textId="222A5921" w:rsidR="00042842" w:rsidRDefault="00042842" w:rsidP="00042842">
      <w:pPr>
        <w:keepLines/>
        <w:spacing w:line="480" w:lineRule="auto"/>
        <w:jc w:val="center"/>
        <w:rPr>
          <w:rFonts w:ascii="Times New Roman" w:hAnsi="Times New Roman" w:cs="Times New Roman"/>
          <w:b/>
        </w:rPr>
      </w:pPr>
      <w:r>
        <w:rPr>
          <w:rFonts w:ascii="Times New Roman" w:hAnsi="Times New Roman" w:cs="Times New Roman"/>
          <w:b/>
        </w:rPr>
        <w:t xml:space="preserve">Table </w:t>
      </w:r>
      <w:r w:rsidR="00B35488">
        <w:rPr>
          <w:rFonts w:ascii="Times New Roman" w:hAnsi="Times New Roman" w:cs="Times New Roman"/>
          <w:b/>
        </w:rPr>
        <w:t>1</w:t>
      </w:r>
      <w:r w:rsidR="00D80370">
        <w:rPr>
          <w:rFonts w:ascii="Times New Roman" w:hAnsi="Times New Roman" w:cs="Times New Roman"/>
          <w:b/>
        </w:rPr>
        <w:t>6</w:t>
      </w:r>
      <w:r>
        <w:rPr>
          <w:rFonts w:ascii="Times New Roman" w:hAnsi="Times New Roman" w:cs="Times New Roman"/>
          <w:b/>
        </w:rPr>
        <w:t>:  Appointment of Chapter 11 Trustee or Examiner</w:t>
      </w:r>
    </w:p>
    <w:tbl>
      <w:tblPr>
        <w:tblStyle w:val="TableGrid"/>
        <w:tblW w:w="0" w:type="auto"/>
        <w:tblLook w:val="04A0" w:firstRow="1" w:lastRow="0" w:firstColumn="1" w:lastColumn="0" w:noHBand="0" w:noVBand="1"/>
      </w:tblPr>
      <w:tblGrid>
        <w:gridCol w:w="2992"/>
        <w:gridCol w:w="1317"/>
        <w:gridCol w:w="1658"/>
        <w:gridCol w:w="1231"/>
        <w:gridCol w:w="1419"/>
      </w:tblGrid>
      <w:tr w:rsidR="00042842" w14:paraId="4060C240" w14:textId="77777777" w:rsidTr="00A6149D">
        <w:tc>
          <w:tcPr>
            <w:tcW w:w="3078" w:type="dxa"/>
            <w:vMerge w:val="restart"/>
            <w:tcBorders>
              <w:top w:val="nil"/>
              <w:left w:val="nil"/>
              <w:right w:val="single" w:sz="12" w:space="0" w:color="auto"/>
            </w:tcBorders>
          </w:tcPr>
          <w:p w14:paraId="58FF7B51" w14:textId="77777777" w:rsidR="00042842" w:rsidRDefault="00042842" w:rsidP="00AF57A7">
            <w:pPr>
              <w:keepLines/>
              <w:rPr>
                <w:rFonts w:ascii="Times New Roman" w:hAnsi="Times New Roman" w:cs="Times New Roman"/>
                <w:b/>
                <w:sz w:val="18"/>
                <w:szCs w:val="18"/>
              </w:rPr>
            </w:pPr>
          </w:p>
        </w:tc>
        <w:tc>
          <w:tcPr>
            <w:tcW w:w="3060" w:type="dxa"/>
            <w:gridSpan w:val="2"/>
            <w:tcBorders>
              <w:top w:val="single" w:sz="18" w:space="0" w:color="auto"/>
              <w:left w:val="single" w:sz="12" w:space="0" w:color="auto"/>
              <w:bottom w:val="single" w:sz="18" w:space="0" w:color="auto"/>
              <w:right w:val="single" w:sz="12" w:space="0" w:color="auto"/>
            </w:tcBorders>
          </w:tcPr>
          <w:p w14:paraId="5C2AB062" w14:textId="77777777" w:rsidR="00042842" w:rsidRDefault="00042842" w:rsidP="00AF57A7">
            <w:pPr>
              <w:keepLines/>
              <w:jc w:val="center"/>
              <w:rPr>
                <w:rFonts w:ascii="Times New Roman" w:eastAsiaTheme="majorEastAsia" w:hAnsi="Times New Roman" w:cs="Times New Roman"/>
                <w:b/>
                <w:i/>
                <w:iCs/>
                <w:color w:val="404040" w:themeColor="text1" w:themeTint="BF"/>
                <w:sz w:val="20"/>
                <w:szCs w:val="20"/>
              </w:rPr>
            </w:pPr>
            <w:r>
              <w:rPr>
                <w:rFonts w:ascii="Times New Roman" w:hAnsi="Times New Roman" w:cs="Times New Roman"/>
                <w:b/>
              </w:rPr>
              <w:t>Trustee</w:t>
            </w:r>
          </w:p>
        </w:tc>
        <w:tc>
          <w:tcPr>
            <w:tcW w:w="2718" w:type="dxa"/>
            <w:gridSpan w:val="2"/>
            <w:tcBorders>
              <w:top w:val="single" w:sz="18" w:space="0" w:color="auto"/>
              <w:left w:val="single" w:sz="12" w:space="0" w:color="auto"/>
              <w:bottom w:val="single" w:sz="18" w:space="0" w:color="auto"/>
              <w:right w:val="single" w:sz="18" w:space="0" w:color="auto"/>
            </w:tcBorders>
          </w:tcPr>
          <w:p w14:paraId="6CBD9742" w14:textId="77777777" w:rsidR="00042842" w:rsidRDefault="00042842" w:rsidP="00AF57A7">
            <w:pPr>
              <w:keepLines/>
              <w:jc w:val="center"/>
              <w:rPr>
                <w:rFonts w:ascii="Times New Roman" w:eastAsiaTheme="majorEastAsia" w:hAnsi="Times New Roman" w:cs="Times New Roman"/>
                <w:b/>
                <w:i/>
                <w:iCs/>
                <w:color w:val="404040" w:themeColor="text1" w:themeTint="BF"/>
                <w:sz w:val="20"/>
                <w:szCs w:val="20"/>
              </w:rPr>
            </w:pPr>
            <w:r>
              <w:rPr>
                <w:rFonts w:ascii="Times New Roman" w:hAnsi="Times New Roman" w:cs="Times New Roman"/>
                <w:b/>
              </w:rPr>
              <w:t>Examiner</w:t>
            </w:r>
          </w:p>
        </w:tc>
      </w:tr>
      <w:tr w:rsidR="00042842" w14:paraId="438E863B" w14:textId="77777777" w:rsidTr="00A6149D">
        <w:tc>
          <w:tcPr>
            <w:tcW w:w="3078" w:type="dxa"/>
            <w:vMerge/>
            <w:tcBorders>
              <w:left w:val="nil"/>
              <w:bottom w:val="single" w:sz="12" w:space="0" w:color="auto"/>
              <w:right w:val="single" w:sz="12" w:space="0" w:color="auto"/>
            </w:tcBorders>
          </w:tcPr>
          <w:p w14:paraId="5B08F414" w14:textId="77777777" w:rsidR="00042842" w:rsidRDefault="00042842" w:rsidP="00AF57A7">
            <w:pPr>
              <w:keepLines/>
              <w:rPr>
                <w:rFonts w:ascii="Times New Roman" w:hAnsi="Times New Roman" w:cs="Times New Roman"/>
                <w:b/>
                <w:sz w:val="18"/>
                <w:szCs w:val="18"/>
              </w:rPr>
            </w:pPr>
          </w:p>
        </w:tc>
        <w:tc>
          <w:tcPr>
            <w:tcW w:w="1350" w:type="dxa"/>
            <w:tcBorders>
              <w:top w:val="single" w:sz="18" w:space="0" w:color="auto"/>
              <w:left w:val="single" w:sz="12" w:space="0" w:color="auto"/>
              <w:bottom w:val="single" w:sz="12" w:space="0" w:color="auto"/>
            </w:tcBorders>
          </w:tcPr>
          <w:p w14:paraId="01889383" w14:textId="77777777" w:rsidR="00042842" w:rsidRDefault="00042842" w:rsidP="00AF57A7">
            <w:pPr>
              <w:keepLines/>
              <w:jc w:val="center"/>
              <w:rPr>
                <w:rFonts w:ascii="Times New Roman" w:eastAsiaTheme="majorEastAsia" w:hAnsi="Times New Roman" w:cs="Times New Roman"/>
                <w:b/>
                <w:i/>
                <w:iCs/>
                <w:color w:val="404040" w:themeColor="text1" w:themeTint="BF"/>
                <w:sz w:val="20"/>
                <w:szCs w:val="20"/>
              </w:rPr>
            </w:pPr>
            <w:r>
              <w:rPr>
                <w:rFonts w:ascii="Times New Roman" w:hAnsi="Times New Roman" w:cs="Times New Roman"/>
                <w:b/>
              </w:rPr>
              <w:t>2010</w:t>
            </w:r>
          </w:p>
        </w:tc>
        <w:tc>
          <w:tcPr>
            <w:tcW w:w="1710" w:type="dxa"/>
            <w:tcBorders>
              <w:top w:val="single" w:sz="18" w:space="0" w:color="auto"/>
              <w:bottom w:val="single" w:sz="12" w:space="0" w:color="auto"/>
              <w:right w:val="single" w:sz="12" w:space="0" w:color="auto"/>
            </w:tcBorders>
          </w:tcPr>
          <w:p w14:paraId="6F8FBFCF" w14:textId="77777777" w:rsidR="00042842" w:rsidRDefault="00042842" w:rsidP="00AF57A7">
            <w:pPr>
              <w:keepLines/>
              <w:jc w:val="center"/>
              <w:rPr>
                <w:rFonts w:ascii="Times New Roman" w:eastAsiaTheme="majorEastAsia" w:hAnsi="Times New Roman" w:cs="Times New Roman"/>
                <w:b/>
                <w:i/>
                <w:iCs/>
                <w:color w:val="404040" w:themeColor="text1" w:themeTint="BF"/>
                <w:sz w:val="20"/>
                <w:szCs w:val="20"/>
              </w:rPr>
            </w:pPr>
            <w:r>
              <w:rPr>
                <w:rFonts w:ascii="Times New Roman" w:hAnsi="Times New Roman" w:cs="Times New Roman"/>
                <w:b/>
              </w:rPr>
              <w:t>2013</w:t>
            </w:r>
          </w:p>
        </w:tc>
        <w:tc>
          <w:tcPr>
            <w:tcW w:w="1260" w:type="dxa"/>
            <w:tcBorders>
              <w:top w:val="single" w:sz="18" w:space="0" w:color="auto"/>
              <w:left w:val="single" w:sz="12" w:space="0" w:color="auto"/>
              <w:bottom w:val="single" w:sz="12" w:space="0" w:color="auto"/>
            </w:tcBorders>
          </w:tcPr>
          <w:p w14:paraId="78BE6361" w14:textId="77777777" w:rsidR="00042842" w:rsidRDefault="00042842" w:rsidP="00AF57A7">
            <w:pPr>
              <w:keepLines/>
              <w:jc w:val="center"/>
              <w:rPr>
                <w:rFonts w:ascii="Times New Roman" w:eastAsiaTheme="majorEastAsia" w:hAnsi="Times New Roman" w:cs="Times New Roman"/>
                <w:b/>
                <w:i/>
                <w:iCs/>
                <w:color w:val="404040" w:themeColor="text1" w:themeTint="BF"/>
                <w:sz w:val="20"/>
                <w:szCs w:val="20"/>
              </w:rPr>
            </w:pPr>
            <w:r>
              <w:rPr>
                <w:rFonts w:ascii="Times New Roman" w:hAnsi="Times New Roman" w:cs="Times New Roman"/>
                <w:b/>
              </w:rPr>
              <w:t>2010</w:t>
            </w:r>
          </w:p>
        </w:tc>
        <w:tc>
          <w:tcPr>
            <w:tcW w:w="1458" w:type="dxa"/>
            <w:tcBorders>
              <w:top w:val="single" w:sz="18" w:space="0" w:color="auto"/>
              <w:bottom w:val="single" w:sz="12" w:space="0" w:color="auto"/>
              <w:right w:val="single" w:sz="18" w:space="0" w:color="auto"/>
            </w:tcBorders>
          </w:tcPr>
          <w:p w14:paraId="3AF77D4B" w14:textId="77777777" w:rsidR="00042842" w:rsidRDefault="00042842" w:rsidP="00AF57A7">
            <w:pPr>
              <w:keepLines/>
              <w:jc w:val="center"/>
              <w:rPr>
                <w:rFonts w:ascii="Times New Roman" w:eastAsiaTheme="majorEastAsia" w:hAnsi="Times New Roman" w:cs="Times New Roman"/>
                <w:b/>
                <w:i/>
                <w:iCs/>
                <w:color w:val="404040" w:themeColor="text1" w:themeTint="BF"/>
                <w:sz w:val="20"/>
                <w:szCs w:val="20"/>
              </w:rPr>
            </w:pPr>
            <w:r>
              <w:rPr>
                <w:rFonts w:ascii="Times New Roman" w:hAnsi="Times New Roman" w:cs="Times New Roman"/>
                <w:b/>
              </w:rPr>
              <w:t>2013</w:t>
            </w:r>
          </w:p>
        </w:tc>
      </w:tr>
      <w:tr w:rsidR="00042842" w14:paraId="0CE2F710" w14:textId="77777777" w:rsidTr="00AF57A7">
        <w:tc>
          <w:tcPr>
            <w:tcW w:w="3078" w:type="dxa"/>
            <w:tcBorders>
              <w:top w:val="single" w:sz="12" w:space="0" w:color="auto"/>
              <w:right w:val="single" w:sz="12" w:space="0" w:color="auto"/>
            </w:tcBorders>
            <w:vAlign w:val="bottom"/>
          </w:tcPr>
          <w:p w14:paraId="4DC0530F" w14:textId="77777777" w:rsidR="00042842" w:rsidRDefault="00042842" w:rsidP="00AF57A7">
            <w:pPr>
              <w:keepLines/>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b/>
                <w:bCs/>
                <w:color w:val="000000"/>
              </w:rPr>
              <w:t>Motion Withdrawn</w:t>
            </w:r>
          </w:p>
        </w:tc>
        <w:tc>
          <w:tcPr>
            <w:tcW w:w="1350" w:type="dxa"/>
            <w:tcBorders>
              <w:top w:val="single" w:sz="12" w:space="0" w:color="auto"/>
              <w:left w:val="single" w:sz="12" w:space="0" w:color="auto"/>
            </w:tcBorders>
            <w:vAlign w:val="bottom"/>
          </w:tcPr>
          <w:p w14:paraId="663F472E" w14:textId="77777777" w:rsidR="00042842" w:rsidRDefault="00042842" w:rsidP="00AF57A7">
            <w:pPr>
              <w:keepLines/>
              <w:jc w:val="center"/>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1%</w:t>
            </w:r>
          </w:p>
        </w:tc>
        <w:tc>
          <w:tcPr>
            <w:tcW w:w="1710" w:type="dxa"/>
            <w:tcBorders>
              <w:top w:val="single" w:sz="12" w:space="0" w:color="auto"/>
              <w:right w:val="single" w:sz="12" w:space="0" w:color="auto"/>
            </w:tcBorders>
            <w:vAlign w:val="bottom"/>
          </w:tcPr>
          <w:p w14:paraId="249A9CA9" w14:textId="77777777" w:rsidR="00042842" w:rsidRDefault="00042842" w:rsidP="00AF57A7">
            <w:pPr>
              <w:keepLines/>
              <w:jc w:val="center"/>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1%</w:t>
            </w:r>
          </w:p>
        </w:tc>
        <w:tc>
          <w:tcPr>
            <w:tcW w:w="1260" w:type="dxa"/>
            <w:tcBorders>
              <w:top w:val="single" w:sz="12" w:space="0" w:color="auto"/>
              <w:left w:val="single" w:sz="12" w:space="0" w:color="auto"/>
            </w:tcBorders>
            <w:vAlign w:val="bottom"/>
          </w:tcPr>
          <w:p w14:paraId="5A78B6EA" w14:textId="77777777" w:rsidR="00042842" w:rsidRDefault="00042842" w:rsidP="00AF57A7">
            <w:pPr>
              <w:keepLines/>
              <w:jc w:val="center"/>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1%</w:t>
            </w:r>
          </w:p>
        </w:tc>
        <w:tc>
          <w:tcPr>
            <w:tcW w:w="1458" w:type="dxa"/>
            <w:tcBorders>
              <w:top w:val="single" w:sz="12" w:space="0" w:color="auto"/>
            </w:tcBorders>
            <w:vAlign w:val="bottom"/>
          </w:tcPr>
          <w:p w14:paraId="640E1FB3" w14:textId="77777777" w:rsidR="00042842" w:rsidRDefault="00042842" w:rsidP="00AF57A7">
            <w:pPr>
              <w:keepLines/>
              <w:jc w:val="center"/>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0%</w:t>
            </w:r>
          </w:p>
        </w:tc>
      </w:tr>
      <w:tr w:rsidR="00042842" w14:paraId="024B33F6" w14:textId="77777777" w:rsidTr="00AF57A7">
        <w:tc>
          <w:tcPr>
            <w:tcW w:w="3078" w:type="dxa"/>
            <w:tcBorders>
              <w:right w:val="single" w:sz="12" w:space="0" w:color="auto"/>
            </w:tcBorders>
            <w:vAlign w:val="bottom"/>
          </w:tcPr>
          <w:p w14:paraId="7A2CDCE7" w14:textId="77777777" w:rsidR="00042842" w:rsidRDefault="00042842" w:rsidP="00AF57A7">
            <w:pPr>
              <w:keepLines/>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b/>
                <w:bCs/>
                <w:color w:val="000000"/>
              </w:rPr>
              <w:t>Motion Denied</w:t>
            </w:r>
          </w:p>
        </w:tc>
        <w:tc>
          <w:tcPr>
            <w:tcW w:w="1350" w:type="dxa"/>
            <w:tcBorders>
              <w:left w:val="single" w:sz="12" w:space="0" w:color="auto"/>
            </w:tcBorders>
            <w:vAlign w:val="bottom"/>
          </w:tcPr>
          <w:p w14:paraId="26237DAF" w14:textId="77777777" w:rsidR="00042842" w:rsidRDefault="00042842" w:rsidP="00AF57A7">
            <w:pPr>
              <w:keepLines/>
              <w:jc w:val="center"/>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5%</w:t>
            </w:r>
          </w:p>
        </w:tc>
        <w:tc>
          <w:tcPr>
            <w:tcW w:w="1710" w:type="dxa"/>
            <w:tcBorders>
              <w:right w:val="single" w:sz="12" w:space="0" w:color="auto"/>
            </w:tcBorders>
            <w:vAlign w:val="bottom"/>
          </w:tcPr>
          <w:p w14:paraId="3A996E7A" w14:textId="77777777" w:rsidR="00042842" w:rsidRDefault="00042842" w:rsidP="00AF57A7">
            <w:pPr>
              <w:keepLines/>
              <w:jc w:val="center"/>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3%</w:t>
            </w:r>
          </w:p>
        </w:tc>
        <w:tc>
          <w:tcPr>
            <w:tcW w:w="1260" w:type="dxa"/>
            <w:tcBorders>
              <w:left w:val="single" w:sz="12" w:space="0" w:color="auto"/>
            </w:tcBorders>
            <w:vAlign w:val="bottom"/>
          </w:tcPr>
          <w:p w14:paraId="2B30183C" w14:textId="77777777" w:rsidR="00042842" w:rsidRDefault="00042842" w:rsidP="00AF57A7">
            <w:pPr>
              <w:keepLines/>
              <w:jc w:val="center"/>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0%</w:t>
            </w:r>
          </w:p>
        </w:tc>
        <w:tc>
          <w:tcPr>
            <w:tcW w:w="1458" w:type="dxa"/>
            <w:vAlign w:val="bottom"/>
          </w:tcPr>
          <w:p w14:paraId="6F1E8E6F" w14:textId="77777777" w:rsidR="00042842" w:rsidRDefault="00042842" w:rsidP="00AF57A7">
            <w:pPr>
              <w:keepLines/>
              <w:jc w:val="center"/>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1%</w:t>
            </w:r>
          </w:p>
        </w:tc>
      </w:tr>
      <w:tr w:rsidR="00042842" w14:paraId="269B2812" w14:textId="77777777" w:rsidTr="00AF57A7">
        <w:tc>
          <w:tcPr>
            <w:tcW w:w="3078" w:type="dxa"/>
            <w:tcBorders>
              <w:right w:val="single" w:sz="12" w:space="0" w:color="auto"/>
            </w:tcBorders>
            <w:vAlign w:val="bottom"/>
          </w:tcPr>
          <w:p w14:paraId="1A150CC2" w14:textId="77777777" w:rsidR="00042842" w:rsidRDefault="00042842" w:rsidP="00AF57A7">
            <w:pPr>
              <w:keepLines/>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b/>
                <w:bCs/>
                <w:color w:val="000000"/>
              </w:rPr>
              <w:t>Motion Granted</w:t>
            </w:r>
          </w:p>
        </w:tc>
        <w:tc>
          <w:tcPr>
            <w:tcW w:w="1350" w:type="dxa"/>
            <w:tcBorders>
              <w:left w:val="single" w:sz="12" w:space="0" w:color="auto"/>
            </w:tcBorders>
            <w:vAlign w:val="bottom"/>
          </w:tcPr>
          <w:p w14:paraId="34971E49" w14:textId="77777777" w:rsidR="00042842" w:rsidRDefault="00042842" w:rsidP="00AF57A7">
            <w:pPr>
              <w:keepLines/>
              <w:jc w:val="center"/>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4%</w:t>
            </w:r>
          </w:p>
        </w:tc>
        <w:tc>
          <w:tcPr>
            <w:tcW w:w="1710" w:type="dxa"/>
            <w:tcBorders>
              <w:right w:val="single" w:sz="12" w:space="0" w:color="auto"/>
            </w:tcBorders>
            <w:vAlign w:val="bottom"/>
          </w:tcPr>
          <w:p w14:paraId="24719CA8" w14:textId="77777777" w:rsidR="00042842" w:rsidRDefault="00042842" w:rsidP="00AF57A7">
            <w:pPr>
              <w:keepLines/>
              <w:jc w:val="center"/>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2%</w:t>
            </w:r>
          </w:p>
        </w:tc>
        <w:tc>
          <w:tcPr>
            <w:tcW w:w="1260" w:type="dxa"/>
            <w:tcBorders>
              <w:left w:val="single" w:sz="12" w:space="0" w:color="auto"/>
            </w:tcBorders>
            <w:vAlign w:val="bottom"/>
          </w:tcPr>
          <w:p w14:paraId="35938D1B" w14:textId="77777777" w:rsidR="00042842" w:rsidRDefault="00042842" w:rsidP="00AF57A7">
            <w:pPr>
              <w:keepLines/>
              <w:jc w:val="center"/>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1%</w:t>
            </w:r>
          </w:p>
        </w:tc>
        <w:tc>
          <w:tcPr>
            <w:tcW w:w="1458" w:type="dxa"/>
            <w:vAlign w:val="bottom"/>
          </w:tcPr>
          <w:p w14:paraId="789927DC" w14:textId="77777777" w:rsidR="00042842" w:rsidRDefault="00042842" w:rsidP="00AF57A7">
            <w:pPr>
              <w:keepLines/>
              <w:jc w:val="center"/>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0%</w:t>
            </w:r>
          </w:p>
        </w:tc>
      </w:tr>
      <w:tr w:rsidR="00042842" w14:paraId="2F29AD5D" w14:textId="77777777" w:rsidTr="00AF57A7">
        <w:tc>
          <w:tcPr>
            <w:tcW w:w="3078" w:type="dxa"/>
            <w:tcBorders>
              <w:right w:val="single" w:sz="12" w:space="0" w:color="auto"/>
            </w:tcBorders>
            <w:vAlign w:val="bottom"/>
          </w:tcPr>
          <w:p w14:paraId="295D0BD7" w14:textId="77777777" w:rsidR="00042842" w:rsidRDefault="00042842" w:rsidP="00AF57A7">
            <w:pPr>
              <w:keepLines/>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b/>
                <w:bCs/>
                <w:color w:val="000000"/>
              </w:rPr>
              <w:t>No</w:t>
            </w:r>
            <w:r>
              <w:rPr>
                <w:rFonts w:ascii="Times New Roman" w:eastAsia="Times New Roman" w:hAnsi="Times New Roman" w:cs="Times New Roman"/>
                <w:b/>
                <w:bCs/>
                <w:color w:val="000000"/>
              </w:rPr>
              <w:t xml:space="preserve"> Motion</w:t>
            </w:r>
          </w:p>
        </w:tc>
        <w:tc>
          <w:tcPr>
            <w:tcW w:w="1350" w:type="dxa"/>
            <w:tcBorders>
              <w:left w:val="single" w:sz="12" w:space="0" w:color="auto"/>
            </w:tcBorders>
            <w:vAlign w:val="bottom"/>
          </w:tcPr>
          <w:p w14:paraId="719BEDA7" w14:textId="5BFD119E" w:rsidR="00042842" w:rsidRDefault="00042842" w:rsidP="00E2678D">
            <w:pPr>
              <w:keepLines/>
              <w:jc w:val="center"/>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9</w:t>
            </w:r>
            <w:r w:rsidR="00BB585D">
              <w:rPr>
                <w:rFonts w:ascii="Times New Roman" w:eastAsia="Times New Roman" w:hAnsi="Times New Roman" w:cs="Times New Roman"/>
                <w:color w:val="000000"/>
              </w:rPr>
              <w:t>1</w:t>
            </w:r>
            <w:r w:rsidRPr="00FB1F9F">
              <w:rPr>
                <w:rFonts w:ascii="Times New Roman" w:eastAsia="Times New Roman" w:hAnsi="Times New Roman" w:cs="Times New Roman"/>
                <w:color w:val="000000"/>
              </w:rPr>
              <w:t>%</w:t>
            </w:r>
          </w:p>
        </w:tc>
        <w:tc>
          <w:tcPr>
            <w:tcW w:w="1710" w:type="dxa"/>
            <w:tcBorders>
              <w:right w:val="single" w:sz="12" w:space="0" w:color="auto"/>
            </w:tcBorders>
            <w:vAlign w:val="bottom"/>
          </w:tcPr>
          <w:p w14:paraId="05F90281" w14:textId="77777777" w:rsidR="00042842" w:rsidRDefault="00042842" w:rsidP="00AF57A7">
            <w:pPr>
              <w:keepLines/>
              <w:jc w:val="center"/>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95%</w:t>
            </w:r>
          </w:p>
        </w:tc>
        <w:tc>
          <w:tcPr>
            <w:tcW w:w="1260" w:type="dxa"/>
            <w:tcBorders>
              <w:left w:val="single" w:sz="12" w:space="0" w:color="auto"/>
            </w:tcBorders>
            <w:vAlign w:val="bottom"/>
          </w:tcPr>
          <w:p w14:paraId="3CE1B274" w14:textId="1699C7F2" w:rsidR="00042842" w:rsidRDefault="00BB585D" w:rsidP="00E2678D">
            <w:pPr>
              <w:keepLines/>
              <w:jc w:val="center"/>
              <w:rPr>
                <w:rFonts w:ascii="Times New Roman" w:eastAsiaTheme="majorEastAsia" w:hAnsi="Times New Roman" w:cs="Times New Roman"/>
                <w:b/>
                <w:i/>
                <w:iCs/>
                <w:color w:val="404040" w:themeColor="text1" w:themeTint="BF"/>
                <w:sz w:val="20"/>
                <w:szCs w:val="20"/>
              </w:rPr>
            </w:pPr>
            <w:r>
              <w:rPr>
                <w:rFonts w:ascii="Times New Roman" w:eastAsia="Times New Roman" w:hAnsi="Times New Roman" w:cs="Times New Roman"/>
                <w:color w:val="000000"/>
              </w:rPr>
              <w:t>98</w:t>
            </w:r>
            <w:r w:rsidR="00042842" w:rsidRPr="00FB1F9F">
              <w:rPr>
                <w:rFonts w:ascii="Times New Roman" w:eastAsia="Times New Roman" w:hAnsi="Times New Roman" w:cs="Times New Roman"/>
                <w:color w:val="000000"/>
              </w:rPr>
              <w:t>%</w:t>
            </w:r>
          </w:p>
        </w:tc>
        <w:tc>
          <w:tcPr>
            <w:tcW w:w="1458" w:type="dxa"/>
            <w:vAlign w:val="bottom"/>
          </w:tcPr>
          <w:p w14:paraId="3987F0B2" w14:textId="77777777" w:rsidR="00042842" w:rsidRDefault="00042842" w:rsidP="00AF57A7">
            <w:pPr>
              <w:keepLines/>
              <w:jc w:val="center"/>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99%</w:t>
            </w:r>
          </w:p>
        </w:tc>
      </w:tr>
    </w:tbl>
    <w:p w14:paraId="63DD9FDC" w14:textId="12B8E7FC" w:rsidR="00830D16" w:rsidRDefault="00830D16" w:rsidP="00741D07">
      <w:pPr>
        <w:spacing w:line="480" w:lineRule="auto"/>
        <w:rPr>
          <w:rFonts w:ascii="Times New Roman" w:hAnsi="Times New Roman" w:cs="Times New Roman"/>
        </w:rPr>
      </w:pPr>
    </w:p>
    <w:p w14:paraId="7E2C9649" w14:textId="035441DF" w:rsidR="004B0A0C" w:rsidRDefault="004B0A0C" w:rsidP="00EB7FD9">
      <w:pPr>
        <w:spacing w:line="480" w:lineRule="auto"/>
        <w:ind w:firstLine="720"/>
        <w:rPr>
          <w:rFonts w:ascii="Times New Roman" w:hAnsi="Times New Roman" w:cs="Times New Roman"/>
        </w:rPr>
      </w:pPr>
      <w:r w:rsidRPr="00537498">
        <w:rPr>
          <w:rFonts w:ascii="Times New Roman" w:hAnsi="Times New Roman" w:cs="Times New Roman"/>
        </w:rPr>
        <w:t xml:space="preserve">As </w:t>
      </w:r>
      <w:r w:rsidR="00E12702">
        <w:rPr>
          <w:rFonts w:ascii="Times New Roman" w:hAnsi="Times New Roman" w:cs="Times New Roman"/>
        </w:rPr>
        <w:t xml:space="preserve">discussed more fully </w:t>
      </w:r>
      <w:r w:rsidR="00BA788F">
        <w:rPr>
          <w:rFonts w:ascii="Times New Roman" w:hAnsi="Times New Roman" w:cs="Times New Roman"/>
        </w:rPr>
        <w:t>below,</w:t>
      </w:r>
      <w:r w:rsidR="00AF5C87">
        <w:rPr>
          <w:rStyle w:val="FootnoteReference"/>
          <w:rFonts w:ascii="Times New Roman" w:hAnsi="Times New Roman" w:cs="Times New Roman"/>
        </w:rPr>
        <w:footnoteReference w:id="127"/>
      </w:r>
      <w:r w:rsidR="00BA788F" w:rsidRPr="00BA788F">
        <w:rPr>
          <w:rFonts w:ascii="Times New Roman" w:hAnsi="Times New Roman" w:cs="Times New Roman"/>
          <w:i/>
        </w:rPr>
        <w:t xml:space="preserve"> </w:t>
      </w:r>
      <w:r w:rsidRPr="00537498">
        <w:rPr>
          <w:rFonts w:ascii="Times New Roman" w:hAnsi="Times New Roman" w:cs="Times New Roman"/>
        </w:rPr>
        <w:t xml:space="preserve">confirmation rates for individual </w:t>
      </w:r>
      <w:r w:rsidR="00AA091B">
        <w:rPr>
          <w:rFonts w:ascii="Times New Roman" w:hAnsi="Times New Roman" w:cs="Times New Roman"/>
        </w:rPr>
        <w:t>chapter</w:t>
      </w:r>
      <w:r w:rsidRPr="00537498">
        <w:rPr>
          <w:rFonts w:ascii="Times New Roman" w:hAnsi="Times New Roman" w:cs="Times New Roman"/>
        </w:rPr>
        <w:t xml:space="preserve"> 11 debtors</w:t>
      </w:r>
      <w:r w:rsidR="001B1383">
        <w:rPr>
          <w:rFonts w:ascii="Times New Roman" w:hAnsi="Times New Roman" w:cs="Times New Roman"/>
        </w:rPr>
        <w:t>’ plans</w:t>
      </w:r>
      <w:r w:rsidRPr="00537498">
        <w:rPr>
          <w:rFonts w:ascii="Times New Roman" w:hAnsi="Times New Roman" w:cs="Times New Roman"/>
        </w:rPr>
        <w:t xml:space="preserve"> are low</w:t>
      </w:r>
      <w:r w:rsidR="00A6149D">
        <w:rPr>
          <w:rFonts w:ascii="Times New Roman" w:hAnsi="Times New Roman" w:cs="Times New Roman"/>
        </w:rPr>
        <w:t xml:space="preserve"> relative to confirmation rates in chapter 13</w:t>
      </w:r>
      <w:r w:rsidRPr="00537498">
        <w:rPr>
          <w:rFonts w:ascii="Times New Roman" w:hAnsi="Times New Roman" w:cs="Times New Roman"/>
        </w:rPr>
        <w:t>.</w:t>
      </w:r>
      <w:r w:rsidR="00553AF6">
        <w:rPr>
          <w:rStyle w:val="FootnoteReference"/>
          <w:rFonts w:ascii="Times New Roman" w:hAnsi="Times New Roman" w:cs="Times New Roman"/>
        </w:rPr>
        <w:footnoteReference w:id="128"/>
      </w:r>
      <w:r w:rsidRPr="00537498">
        <w:rPr>
          <w:rFonts w:ascii="Times New Roman" w:hAnsi="Times New Roman" w:cs="Times New Roman"/>
        </w:rPr>
        <w:t xml:space="preserve"> </w:t>
      </w:r>
      <w:r w:rsidR="00BA788F">
        <w:rPr>
          <w:rFonts w:ascii="Times New Roman" w:hAnsi="Times New Roman" w:cs="Times New Roman"/>
        </w:rPr>
        <w:t xml:space="preserve">If </w:t>
      </w:r>
      <w:r w:rsidRPr="00537498">
        <w:rPr>
          <w:rFonts w:ascii="Times New Roman" w:hAnsi="Times New Roman" w:cs="Times New Roman"/>
        </w:rPr>
        <w:t xml:space="preserve">the low </w:t>
      </w:r>
      <w:r w:rsidR="002C47D8">
        <w:rPr>
          <w:rFonts w:ascii="Times New Roman" w:hAnsi="Times New Roman" w:cs="Times New Roman"/>
        </w:rPr>
        <w:t xml:space="preserve">confirmation </w:t>
      </w:r>
      <w:r w:rsidRPr="00537498">
        <w:rPr>
          <w:rFonts w:ascii="Times New Roman" w:hAnsi="Times New Roman" w:cs="Times New Roman"/>
        </w:rPr>
        <w:t xml:space="preserve">rates </w:t>
      </w:r>
      <w:r w:rsidR="00BA788F">
        <w:rPr>
          <w:rFonts w:ascii="Times New Roman" w:hAnsi="Times New Roman" w:cs="Times New Roman"/>
        </w:rPr>
        <w:t xml:space="preserve">are </w:t>
      </w:r>
      <w:r w:rsidRPr="00537498">
        <w:rPr>
          <w:rFonts w:ascii="Times New Roman" w:hAnsi="Times New Roman" w:cs="Times New Roman"/>
        </w:rPr>
        <w:t>attributable to a lack of effective oversight</w:t>
      </w:r>
      <w:r w:rsidR="00BA788F">
        <w:rPr>
          <w:rFonts w:ascii="Times New Roman" w:hAnsi="Times New Roman" w:cs="Times New Roman"/>
        </w:rPr>
        <w:t>, then the question is whether</w:t>
      </w:r>
      <w:r w:rsidRPr="00537498">
        <w:rPr>
          <w:rFonts w:ascii="Times New Roman" w:hAnsi="Times New Roman" w:cs="Times New Roman"/>
        </w:rPr>
        <w:t xml:space="preserve"> to raise the debt limits in </w:t>
      </w:r>
      <w:r w:rsidR="00AA091B">
        <w:rPr>
          <w:rFonts w:ascii="Times New Roman" w:hAnsi="Times New Roman" w:cs="Times New Roman"/>
        </w:rPr>
        <w:t>chapter</w:t>
      </w:r>
      <w:r w:rsidRPr="00537498">
        <w:rPr>
          <w:rFonts w:ascii="Times New Roman" w:hAnsi="Times New Roman" w:cs="Times New Roman"/>
        </w:rPr>
        <w:t xml:space="preserve"> 13</w:t>
      </w:r>
      <w:r w:rsidR="00EE0447">
        <w:rPr>
          <w:rStyle w:val="FootnoteReference"/>
          <w:rFonts w:ascii="Times New Roman" w:hAnsi="Times New Roman" w:cs="Times New Roman"/>
        </w:rPr>
        <w:footnoteReference w:id="129"/>
      </w:r>
      <w:r w:rsidRPr="00537498">
        <w:rPr>
          <w:rFonts w:ascii="Times New Roman" w:hAnsi="Times New Roman" w:cs="Times New Roman"/>
        </w:rPr>
        <w:t xml:space="preserve"> in order to send these debtors to </w:t>
      </w:r>
      <w:r w:rsidR="00AA091B">
        <w:rPr>
          <w:rFonts w:ascii="Times New Roman" w:hAnsi="Times New Roman" w:cs="Times New Roman"/>
        </w:rPr>
        <w:t>chapter</w:t>
      </w:r>
      <w:r w:rsidRPr="00537498">
        <w:rPr>
          <w:rFonts w:ascii="Times New Roman" w:hAnsi="Times New Roman" w:cs="Times New Roman"/>
        </w:rPr>
        <w:t xml:space="preserve"> 13</w:t>
      </w:r>
      <w:r w:rsidR="001B1383">
        <w:rPr>
          <w:rFonts w:ascii="Times New Roman" w:hAnsi="Times New Roman" w:cs="Times New Roman"/>
        </w:rPr>
        <w:t>,</w:t>
      </w:r>
      <w:r w:rsidRPr="00537498">
        <w:rPr>
          <w:rFonts w:ascii="Times New Roman" w:hAnsi="Times New Roman" w:cs="Times New Roman"/>
        </w:rPr>
        <w:t xml:space="preserve"> with its more structured process</w:t>
      </w:r>
      <w:r w:rsidR="00B35488">
        <w:rPr>
          <w:rFonts w:ascii="Times New Roman" w:hAnsi="Times New Roman" w:cs="Times New Roman"/>
        </w:rPr>
        <w:t xml:space="preserve"> and the oversight of a chapter 13 trustee</w:t>
      </w:r>
      <w:r w:rsidR="00BA788F">
        <w:rPr>
          <w:rFonts w:ascii="Times New Roman" w:hAnsi="Times New Roman" w:cs="Times New Roman"/>
        </w:rPr>
        <w:t>.</w:t>
      </w:r>
      <w:r w:rsidR="00B35488">
        <w:rPr>
          <w:rStyle w:val="FootnoteReference"/>
          <w:rFonts w:ascii="Times New Roman" w:hAnsi="Times New Roman" w:cs="Times New Roman"/>
        </w:rPr>
        <w:footnoteReference w:id="130"/>
      </w:r>
      <w:r w:rsidR="00E12702">
        <w:rPr>
          <w:rFonts w:ascii="Times New Roman" w:hAnsi="Times New Roman" w:cs="Times New Roman"/>
        </w:rPr>
        <w:t xml:space="preserve"> The difficulty lies in the differences between the stereotypical </w:t>
      </w:r>
      <w:r w:rsidR="00AA091B">
        <w:rPr>
          <w:rFonts w:ascii="Times New Roman" w:hAnsi="Times New Roman" w:cs="Times New Roman"/>
        </w:rPr>
        <w:t>chapter</w:t>
      </w:r>
      <w:r w:rsidR="00E12702">
        <w:rPr>
          <w:rFonts w:ascii="Times New Roman" w:hAnsi="Times New Roman" w:cs="Times New Roman"/>
        </w:rPr>
        <w:t xml:space="preserve"> 13 debtor and the typical individual debtor in our </w:t>
      </w:r>
      <w:r w:rsidR="00676294">
        <w:rPr>
          <w:rFonts w:ascii="Times New Roman" w:hAnsi="Times New Roman" w:cs="Times New Roman"/>
        </w:rPr>
        <w:t xml:space="preserve">random </w:t>
      </w:r>
      <w:r w:rsidR="00E12702">
        <w:rPr>
          <w:rFonts w:ascii="Times New Roman" w:hAnsi="Times New Roman" w:cs="Times New Roman"/>
        </w:rPr>
        <w:t xml:space="preserve">sample. </w:t>
      </w:r>
      <w:r w:rsidR="00BA788F">
        <w:rPr>
          <w:rFonts w:ascii="Times New Roman" w:hAnsi="Times New Roman" w:cs="Times New Roman"/>
        </w:rPr>
        <w:t>I</w:t>
      </w:r>
      <w:r w:rsidR="00E12702">
        <w:rPr>
          <w:rFonts w:ascii="Times New Roman" w:hAnsi="Times New Roman" w:cs="Times New Roman"/>
        </w:rPr>
        <w:t xml:space="preserve">ndividual </w:t>
      </w:r>
      <w:r w:rsidR="00AA091B">
        <w:rPr>
          <w:rFonts w:ascii="Times New Roman" w:hAnsi="Times New Roman" w:cs="Times New Roman"/>
        </w:rPr>
        <w:t>chapter</w:t>
      </w:r>
      <w:r w:rsidR="00E12702">
        <w:rPr>
          <w:rFonts w:ascii="Times New Roman" w:hAnsi="Times New Roman" w:cs="Times New Roman"/>
        </w:rPr>
        <w:t xml:space="preserve"> 11 debtors have significantly higher incomes, own more real property, and </w:t>
      </w:r>
      <w:r w:rsidR="00153027">
        <w:rPr>
          <w:rFonts w:ascii="Times New Roman" w:hAnsi="Times New Roman" w:cs="Times New Roman"/>
        </w:rPr>
        <w:t>have more complex</w:t>
      </w:r>
      <w:r w:rsidR="00E12702">
        <w:rPr>
          <w:rFonts w:ascii="Times New Roman" w:hAnsi="Times New Roman" w:cs="Times New Roman"/>
        </w:rPr>
        <w:t xml:space="preserve"> cases than typical </w:t>
      </w:r>
      <w:r w:rsidR="00AA091B">
        <w:rPr>
          <w:rFonts w:ascii="Times New Roman" w:hAnsi="Times New Roman" w:cs="Times New Roman"/>
        </w:rPr>
        <w:t>chapter</w:t>
      </w:r>
      <w:r w:rsidR="00E12702">
        <w:rPr>
          <w:rFonts w:ascii="Times New Roman" w:hAnsi="Times New Roman" w:cs="Times New Roman"/>
        </w:rPr>
        <w:t xml:space="preserve"> 13 debtor</w:t>
      </w:r>
      <w:r w:rsidR="001B1383">
        <w:rPr>
          <w:rFonts w:ascii="Times New Roman" w:hAnsi="Times New Roman" w:cs="Times New Roman"/>
        </w:rPr>
        <w:t>s</w:t>
      </w:r>
      <w:r w:rsidR="00E12702">
        <w:rPr>
          <w:rFonts w:ascii="Times New Roman" w:hAnsi="Times New Roman" w:cs="Times New Roman"/>
        </w:rPr>
        <w:t xml:space="preserve">. </w:t>
      </w:r>
      <w:r w:rsidR="002C47D8">
        <w:rPr>
          <w:rFonts w:ascii="Times New Roman" w:hAnsi="Times New Roman" w:cs="Times New Roman"/>
        </w:rPr>
        <w:t>Moreover, as the data in Table 1</w:t>
      </w:r>
      <w:r w:rsidR="00296FEB">
        <w:rPr>
          <w:rFonts w:ascii="Times New Roman" w:hAnsi="Times New Roman" w:cs="Times New Roman"/>
        </w:rPr>
        <w:t>1</w:t>
      </w:r>
      <w:r w:rsidR="002C47D8">
        <w:rPr>
          <w:rFonts w:ascii="Times New Roman" w:hAnsi="Times New Roman" w:cs="Times New Roman"/>
        </w:rPr>
        <w:t xml:space="preserve"> indicate, </w:t>
      </w:r>
      <w:r w:rsidR="002C47D8" w:rsidRPr="00537498">
        <w:rPr>
          <w:rFonts w:ascii="Times New Roman" w:hAnsi="Times New Roman" w:cs="Times New Roman"/>
        </w:rPr>
        <w:t xml:space="preserve">the sharply higher rate at which </w:t>
      </w:r>
      <w:r w:rsidR="002C47D8">
        <w:rPr>
          <w:rFonts w:ascii="Times New Roman" w:hAnsi="Times New Roman" w:cs="Times New Roman"/>
        </w:rPr>
        <w:t>chapter</w:t>
      </w:r>
      <w:r w:rsidR="002C47D8" w:rsidRPr="00537498">
        <w:rPr>
          <w:rFonts w:ascii="Times New Roman" w:hAnsi="Times New Roman" w:cs="Times New Roman"/>
        </w:rPr>
        <w:t xml:space="preserve"> 11 debtors are conducting business is some indication that a different set of procedures may be appropriate.</w:t>
      </w:r>
      <w:r w:rsidR="002C47D8">
        <w:rPr>
          <w:rFonts w:ascii="Times New Roman" w:hAnsi="Times New Roman" w:cs="Times New Roman"/>
        </w:rPr>
        <w:t xml:space="preserve"> </w:t>
      </w:r>
      <w:r w:rsidR="00E12702">
        <w:rPr>
          <w:rFonts w:ascii="Times New Roman" w:hAnsi="Times New Roman" w:cs="Times New Roman"/>
        </w:rPr>
        <w:t>Therefore, i</w:t>
      </w:r>
      <w:r w:rsidRPr="00537498">
        <w:rPr>
          <w:rFonts w:ascii="Times New Roman" w:hAnsi="Times New Roman" w:cs="Times New Roman"/>
        </w:rPr>
        <w:t xml:space="preserve">f individual filers </w:t>
      </w:r>
      <w:r w:rsidR="00153027">
        <w:rPr>
          <w:rFonts w:ascii="Times New Roman" w:hAnsi="Times New Roman" w:cs="Times New Roman"/>
        </w:rPr>
        <w:t>neither</w:t>
      </w:r>
      <w:r w:rsidRPr="00537498">
        <w:rPr>
          <w:rFonts w:ascii="Times New Roman" w:hAnsi="Times New Roman" w:cs="Times New Roman"/>
        </w:rPr>
        <w:t xml:space="preserve"> fit in </w:t>
      </w:r>
      <w:r w:rsidR="00AA091B">
        <w:rPr>
          <w:rFonts w:ascii="Times New Roman" w:hAnsi="Times New Roman" w:cs="Times New Roman"/>
        </w:rPr>
        <w:t>chapter</w:t>
      </w:r>
      <w:r w:rsidRPr="00537498">
        <w:rPr>
          <w:rFonts w:ascii="Times New Roman" w:hAnsi="Times New Roman" w:cs="Times New Roman"/>
        </w:rPr>
        <w:t xml:space="preserve"> 13 </w:t>
      </w:r>
      <w:r w:rsidR="00153027">
        <w:rPr>
          <w:rFonts w:ascii="Times New Roman" w:hAnsi="Times New Roman" w:cs="Times New Roman"/>
        </w:rPr>
        <w:t>nor</w:t>
      </w:r>
      <w:r w:rsidRPr="00537498">
        <w:rPr>
          <w:rFonts w:ascii="Times New Roman" w:hAnsi="Times New Roman" w:cs="Times New Roman"/>
        </w:rPr>
        <w:t xml:space="preserve"> perform well in </w:t>
      </w:r>
      <w:r w:rsidR="00AA091B">
        <w:rPr>
          <w:rFonts w:ascii="Times New Roman" w:hAnsi="Times New Roman" w:cs="Times New Roman"/>
        </w:rPr>
        <w:t>chapter</w:t>
      </w:r>
      <w:r w:rsidRPr="00537498">
        <w:rPr>
          <w:rFonts w:ascii="Times New Roman" w:hAnsi="Times New Roman" w:cs="Times New Roman"/>
        </w:rPr>
        <w:t xml:space="preserve"> 11, the solution may lie with a special subchapter tailored to the needs of small business and individual debtors.  </w:t>
      </w:r>
    </w:p>
    <w:p w14:paraId="4B563335" w14:textId="2A50BF13" w:rsidR="008373AC" w:rsidRPr="00EC72CC" w:rsidRDefault="008373AC" w:rsidP="008373AC">
      <w:pPr>
        <w:spacing w:line="480" w:lineRule="auto"/>
        <w:rPr>
          <w:rFonts w:ascii="Times New Roman" w:hAnsi="Times New Roman" w:cs="Times New Roman"/>
          <w:i/>
        </w:rPr>
      </w:pPr>
      <w:r w:rsidRPr="00EC72CC">
        <w:rPr>
          <w:rFonts w:ascii="Times New Roman" w:hAnsi="Times New Roman" w:cs="Times New Roman"/>
          <w:i/>
        </w:rPr>
        <w:t>3.</w:t>
      </w:r>
      <w:r w:rsidRPr="00EC72CC">
        <w:rPr>
          <w:rFonts w:ascii="Times New Roman" w:hAnsi="Times New Roman" w:cs="Times New Roman"/>
          <w:i/>
        </w:rPr>
        <w:tab/>
        <w:t xml:space="preserve">Prior and Subsequent Bankruptcy Filings </w:t>
      </w:r>
    </w:p>
    <w:p w14:paraId="4C7D1E72" w14:textId="4F2F17F9" w:rsidR="005422AB" w:rsidRDefault="00904288" w:rsidP="00EB7FD9">
      <w:pPr>
        <w:pStyle w:val="FootnoteText"/>
        <w:spacing w:line="480" w:lineRule="auto"/>
        <w:ind w:firstLine="720"/>
        <w:rPr>
          <w:rFonts w:ascii="Times New Roman" w:hAnsi="Times New Roman" w:cs="Times New Roman"/>
        </w:rPr>
      </w:pPr>
      <w:r>
        <w:rPr>
          <w:rFonts w:ascii="Times New Roman" w:hAnsi="Times New Roman" w:cs="Times New Roman"/>
        </w:rPr>
        <w:t>Prior research has found that many debtors are repeat filers, especially those who file under chapter 13.</w:t>
      </w:r>
      <w:r w:rsidRPr="00537498">
        <w:rPr>
          <w:rStyle w:val="FootnoteReference"/>
          <w:rFonts w:ascii="Times New Roman" w:hAnsi="Times New Roman" w:cs="Times New Roman"/>
        </w:rPr>
        <w:footnoteReference w:id="131"/>
      </w:r>
      <w:r w:rsidRPr="00537498">
        <w:rPr>
          <w:rFonts w:ascii="Times New Roman" w:hAnsi="Times New Roman" w:cs="Times New Roman"/>
        </w:rPr>
        <w:t xml:space="preserve"> </w:t>
      </w:r>
      <w:r w:rsidR="005422AB" w:rsidRPr="00B026E4">
        <w:rPr>
          <w:rFonts w:ascii="Times New Roman" w:hAnsi="Times New Roman" w:cs="Times New Roman"/>
        </w:rPr>
        <w:t xml:space="preserve">In 2005, Congress amended § 362(c) of the Bankruptcy Code to discourage bad faith repeat filings by individual debtors filing under </w:t>
      </w:r>
      <w:r w:rsidR="00AA091B">
        <w:rPr>
          <w:rFonts w:ascii="Times New Roman" w:hAnsi="Times New Roman" w:cs="Times New Roman"/>
        </w:rPr>
        <w:t>chapter</w:t>
      </w:r>
      <w:r w:rsidR="005422AB" w:rsidRPr="00B026E4">
        <w:rPr>
          <w:rFonts w:ascii="Times New Roman" w:hAnsi="Times New Roman" w:cs="Times New Roman"/>
        </w:rPr>
        <w:t xml:space="preserve"> 7, 11 or 13.</w:t>
      </w:r>
      <w:r w:rsidR="005422AB" w:rsidRPr="00B026E4">
        <w:rPr>
          <w:rStyle w:val="FootnoteReference"/>
          <w:rFonts w:ascii="Times New Roman" w:hAnsi="Times New Roman" w:cs="Times New Roman"/>
        </w:rPr>
        <w:footnoteReference w:id="132"/>
      </w:r>
      <w:r w:rsidR="005422AB" w:rsidRPr="00B026E4">
        <w:rPr>
          <w:rFonts w:ascii="Times New Roman" w:hAnsi="Times New Roman" w:cs="Times New Roman"/>
        </w:rPr>
        <w:t xml:space="preserve"> Congress also </w:t>
      </w:r>
      <w:r w:rsidR="00153027">
        <w:rPr>
          <w:rFonts w:ascii="Times New Roman" w:hAnsi="Times New Roman" w:cs="Times New Roman"/>
        </w:rPr>
        <w:t>added a serial filer provision—found at § 362(n)—</w:t>
      </w:r>
      <w:r w:rsidR="005422AB" w:rsidRPr="00B026E4">
        <w:rPr>
          <w:rFonts w:ascii="Times New Roman" w:hAnsi="Times New Roman" w:cs="Times New Roman"/>
        </w:rPr>
        <w:t>appli</w:t>
      </w:r>
      <w:r w:rsidR="001B1383">
        <w:rPr>
          <w:rFonts w:ascii="Times New Roman" w:hAnsi="Times New Roman" w:cs="Times New Roman"/>
        </w:rPr>
        <w:t>cable</w:t>
      </w:r>
      <w:r w:rsidR="005422AB" w:rsidRPr="00B026E4">
        <w:rPr>
          <w:rFonts w:ascii="Times New Roman" w:hAnsi="Times New Roman" w:cs="Times New Roman"/>
        </w:rPr>
        <w:t xml:space="preserve"> to small business debtors.</w:t>
      </w:r>
      <w:r w:rsidR="005422AB" w:rsidRPr="00B026E4">
        <w:rPr>
          <w:rStyle w:val="FootnoteReference"/>
          <w:rFonts w:ascii="Times New Roman" w:hAnsi="Times New Roman" w:cs="Times New Roman"/>
        </w:rPr>
        <w:footnoteReference w:id="133"/>
      </w:r>
      <w:r w:rsidR="005422AB" w:rsidRPr="00B026E4">
        <w:rPr>
          <w:rFonts w:ascii="Times New Roman" w:hAnsi="Times New Roman" w:cs="Times New Roman"/>
        </w:rPr>
        <w:t xml:space="preserve"> </w:t>
      </w:r>
      <w:r w:rsidR="00E12702">
        <w:rPr>
          <w:rFonts w:ascii="Times New Roman" w:hAnsi="Times New Roman" w:cs="Times New Roman"/>
        </w:rPr>
        <w:t>The basic argument for these provisions was that debtors were filing and dismissing bankruptcy cases solely to disrupt the foreclosure process</w:t>
      </w:r>
      <w:r w:rsidR="001B1383">
        <w:rPr>
          <w:rFonts w:ascii="Times New Roman" w:hAnsi="Times New Roman" w:cs="Times New Roman"/>
        </w:rPr>
        <w:t>, and t</w:t>
      </w:r>
      <w:r w:rsidR="00E12702">
        <w:rPr>
          <w:rFonts w:ascii="Times New Roman" w:hAnsi="Times New Roman" w:cs="Times New Roman"/>
        </w:rPr>
        <w:t xml:space="preserve">he current literature offers some evidence of serial filing, especially in </w:t>
      </w:r>
      <w:r w:rsidR="00AA091B">
        <w:rPr>
          <w:rFonts w:ascii="Times New Roman" w:hAnsi="Times New Roman" w:cs="Times New Roman"/>
        </w:rPr>
        <w:t>chapter</w:t>
      </w:r>
      <w:r w:rsidR="00E12702">
        <w:rPr>
          <w:rFonts w:ascii="Times New Roman" w:hAnsi="Times New Roman" w:cs="Times New Roman"/>
        </w:rPr>
        <w:t xml:space="preserve"> 13.</w:t>
      </w:r>
      <w:r w:rsidR="00E12702" w:rsidRPr="00537498">
        <w:rPr>
          <w:rStyle w:val="FootnoteReference"/>
          <w:rFonts w:ascii="Times New Roman" w:hAnsi="Times New Roman" w:cs="Times New Roman"/>
        </w:rPr>
        <w:footnoteReference w:id="134"/>
      </w:r>
      <w:r w:rsidR="00E12702">
        <w:rPr>
          <w:rFonts w:ascii="Times New Roman" w:hAnsi="Times New Roman" w:cs="Times New Roman"/>
        </w:rPr>
        <w:t xml:space="preserve"> </w:t>
      </w:r>
      <w:r w:rsidR="00CD5AFB">
        <w:rPr>
          <w:rFonts w:ascii="Times New Roman" w:hAnsi="Times New Roman" w:cs="Times New Roman"/>
        </w:rPr>
        <w:t>R</w:t>
      </w:r>
      <w:r w:rsidR="00E12702">
        <w:rPr>
          <w:rFonts w:ascii="Times New Roman" w:hAnsi="Times New Roman" w:cs="Times New Roman"/>
        </w:rPr>
        <w:t>epeat filing does not necessarily mean bad faith filing</w:t>
      </w:r>
      <w:r w:rsidR="00CD5AFB">
        <w:rPr>
          <w:rFonts w:ascii="Times New Roman" w:hAnsi="Times New Roman" w:cs="Times New Roman"/>
        </w:rPr>
        <w:t>, however</w:t>
      </w:r>
      <w:r w:rsidR="00E12702">
        <w:rPr>
          <w:rFonts w:ascii="Times New Roman" w:hAnsi="Times New Roman" w:cs="Times New Roman"/>
        </w:rPr>
        <w:t xml:space="preserve">. For example, the debtor may have experienced an entirely new financial shock that prevented </w:t>
      </w:r>
      <w:r w:rsidR="00CD5AFB">
        <w:rPr>
          <w:rFonts w:ascii="Times New Roman" w:hAnsi="Times New Roman" w:cs="Times New Roman"/>
        </w:rPr>
        <w:t>completion of the</w:t>
      </w:r>
      <w:r w:rsidR="00E12702">
        <w:rPr>
          <w:rFonts w:ascii="Times New Roman" w:hAnsi="Times New Roman" w:cs="Times New Roman"/>
        </w:rPr>
        <w:t xml:space="preserve"> reorganization plan.</w:t>
      </w:r>
      <w:r w:rsidR="00E12702">
        <w:rPr>
          <w:rStyle w:val="FootnoteReference"/>
          <w:rFonts w:ascii="Times New Roman" w:hAnsi="Times New Roman" w:cs="Times New Roman"/>
        </w:rPr>
        <w:footnoteReference w:id="135"/>
      </w:r>
    </w:p>
    <w:p w14:paraId="7705EAFB" w14:textId="0A27E7C4" w:rsidR="005422AB" w:rsidRPr="00B026E4" w:rsidRDefault="005422AB" w:rsidP="00EB7FD9">
      <w:pPr>
        <w:pStyle w:val="FootnoteText"/>
        <w:spacing w:line="480" w:lineRule="auto"/>
        <w:ind w:firstLine="720"/>
        <w:rPr>
          <w:rFonts w:ascii="Times New Roman" w:hAnsi="Times New Roman" w:cs="Times New Roman"/>
        </w:rPr>
      </w:pPr>
      <w:r w:rsidRPr="00B026E4">
        <w:rPr>
          <w:rFonts w:ascii="Times New Roman" w:hAnsi="Times New Roman" w:cs="Times New Roman"/>
        </w:rPr>
        <w:t xml:space="preserve">We measured serial filing </w:t>
      </w:r>
      <w:r w:rsidR="00E12702">
        <w:rPr>
          <w:rFonts w:ascii="Times New Roman" w:hAnsi="Times New Roman" w:cs="Times New Roman"/>
        </w:rPr>
        <w:t xml:space="preserve">in </w:t>
      </w:r>
      <w:r w:rsidR="00AA091B">
        <w:rPr>
          <w:rFonts w:ascii="Times New Roman" w:hAnsi="Times New Roman" w:cs="Times New Roman"/>
        </w:rPr>
        <w:t>chapter</w:t>
      </w:r>
      <w:r w:rsidR="00E12702">
        <w:rPr>
          <w:rFonts w:ascii="Times New Roman" w:hAnsi="Times New Roman" w:cs="Times New Roman"/>
        </w:rPr>
        <w:t xml:space="preserve"> 11 </w:t>
      </w:r>
      <w:r w:rsidRPr="00B026E4">
        <w:rPr>
          <w:rFonts w:ascii="Times New Roman" w:hAnsi="Times New Roman" w:cs="Times New Roman"/>
        </w:rPr>
        <w:t>by looking at both prior and subsequent bankruptcy cases</w:t>
      </w:r>
      <w:r>
        <w:rPr>
          <w:rFonts w:ascii="Times New Roman" w:hAnsi="Times New Roman" w:cs="Times New Roman"/>
        </w:rPr>
        <w:t>.</w:t>
      </w:r>
      <w:r w:rsidRPr="00B026E4">
        <w:rPr>
          <w:rFonts w:ascii="Times New Roman" w:hAnsi="Times New Roman" w:cs="Times New Roman"/>
        </w:rPr>
        <w:t xml:space="preserve"> For prior filings, we used the debtor’s disclosure on the voluntary petition</w:t>
      </w:r>
      <w:r>
        <w:rPr>
          <w:rFonts w:ascii="Times New Roman" w:hAnsi="Times New Roman" w:cs="Times New Roman"/>
        </w:rPr>
        <w:t xml:space="preserve"> for both 2010 and 2013</w:t>
      </w:r>
      <w:r w:rsidRPr="00B026E4">
        <w:rPr>
          <w:rFonts w:ascii="Times New Roman" w:hAnsi="Times New Roman" w:cs="Times New Roman"/>
        </w:rPr>
        <w:t xml:space="preserve">. </w:t>
      </w:r>
      <w:r w:rsidR="00D53D75">
        <w:rPr>
          <w:rFonts w:ascii="Times New Roman" w:hAnsi="Times New Roman" w:cs="Times New Roman"/>
        </w:rPr>
        <w:t xml:space="preserve">For the 2010 cases, </w:t>
      </w:r>
      <w:r w:rsidR="00E12702">
        <w:rPr>
          <w:rFonts w:ascii="Times New Roman" w:hAnsi="Times New Roman" w:cs="Times New Roman"/>
        </w:rPr>
        <w:t xml:space="preserve">we also </w:t>
      </w:r>
      <w:r w:rsidRPr="00B026E4">
        <w:rPr>
          <w:rFonts w:ascii="Times New Roman" w:hAnsi="Times New Roman" w:cs="Times New Roman"/>
        </w:rPr>
        <w:t xml:space="preserve">searched nationally on Bloomberg Law for </w:t>
      </w:r>
      <w:r>
        <w:rPr>
          <w:rFonts w:ascii="Times New Roman" w:hAnsi="Times New Roman" w:cs="Times New Roman"/>
        </w:rPr>
        <w:t xml:space="preserve">both </w:t>
      </w:r>
      <w:r w:rsidRPr="00B026E4">
        <w:rPr>
          <w:rFonts w:ascii="Times New Roman" w:hAnsi="Times New Roman" w:cs="Times New Roman"/>
        </w:rPr>
        <w:t xml:space="preserve">prior </w:t>
      </w:r>
      <w:r>
        <w:rPr>
          <w:rFonts w:ascii="Times New Roman" w:hAnsi="Times New Roman" w:cs="Times New Roman"/>
        </w:rPr>
        <w:t xml:space="preserve">and subsequent </w:t>
      </w:r>
      <w:r w:rsidRPr="00B026E4">
        <w:rPr>
          <w:rFonts w:ascii="Times New Roman" w:hAnsi="Times New Roman" w:cs="Times New Roman"/>
        </w:rPr>
        <w:t xml:space="preserve">bankruptcy </w:t>
      </w:r>
      <w:r>
        <w:rPr>
          <w:rFonts w:ascii="Times New Roman" w:hAnsi="Times New Roman" w:cs="Times New Roman"/>
        </w:rPr>
        <w:t>cases</w:t>
      </w:r>
      <w:r w:rsidRPr="00B026E4">
        <w:rPr>
          <w:rFonts w:ascii="Times New Roman" w:hAnsi="Times New Roman" w:cs="Times New Roman"/>
        </w:rPr>
        <w:t xml:space="preserve"> using each debtor’s name</w:t>
      </w:r>
      <w:r w:rsidR="00E12702">
        <w:rPr>
          <w:rFonts w:ascii="Times New Roman" w:hAnsi="Times New Roman" w:cs="Times New Roman"/>
        </w:rPr>
        <w:t xml:space="preserve"> and the last four digits of the debtor’s social security number</w:t>
      </w:r>
      <w:r w:rsidR="00D53D75">
        <w:rPr>
          <w:rFonts w:ascii="Times New Roman" w:hAnsi="Times New Roman" w:cs="Times New Roman"/>
        </w:rPr>
        <w:t>. O</w:t>
      </w:r>
      <w:r w:rsidRPr="00B026E4">
        <w:rPr>
          <w:rFonts w:ascii="Times New Roman" w:hAnsi="Times New Roman" w:cs="Times New Roman"/>
        </w:rPr>
        <w:t>ur searches included</w:t>
      </w:r>
      <w:r w:rsidR="001B1383">
        <w:rPr>
          <w:rFonts w:ascii="Times New Roman" w:hAnsi="Times New Roman" w:cs="Times New Roman"/>
        </w:rPr>
        <w:t xml:space="preserve"> any</w:t>
      </w:r>
      <w:r w:rsidRPr="00B026E4">
        <w:rPr>
          <w:rFonts w:ascii="Times New Roman" w:hAnsi="Times New Roman" w:cs="Times New Roman"/>
        </w:rPr>
        <w:t xml:space="preserve"> </w:t>
      </w:r>
      <w:r w:rsidRPr="00B026E4">
        <w:rPr>
          <w:rFonts w:ascii="Times New Roman" w:hAnsi="Times New Roman" w:cs="Times New Roman"/>
          <w:i/>
        </w:rPr>
        <w:t xml:space="preserve">dba </w:t>
      </w:r>
      <w:r w:rsidRPr="00B026E4">
        <w:rPr>
          <w:rFonts w:ascii="Times New Roman" w:hAnsi="Times New Roman" w:cs="Times New Roman"/>
        </w:rPr>
        <w:t>used by the debtor and identified on the voluntary petition.</w:t>
      </w:r>
      <w:r w:rsidRPr="00B026E4">
        <w:rPr>
          <w:rStyle w:val="FootnoteReference"/>
          <w:rFonts w:ascii="Times New Roman" w:hAnsi="Times New Roman" w:cs="Times New Roman"/>
        </w:rPr>
        <w:footnoteReference w:id="136"/>
      </w:r>
      <w:r>
        <w:rPr>
          <w:rFonts w:ascii="Times New Roman" w:hAnsi="Times New Roman" w:cs="Times New Roman"/>
        </w:rPr>
        <w:t xml:space="preserve"> </w:t>
      </w:r>
      <w:r w:rsidR="00D53D75">
        <w:rPr>
          <w:rFonts w:ascii="Times New Roman" w:hAnsi="Times New Roman" w:cs="Times New Roman"/>
        </w:rPr>
        <w:t>We did not conduct Bloomberg Law searches for the cases in the 2013 random sample, because t</w:t>
      </w:r>
      <w:r>
        <w:rPr>
          <w:rFonts w:ascii="Times New Roman" w:hAnsi="Times New Roman" w:cs="Times New Roman"/>
        </w:rPr>
        <w:t xml:space="preserve">oo little time has elapsed since the 2013 case filings to </w:t>
      </w:r>
      <w:r w:rsidRPr="00783E8F">
        <w:rPr>
          <w:rFonts w:ascii="Times New Roman" w:hAnsi="Times New Roman" w:cs="Times New Roman"/>
        </w:rPr>
        <w:t xml:space="preserve">provide </w:t>
      </w:r>
      <w:r>
        <w:rPr>
          <w:rFonts w:ascii="Times New Roman" w:hAnsi="Times New Roman" w:cs="Times New Roman"/>
        </w:rPr>
        <w:t>us with a</w:t>
      </w:r>
      <w:r w:rsidRPr="00783E8F">
        <w:rPr>
          <w:rFonts w:ascii="Times New Roman" w:hAnsi="Times New Roman" w:cs="Times New Roman"/>
        </w:rPr>
        <w:t xml:space="preserve"> meaningful comparison </w:t>
      </w:r>
      <w:r>
        <w:rPr>
          <w:rFonts w:ascii="Times New Roman" w:hAnsi="Times New Roman" w:cs="Times New Roman"/>
        </w:rPr>
        <w:t>to</w:t>
      </w:r>
      <w:r w:rsidRPr="00783E8F">
        <w:rPr>
          <w:rFonts w:ascii="Times New Roman" w:hAnsi="Times New Roman" w:cs="Times New Roman"/>
        </w:rPr>
        <w:t xml:space="preserve"> the 2010 data.</w:t>
      </w:r>
      <w:r>
        <w:rPr>
          <w:rFonts w:ascii="Times New Roman" w:hAnsi="Times New Roman" w:cs="Times New Roman"/>
        </w:rPr>
        <w:t xml:space="preserve"> </w:t>
      </w:r>
    </w:p>
    <w:p w14:paraId="39148AC8" w14:textId="37F2EFBE" w:rsidR="005422AB" w:rsidRDefault="003B3BCA" w:rsidP="00EB7FD9">
      <w:pPr>
        <w:pStyle w:val="FootnoteText"/>
        <w:spacing w:line="480" w:lineRule="auto"/>
        <w:ind w:firstLine="630"/>
        <w:rPr>
          <w:rFonts w:ascii="Times New Roman" w:hAnsi="Times New Roman" w:cs="Times New Roman"/>
        </w:rPr>
      </w:pPr>
      <w:r>
        <w:rPr>
          <w:rFonts w:ascii="Times New Roman" w:hAnsi="Times New Roman" w:cs="Times New Roman"/>
        </w:rPr>
        <w:t>Table 1</w:t>
      </w:r>
      <w:r w:rsidR="00296FEB">
        <w:rPr>
          <w:rFonts w:ascii="Times New Roman" w:hAnsi="Times New Roman" w:cs="Times New Roman"/>
        </w:rPr>
        <w:t>7</w:t>
      </w:r>
      <w:r>
        <w:rPr>
          <w:rFonts w:ascii="Times New Roman" w:hAnsi="Times New Roman" w:cs="Times New Roman"/>
        </w:rPr>
        <w:t xml:space="preserve"> </w:t>
      </w:r>
      <w:r w:rsidR="000761F9">
        <w:rPr>
          <w:rFonts w:ascii="Times New Roman" w:hAnsi="Times New Roman" w:cs="Times New Roman"/>
        </w:rPr>
        <w:t>provides data on prio</w:t>
      </w:r>
      <w:r w:rsidR="005422AB">
        <w:rPr>
          <w:rFonts w:ascii="Times New Roman" w:hAnsi="Times New Roman" w:cs="Times New Roman"/>
        </w:rPr>
        <w:t>r bankruptcy filings</w:t>
      </w:r>
      <w:r w:rsidR="00195976">
        <w:rPr>
          <w:rFonts w:ascii="Times New Roman" w:hAnsi="Times New Roman" w:cs="Times New Roman"/>
        </w:rPr>
        <w:t xml:space="preserve"> for 2010 and 2013</w:t>
      </w:r>
      <w:r w:rsidR="005422AB">
        <w:rPr>
          <w:rFonts w:ascii="Times New Roman" w:hAnsi="Times New Roman" w:cs="Times New Roman"/>
        </w:rPr>
        <w:t>, based on the debtor’s disclosures on the petition</w:t>
      </w:r>
      <w:r w:rsidR="00195976">
        <w:rPr>
          <w:rFonts w:ascii="Times New Roman" w:hAnsi="Times New Roman" w:cs="Times New Roman"/>
        </w:rPr>
        <w:t>. As the data show, the percentage of cases with prior bankruptcy filings increased substantially from 2010 to 2013.</w:t>
      </w:r>
      <w:r w:rsidR="005422AB" w:rsidRPr="00783E8F">
        <w:rPr>
          <w:rFonts w:ascii="Times New Roman" w:hAnsi="Times New Roman" w:cs="Times New Roman"/>
        </w:rPr>
        <w:t xml:space="preserve"> In 2010, </w:t>
      </w:r>
      <w:r w:rsidR="005422AB">
        <w:rPr>
          <w:rFonts w:ascii="Times New Roman" w:hAnsi="Times New Roman" w:cs="Times New Roman"/>
        </w:rPr>
        <w:t xml:space="preserve">approximately </w:t>
      </w:r>
      <w:r w:rsidR="005422AB" w:rsidRPr="00783E8F">
        <w:rPr>
          <w:rFonts w:ascii="Times New Roman" w:hAnsi="Times New Roman" w:cs="Times New Roman"/>
        </w:rPr>
        <w:t>1</w:t>
      </w:r>
      <w:r w:rsidR="005422AB">
        <w:rPr>
          <w:rFonts w:ascii="Times New Roman" w:hAnsi="Times New Roman" w:cs="Times New Roman"/>
        </w:rPr>
        <w:t>0</w:t>
      </w:r>
      <w:r w:rsidR="00042036">
        <w:rPr>
          <w:rFonts w:ascii="Times New Roman" w:hAnsi="Times New Roman" w:cs="Times New Roman"/>
        </w:rPr>
        <w:t>%</w:t>
      </w:r>
      <w:r w:rsidR="005422AB" w:rsidRPr="00783E8F">
        <w:rPr>
          <w:rFonts w:ascii="Times New Roman" w:hAnsi="Times New Roman" w:cs="Times New Roman"/>
        </w:rPr>
        <w:t xml:space="preserve"> of the debtors had previously filed for bankruptcy;</w:t>
      </w:r>
      <w:r w:rsidR="005422AB">
        <w:rPr>
          <w:rStyle w:val="FootnoteReference"/>
          <w:rFonts w:ascii="Times New Roman" w:hAnsi="Times New Roman" w:cs="Times New Roman"/>
        </w:rPr>
        <w:footnoteReference w:id="137"/>
      </w:r>
      <w:r w:rsidR="005422AB" w:rsidRPr="00783E8F">
        <w:rPr>
          <w:rFonts w:ascii="Times New Roman" w:hAnsi="Times New Roman" w:cs="Times New Roman"/>
        </w:rPr>
        <w:t xml:space="preserve"> that number more than doubled to 27</w:t>
      </w:r>
      <w:r w:rsidR="00042036">
        <w:rPr>
          <w:rFonts w:ascii="Times New Roman" w:hAnsi="Times New Roman" w:cs="Times New Roman"/>
        </w:rPr>
        <w:t>%</w:t>
      </w:r>
      <w:r w:rsidR="005422AB" w:rsidRPr="00783E8F">
        <w:rPr>
          <w:rFonts w:ascii="Times New Roman" w:hAnsi="Times New Roman" w:cs="Times New Roman"/>
        </w:rPr>
        <w:t xml:space="preserve"> in 2013.</w:t>
      </w:r>
      <w:r w:rsidR="005422AB">
        <w:rPr>
          <w:rFonts w:ascii="Times New Roman" w:hAnsi="Times New Roman" w:cs="Times New Roman"/>
        </w:rPr>
        <w:t xml:space="preserve"> </w:t>
      </w:r>
    </w:p>
    <w:p w14:paraId="4FFD551B" w14:textId="6F220F14" w:rsidR="003B3BCA" w:rsidRPr="00297D8F" w:rsidRDefault="003B3BCA" w:rsidP="009937C0">
      <w:pPr>
        <w:keepNext/>
        <w:keepLines/>
        <w:spacing w:line="480" w:lineRule="auto"/>
        <w:jc w:val="center"/>
        <w:rPr>
          <w:rFonts w:ascii="Times New Roman" w:hAnsi="Times New Roman" w:cs="Times New Roman"/>
          <w:b/>
        </w:rPr>
      </w:pPr>
      <w:r w:rsidRPr="00297D8F">
        <w:rPr>
          <w:rFonts w:ascii="Times New Roman" w:hAnsi="Times New Roman" w:cs="Times New Roman"/>
          <w:b/>
        </w:rPr>
        <w:t>Table 1</w:t>
      </w:r>
      <w:r w:rsidR="00296FEB">
        <w:rPr>
          <w:rFonts w:ascii="Times New Roman" w:hAnsi="Times New Roman" w:cs="Times New Roman"/>
          <w:b/>
        </w:rPr>
        <w:t>7</w:t>
      </w:r>
      <w:r w:rsidRPr="00297D8F">
        <w:rPr>
          <w:rFonts w:ascii="Times New Roman" w:hAnsi="Times New Roman" w:cs="Times New Roman"/>
          <w:b/>
        </w:rPr>
        <w:t xml:space="preserve">: Prior Bankruptcies </w:t>
      </w:r>
      <w:r w:rsidR="002A5CA7">
        <w:rPr>
          <w:rFonts w:ascii="Times New Roman" w:hAnsi="Times New Roman" w:cs="Times New Roman"/>
          <w:b/>
        </w:rPr>
        <w:t>B</w:t>
      </w:r>
      <w:r w:rsidRPr="00297D8F">
        <w:rPr>
          <w:rFonts w:ascii="Times New Roman" w:hAnsi="Times New Roman" w:cs="Times New Roman"/>
          <w:b/>
        </w:rPr>
        <w:t>ased on Debtor Disclosure</w:t>
      </w:r>
    </w:p>
    <w:tbl>
      <w:tblPr>
        <w:tblStyle w:val="TableGrid"/>
        <w:tblW w:w="8325" w:type="dxa"/>
        <w:tblLook w:val="04A0" w:firstRow="1" w:lastRow="0" w:firstColumn="1" w:lastColumn="0" w:noHBand="0" w:noVBand="1"/>
      </w:tblPr>
      <w:tblGrid>
        <w:gridCol w:w="3708"/>
        <w:gridCol w:w="2250"/>
        <w:gridCol w:w="2367"/>
      </w:tblGrid>
      <w:tr w:rsidR="003B3BCA" w:rsidRPr="00537498" w14:paraId="06E82D45" w14:textId="77777777" w:rsidTr="0030678D">
        <w:trPr>
          <w:trHeight w:val="300"/>
        </w:trPr>
        <w:tc>
          <w:tcPr>
            <w:tcW w:w="3708" w:type="dxa"/>
            <w:tcBorders>
              <w:top w:val="single" w:sz="18" w:space="0" w:color="auto"/>
              <w:left w:val="single" w:sz="12" w:space="0" w:color="auto"/>
              <w:bottom w:val="single" w:sz="12" w:space="0" w:color="auto"/>
              <w:right w:val="single" w:sz="18" w:space="0" w:color="auto"/>
            </w:tcBorders>
            <w:noWrap/>
            <w:hideMark/>
          </w:tcPr>
          <w:p w14:paraId="44B6CCB8" w14:textId="77777777" w:rsidR="003B3BCA" w:rsidRPr="00783E8F" w:rsidRDefault="003B3BCA" w:rsidP="009937C0">
            <w:pPr>
              <w:keepNext/>
              <w:keepLines/>
              <w:jc w:val="center"/>
              <w:rPr>
                <w:rFonts w:ascii="Times New Roman" w:eastAsia="Times New Roman" w:hAnsi="Times New Roman" w:cs="Times New Roman"/>
                <w:color w:val="000000"/>
              </w:rPr>
            </w:pPr>
          </w:p>
        </w:tc>
        <w:tc>
          <w:tcPr>
            <w:tcW w:w="2250" w:type="dxa"/>
            <w:tcBorders>
              <w:top w:val="single" w:sz="18" w:space="0" w:color="auto"/>
              <w:left w:val="single" w:sz="18" w:space="0" w:color="auto"/>
              <w:bottom w:val="single" w:sz="12" w:space="0" w:color="auto"/>
            </w:tcBorders>
            <w:noWrap/>
            <w:hideMark/>
          </w:tcPr>
          <w:p w14:paraId="33D87581" w14:textId="77777777" w:rsidR="003B3BCA" w:rsidRPr="00783E8F" w:rsidRDefault="003B3BCA" w:rsidP="009937C0">
            <w:pPr>
              <w:keepNext/>
              <w:keepLines/>
              <w:jc w:val="center"/>
              <w:rPr>
                <w:rFonts w:ascii="Times New Roman" w:eastAsia="Times New Roman" w:hAnsi="Times New Roman" w:cs="Times New Roman"/>
                <w:b/>
                <w:bCs/>
                <w:color w:val="000000"/>
              </w:rPr>
            </w:pPr>
            <w:r w:rsidRPr="00783E8F">
              <w:rPr>
                <w:rFonts w:ascii="Times New Roman" w:eastAsia="Times New Roman" w:hAnsi="Times New Roman" w:cs="Times New Roman"/>
                <w:b/>
                <w:bCs/>
                <w:color w:val="000000"/>
              </w:rPr>
              <w:t>2010</w:t>
            </w:r>
          </w:p>
        </w:tc>
        <w:tc>
          <w:tcPr>
            <w:tcW w:w="2367" w:type="dxa"/>
            <w:tcBorders>
              <w:top w:val="single" w:sz="18" w:space="0" w:color="auto"/>
              <w:bottom w:val="single" w:sz="12" w:space="0" w:color="auto"/>
              <w:right w:val="single" w:sz="12" w:space="0" w:color="auto"/>
            </w:tcBorders>
            <w:noWrap/>
            <w:hideMark/>
          </w:tcPr>
          <w:p w14:paraId="1220945B" w14:textId="77777777" w:rsidR="003B3BCA" w:rsidRPr="00783E8F" w:rsidRDefault="003B3BCA" w:rsidP="009937C0">
            <w:pPr>
              <w:keepNext/>
              <w:keepLines/>
              <w:jc w:val="center"/>
              <w:rPr>
                <w:rFonts w:ascii="Times New Roman" w:eastAsia="Times New Roman" w:hAnsi="Times New Roman" w:cs="Times New Roman"/>
                <w:b/>
                <w:bCs/>
                <w:color w:val="000000"/>
              </w:rPr>
            </w:pPr>
            <w:r w:rsidRPr="00783E8F">
              <w:rPr>
                <w:rFonts w:ascii="Times New Roman" w:eastAsia="Times New Roman" w:hAnsi="Times New Roman" w:cs="Times New Roman"/>
                <w:b/>
                <w:bCs/>
                <w:color w:val="000000"/>
              </w:rPr>
              <w:t>2013</w:t>
            </w:r>
          </w:p>
        </w:tc>
      </w:tr>
      <w:tr w:rsidR="003B3BCA" w:rsidRPr="00537498" w14:paraId="0D3169CC" w14:textId="77777777" w:rsidTr="009D6263">
        <w:trPr>
          <w:trHeight w:val="300"/>
        </w:trPr>
        <w:tc>
          <w:tcPr>
            <w:tcW w:w="3708" w:type="dxa"/>
            <w:tcBorders>
              <w:top w:val="single" w:sz="12" w:space="0" w:color="auto"/>
              <w:right w:val="single" w:sz="18" w:space="0" w:color="auto"/>
            </w:tcBorders>
            <w:noWrap/>
            <w:hideMark/>
          </w:tcPr>
          <w:p w14:paraId="141D6B1D" w14:textId="77777777" w:rsidR="003B3BCA" w:rsidRPr="00783E8F" w:rsidRDefault="003B3BCA" w:rsidP="009937C0">
            <w:pPr>
              <w:keepNext/>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Prior Bankruptcy</w:t>
            </w:r>
          </w:p>
        </w:tc>
        <w:tc>
          <w:tcPr>
            <w:tcW w:w="2250" w:type="dxa"/>
            <w:tcBorders>
              <w:top w:val="single" w:sz="12" w:space="0" w:color="auto"/>
              <w:left w:val="single" w:sz="18" w:space="0" w:color="auto"/>
            </w:tcBorders>
            <w:noWrap/>
            <w:hideMark/>
          </w:tcPr>
          <w:p w14:paraId="47A2F01B" w14:textId="77777777" w:rsidR="003B3BCA" w:rsidRPr="00783E8F" w:rsidRDefault="003B3BCA" w:rsidP="009937C0">
            <w:pPr>
              <w:keepNext/>
              <w:keepLines/>
              <w:jc w:val="right"/>
              <w:rPr>
                <w:rFonts w:ascii="Times New Roman" w:eastAsia="Times New Roman" w:hAnsi="Times New Roman" w:cs="Times New Roman"/>
                <w:color w:val="000000"/>
              </w:rPr>
            </w:pPr>
            <w:r w:rsidRPr="00783E8F">
              <w:rPr>
                <w:rFonts w:ascii="Times New Roman" w:eastAsia="Times New Roman" w:hAnsi="Times New Roman" w:cs="Times New Roman"/>
                <w:color w:val="000000"/>
              </w:rPr>
              <w:t>1</w:t>
            </w:r>
            <w:r>
              <w:rPr>
                <w:rFonts w:ascii="Times New Roman" w:eastAsia="Times New Roman" w:hAnsi="Times New Roman" w:cs="Times New Roman"/>
                <w:color w:val="000000"/>
              </w:rPr>
              <w:t>0.1</w:t>
            </w:r>
            <w:r w:rsidRPr="00783E8F">
              <w:rPr>
                <w:rFonts w:ascii="Times New Roman" w:eastAsia="Times New Roman" w:hAnsi="Times New Roman" w:cs="Times New Roman"/>
                <w:color w:val="000000"/>
              </w:rPr>
              <w:t>%</w:t>
            </w:r>
          </w:p>
        </w:tc>
        <w:tc>
          <w:tcPr>
            <w:tcW w:w="2367" w:type="dxa"/>
            <w:tcBorders>
              <w:top w:val="single" w:sz="12" w:space="0" w:color="auto"/>
            </w:tcBorders>
            <w:noWrap/>
            <w:hideMark/>
          </w:tcPr>
          <w:p w14:paraId="50E21AF8" w14:textId="77777777" w:rsidR="003B3BCA" w:rsidRPr="00783E8F" w:rsidRDefault="003B3BCA" w:rsidP="009937C0">
            <w:pPr>
              <w:keepNext/>
              <w:keepLines/>
              <w:jc w:val="right"/>
              <w:rPr>
                <w:rFonts w:ascii="Times New Roman" w:eastAsia="Times New Roman" w:hAnsi="Times New Roman" w:cs="Times New Roman"/>
                <w:color w:val="000000"/>
              </w:rPr>
            </w:pPr>
            <w:r w:rsidRPr="00783E8F">
              <w:rPr>
                <w:rFonts w:ascii="Times New Roman" w:eastAsia="Times New Roman" w:hAnsi="Times New Roman" w:cs="Times New Roman"/>
                <w:color w:val="000000"/>
              </w:rPr>
              <w:t>27.2%</w:t>
            </w:r>
          </w:p>
        </w:tc>
      </w:tr>
      <w:tr w:rsidR="003B3BCA" w:rsidRPr="00537498" w14:paraId="37C0760B" w14:textId="77777777" w:rsidTr="009D6263">
        <w:trPr>
          <w:trHeight w:val="300"/>
        </w:trPr>
        <w:tc>
          <w:tcPr>
            <w:tcW w:w="3708" w:type="dxa"/>
            <w:tcBorders>
              <w:right w:val="single" w:sz="18" w:space="0" w:color="auto"/>
            </w:tcBorders>
            <w:noWrap/>
            <w:hideMark/>
          </w:tcPr>
          <w:p w14:paraId="3BB47873" w14:textId="77777777" w:rsidR="003B3BCA" w:rsidRPr="00783E8F" w:rsidRDefault="003B3BCA" w:rsidP="009937C0">
            <w:pPr>
              <w:keepNext/>
              <w:keepLines/>
              <w:jc w:val="center"/>
              <w:rPr>
                <w:rFonts w:ascii="Times New Roman" w:eastAsia="Times New Roman" w:hAnsi="Times New Roman" w:cs="Times New Roman"/>
                <w:b/>
                <w:bCs/>
                <w:color w:val="000000"/>
              </w:rPr>
            </w:pPr>
            <w:r w:rsidRPr="00783E8F">
              <w:rPr>
                <w:rFonts w:ascii="Times New Roman" w:eastAsia="Times New Roman" w:hAnsi="Times New Roman" w:cs="Times New Roman"/>
                <w:b/>
                <w:bCs/>
                <w:color w:val="000000"/>
              </w:rPr>
              <w:t>No</w:t>
            </w:r>
            <w:r>
              <w:rPr>
                <w:rFonts w:ascii="Times New Roman" w:eastAsia="Times New Roman" w:hAnsi="Times New Roman" w:cs="Times New Roman"/>
                <w:b/>
                <w:bCs/>
                <w:color w:val="000000"/>
              </w:rPr>
              <w:t xml:space="preserve"> Prior Bankruptcies</w:t>
            </w:r>
          </w:p>
        </w:tc>
        <w:tc>
          <w:tcPr>
            <w:tcW w:w="2250" w:type="dxa"/>
            <w:tcBorders>
              <w:left w:val="single" w:sz="18" w:space="0" w:color="auto"/>
            </w:tcBorders>
            <w:noWrap/>
            <w:hideMark/>
          </w:tcPr>
          <w:p w14:paraId="157D963E" w14:textId="0A0229EC" w:rsidR="003B3BCA" w:rsidRPr="00783E8F" w:rsidRDefault="003B3BCA" w:rsidP="009937C0">
            <w:pPr>
              <w:keepNext/>
              <w:keepLines/>
              <w:jc w:val="right"/>
              <w:rPr>
                <w:rFonts w:ascii="Times New Roman" w:eastAsia="Times New Roman" w:hAnsi="Times New Roman" w:cs="Times New Roman"/>
                <w:color w:val="000000"/>
              </w:rPr>
            </w:pPr>
            <w:r w:rsidRPr="00783E8F">
              <w:rPr>
                <w:rFonts w:ascii="Times New Roman" w:eastAsia="Times New Roman" w:hAnsi="Times New Roman" w:cs="Times New Roman"/>
                <w:color w:val="000000"/>
              </w:rPr>
              <w:t>8</w:t>
            </w:r>
            <w:r w:rsidR="00F27BC3">
              <w:rPr>
                <w:rFonts w:ascii="Times New Roman" w:eastAsia="Times New Roman" w:hAnsi="Times New Roman" w:cs="Times New Roman"/>
                <w:color w:val="000000"/>
              </w:rPr>
              <w:t>9</w:t>
            </w:r>
            <w:r>
              <w:rPr>
                <w:rFonts w:ascii="Times New Roman" w:eastAsia="Times New Roman" w:hAnsi="Times New Roman" w:cs="Times New Roman"/>
                <w:color w:val="000000"/>
              </w:rPr>
              <w:t>.</w:t>
            </w:r>
            <w:r w:rsidR="00F27BC3">
              <w:rPr>
                <w:rFonts w:ascii="Times New Roman" w:eastAsia="Times New Roman" w:hAnsi="Times New Roman" w:cs="Times New Roman"/>
                <w:color w:val="000000"/>
              </w:rPr>
              <w:t>9</w:t>
            </w:r>
            <w:r w:rsidRPr="00783E8F">
              <w:rPr>
                <w:rFonts w:ascii="Times New Roman" w:eastAsia="Times New Roman" w:hAnsi="Times New Roman" w:cs="Times New Roman"/>
                <w:color w:val="000000"/>
              </w:rPr>
              <w:t>%</w:t>
            </w:r>
          </w:p>
        </w:tc>
        <w:tc>
          <w:tcPr>
            <w:tcW w:w="2367" w:type="dxa"/>
            <w:noWrap/>
            <w:hideMark/>
          </w:tcPr>
          <w:p w14:paraId="0DF9806C" w14:textId="27C935A5" w:rsidR="003B3BCA" w:rsidRPr="00783E8F" w:rsidRDefault="003B3BCA" w:rsidP="009937C0">
            <w:pPr>
              <w:keepNext/>
              <w:keepLines/>
              <w:jc w:val="right"/>
              <w:rPr>
                <w:rFonts w:ascii="Times New Roman" w:eastAsia="Times New Roman" w:hAnsi="Times New Roman" w:cs="Times New Roman"/>
                <w:color w:val="000000"/>
              </w:rPr>
            </w:pPr>
            <w:r w:rsidRPr="00783E8F">
              <w:rPr>
                <w:rFonts w:ascii="Times New Roman" w:eastAsia="Times New Roman" w:hAnsi="Times New Roman" w:cs="Times New Roman"/>
                <w:color w:val="000000"/>
              </w:rPr>
              <w:t>7</w:t>
            </w:r>
            <w:r w:rsidR="00F27BC3">
              <w:rPr>
                <w:rFonts w:ascii="Times New Roman" w:eastAsia="Times New Roman" w:hAnsi="Times New Roman" w:cs="Times New Roman"/>
                <w:color w:val="000000"/>
              </w:rPr>
              <w:t>8</w:t>
            </w:r>
            <w:r w:rsidRPr="00783E8F">
              <w:rPr>
                <w:rFonts w:ascii="Times New Roman" w:eastAsia="Times New Roman" w:hAnsi="Times New Roman" w:cs="Times New Roman"/>
                <w:color w:val="000000"/>
              </w:rPr>
              <w:t>.</w:t>
            </w:r>
            <w:r w:rsidR="00F27BC3">
              <w:rPr>
                <w:rFonts w:ascii="Times New Roman" w:eastAsia="Times New Roman" w:hAnsi="Times New Roman" w:cs="Times New Roman"/>
                <w:color w:val="000000"/>
              </w:rPr>
              <w:t>9</w:t>
            </w:r>
            <w:r w:rsidRPr="00783E8F">
              <w:rPr>
                <w:rFonts w:ascii="Times New Roman" w:eastAsia="Times New Roman" w:hAnsi="Times New Roman" w:cs="Times New Roman"/>
                <w:color w:val="000000"/>
              </w:rPr>
              <w:t>%</w:t>
            </w:r>
          </w:p>
        </w:tc>
      </w:tr>
    </w:tbl>
    <w:p w14:paraId="7601B731" w14:textId="77777777" w:rsidR="003B3BCA" w:rsidRPr="00B026E4" w:rsidRDefault="003B3BCA" w:rsidP="003B3BCA">
      <w:pPr>
        <w:pStyle w:val="FootnoteText"/>
        <w:spacing w:line="360" w:lineRule="auto"/>
        <w:ind w:firstLine="720"/>
        <w:jc w:val="center"/>
        <w:rPr>
          <w:rFonts w:ascii="Times New Roman" w:hAnsi="Times New Roman" w:cs="Times New Roman"/>
          <w:b/>
        </w:rPr>
      </w:pPr>
    </w:p>
    <w:p w14:paraId="07B888C7" w14:textId="08A97758" w:rsidR="005422AB" w:rsidRDefault="000B6FD2" w:rsidP="00EB7FD9">
      <w:pPr>
        <w:pStyle w:val="FootnoteText"/>
        <w:spacing w:line="480" w:lineRule="auto"/>
        <w:ind w:firstLine="634"/>
        <w:rPr>
          <w:rFonts w:ascii="Times New Roman" w:hAnsi="Times New Roman" w:cs="Times New Roman"/>
        </w:rPr>
      </w:pPr>
      <w:r>
        <w:rPr>
          <w:rFonts w:ascii="Times New Roman" w:hAnsi="Times New Roman" w:cs="Times New Roman"/>
        </w:rPr>
        <w:t>Table 1</w:t>
      </w:r>
      <w:r w:rsidR="00296FEB">
        <w:rPr>
          <w:rFonts w:ascii="Times New Roman" w:hAnsi="Times New Roman" w:cs="Times New Roman"/>
        </w:rPr>
        <w:t>8</w:t>
      </w:r>
      <w:r w:rsidR="005422AB">
        <w:rPr>
          <w:rFonts w:ascii="Times New Roman" w:hAnsi="Times New Roman" w:cs="Times New Roman"/>
        </w:rPr>
        <w:t xml:space="preserve"> shows the results of the national Bloomberg Law searches for 2010. </w:t>
      </w:r>
      <w:r w:rsidR="00E12702">
        <w:rPr>
          <w:rFonts w:ascii="Times New Roman" w:hAnsi="Times New Roman" w:cs="Times New Roman"/>
        </w:rPr>
        <w:t>The data provide a more nuanced picture of the 2010 individual debtors, because it shows all bankruptcy filings by the same debtor over the span of approximately twenty years.</w:t>
      </w:r>
    </w:p>
    <w:p w14:paraId="0E0E8645" w14:textId="4C0433B5" w:rsidR="0023479D" w:rsidRDefault="0023479D" w:rsidP="000761F9">
      <w:pPr>
        <w:pStyle w:val="FootnoteText"/>
        <w:keepNext/>
        <w:keepLines/>
        <w:spacing w:line="480" w:lineRule="auto"/>
        <w:ind w:firstLine="634"/>
        <w:jc w:val="center"/>
        <w:rPr>
          <w:rFonts w:ascii="Times New Roman" w:hAnsi="Times New Roman" w:cs="Times New Roman"/>
          <w:b/>
        </w:rPr>
      </w:pPr>
      <w:r>
        <w:rPr>
          <w:rFonts w:ascii="Times New Roman" w:hAnsi="Times New Roman" w:cs="Times New Roman"/>
          <w:b/>
        </w:rPr>
        <w:t>Table 1</w:t>
      </w:r>
      <w:r w:rsidR="00296FEB">
        <w:rPr>
          <w:rFonts w:ascii="Times New Roman" w:hAnsi="Times New Roman" w:cs="Times New Roman"/>
          <w:b/>
        </w:rPr>
        <w:t>8</w:t>
      </w:r>
      <w:r>
        <w:rPr>
          <w:rFonts w:ascii="Times New Roman" w:hAnsi="Times New Roman" w:cs="Times New Roman"/>
          <w:b/>
        </w:rPr>
        <w:t>: Prior and Later Bankruptcies</w:t>
      </w:r>
      <w:r w:rsidR="00A42155">
        <w:rPr>
          <w:rFonts w:ascii="Times New Roman" w:hAnsi="Times New Roman" w:cs="Times New Roman"/>
          <w:b/>
        </w:rPr>
        <w:t>—</w:t>
      </w:r>
      <w:r>
        <w:rPr>
          <w:rFonts w:ascii="Times New Roman" w:hAnsi="Times New Roman" w:cs="Times New Roman"/>
          <w:b/>
        </w:rPr>
        <w:t>2010</w:t>
      </w:r>
    </w:p>
    <w:tbl>
      <w:tblPr>
        <w:tblStyle w:val="TableGrid"/>
        <w:tblW w:w="0" w:type="auto"/>
        <w:tblLook w:val="04A0" w:firstRow="1" w:lastRow="0" w:firstColumn="1" w:lastColumn="0" w:noHBand="0" w:noVBand="1"/>
      </w:tblPr>
      <w:tblGrid>
        <w:gridCol w:w="5328"/>
        <w:gridCol w:w="3060"/>
      </w:tblGrid>
      <w:tr w:rsidR="00195976" w14:paraId="5AB28A20" w14:textId="77777777" w:rsidTr="00741D07">
        <w:trPr>
          <w:trHeight w:hRule="exact" w:val="302"/>
        </w:trPr>
        <w:tc>
          <w:tcPr>
            <w:tcW w:w="5328" w:type="dxa"/>
            <w:tcBorders>
              <w:top w:val="single" w:sz="12" w:space="0" w:color="auto"/>
              <w:left w:val="single" w:sz="12" w:space="0" w:color="auto"/>
              <w:bottom w:val="single" w:sz="12" w:space="0" w:color="auto"/>
              <w:right w:val="single" w:sz="12" w:space="0" w:color="auto"/>
            </w:tcBorders>
          </w:tcPr>
          <w:p w14:paraId="151C0C39" w14:textId="77777777" w:rsidR="00195976" w:rsidRDefault="00195976" w:rsidP="000761F9">
            <w:pPr>
              <w:pStyle w:val="FootnoteText"/>
              <w:keepNext/>
              <w:keepLines/>
              <w:spacing w:line="360" w:lineRule="auto"/>
              <w:jc w:val="center"/>
              <w:rPr>
                <w:rFonts w:ascii="Times New Roman" w:hAnsi="Times New Roman" w:cs="Times New Roman"/>
                <w:b/>
              </w:rPr>
            </w:pPr>
          </w:p>
        </w:tc>
        <w:tc>
          <w:tcPr>
            <w:tcW w:w="3060" w:type="dxa"/>
            <w:tcBorders>
              <w:top w:val="single" w:sz="12" w:space="0" w:color="auto"/>
              <w:bottom w:val="single" w:sz="12" w:space="0" w:color="auto"/>
              <w:right w:val="single" w:sz="12" w:space="0" w:color="auto"/>
            </w:tcBorders>
          </w:tcPr>
          <w:p w14:paraId="58088A68" w14:textId="28AD26AB" w:rsidR="00195976" w:rsidRDefault="00195976" w:rsidP="000761F9">
            <w:pPr>
              <w:pStyle w:val="FootnoteText"/>
              <w:keepNext/>
              <w:keepLines/>
              <w:spacing w:line="360" w:lineRule="auto"/>
              <w:jc w:val="center"/>
              <w:rPr>
                <w:rFonts w:ascii="Times New Roman" w:hAnsi="Times New Roman" w:cs="Times New Roman"/>
                <w:b/>
              </w:rPr>
            </w:pPr>
            <w:r>
              <w:rPr>
                <w:rFonts w:ascii="Times New Roman" w:hAnsi="Times New Roman" w:cs="Times New Roman"/>
                <w:b/>
              </w:rPr>
              <w:t>Percent</w:t>
            </w:r>
            <w:r w:rsidR="00F241A9">
              <w:rPr>
                <w:rFonts w:ascii="Times New Roman" w:hAnsi="Times New Roman" w:cs="Times New Roman"/>
                <w:b/>
              </w:rPr>
              <w:t>age</w:t>
            </w:r>
          </w:p>
        </w:tc>
      </w:tr>
      <w:tr w:rsidR="00195976" w14:paraId="5940099B" w14:textId="77777777" w:rsidTr="00741D07">
        <w:trPr>
          <w:trHeight w:hRule="exact" w:val="302"/>
        </w:trPr>
        <w:tc>
          <w:tcPr>
            <w:tcW w:w="5328" w:type="dxa"/>
            <w:tcBorders>
              <w:right w:val="single" w:sz="12" w:space="0" w:color="auto"/>
            </w:tcBorders>
          </w:tcPr>
          <w:p w14:paraId="0E69DF5F" w14:textId="2BB63365" w:rsidR="00195976" w:rsidRDefault="00195976" w:rsidP="00741D07">
            <w:pPr>
              <w:pStyle w:val="FootnoteText"/>
              <w:keepNext/>
              <w:keepLines/>
              <w:spacing w:line="360" w:lineRule="auto"/>
              <w:rPr>
                <w:rFonts w:ascii="Times New Roman" w:hAnsi="Times New Roman" w:cs="Times New Roman"/>
                <w:b/>
              </w:rPr>
            </w:pPr>
            <w:r>
              <w:rPr>
                <w:rFonts w:ascii="Times New Roman" w:hAnsi="Times New Roman" w:cs="Times New Roman"/>
                <w:b/>
              </w:rPr>
              <w:t>Prior Bankruptcy Only</w:t>
            </w:r>
          </w:p>
        </w:tc>
        <w:tc>
          <w:tcPr>
            <w:tcW w:w="3060" w:type="dxa"/>
          </w:tcPr>
          <w:p w14:paraId="4DABF76E" w14:textId="2D423EE1" w:rsidR="00195976" w:rsidRPr="009D6263" w:rsidRDefault="00195976" w:rsidP="000761F9">
            <w:pPr>
              <w:pStyle w:val="FootnoteText"/>
              <w:keepNext/>
              <w:keepLines/>
              <w:spacing w:line="360" w:lineRule="auto"/>
              <w:jc w:val="right"/>
              <w:rPr>
                <w:rFonts w:ascii="Times New Roman" w:hAnsi="Times New Roman" w:cs="Times New Roman"/>
              </w:rPr>
            </w:pPr>
            <w:r w:rsidRPr="009D6263">
              <w:rPr>
                <w:rFonts w:ascii="Times New Roman" w:hAnsi="Times New Roman" w:cs="Times New Roman"/>
              </w:rPr>
              <w:t>7.3%</w:t>
            </w:r>
          </w:p>
        </w:tc>
      </w:tr>
      <w:tr w:rsidR="00195976" w14:paraId="0033BDA4" w14:textId="77777777" w:rsidTr="00741D07">
        <w:trPr>
          <w:trHeight w:hRule="exact" w:val="302"/>
        </w:trPr>
        <w:tc>
          <w:tcPr>
            <w:tcW w:w="5328" w:type="dxa"/>
            <w:tcBorders>
              <w:right w:val="single" w:sz="12" w:space="0" w:color="auto"/>
            </w:tcBorders>
          </w:tcPr>
          <w:p w14:paraId="08BD6690" w14:textId="07DE8256" w:rsidR="00195976" w:rsidRDefault="00195976" w:rsidP="00741D07">
            <w:pPr>
              <w:pStyle w:val="FootnoteText"/>
              <w:keepNext/>
              <w:keepLines/>
              <w:spacing w:line="360" w:lineRule="auto"/>
              <w:rPr>
                <w:rFonts w:ascii="Times New Roman" w:hAnsi="Times New Roman" w:cs="Times New Roman"/>
                <w:b/>
              </w:rPr>
            </w:pPr>
            <w:r>
              <w:rPr>
                <w:rFonts w:ascii="Times New Roman" w:hAnsi="Times New Roman" w:cs="Times New Roman"/>
                <w:b/>
              </w:rPr>
              <w:t>Later Bankruptcy Only</w:t>
            </w:r>
          </w:p>
        </w:tc>
        <w:tc>
          <w:tcPr>
            <w:tcW w:w="3060" w:type="dxa"/>
          </w:tcPr>
          <w:p w14:paraId="59E6A423" w14:textId="617311E2" w:rsidR="00195976" w:rsidRPr="009D6263" w:rsidRDefault="00195976" w:rsidP="000761F9">
            <w:pPr>
              <w:pStyle w:val="FootnoteText"/>
              <w:keepNext/>
              <w:keepLines/>
              <w:spacing w:line="360" w:lineRule="auto"/>
              <w:jc w:val="right"/>
              <w:rPr>
                <w:rFonts w:ascii="Times New Roman" w:hAnsi="Times New Roman" w:cs="Times New Roman"/>
              </w:rPr>
            </w:pPr>
            <w:r w:rsidRPr="009D6263">
              <w:rPr>
                <w:rFonts w:ascii="Times New Roman" w:hAnsi="Times New Roman" w:cs="Times New Roman"/>
              </w:rPr>
              <w:t>16.5%</w:t>
            </w:r>
          </w:p>
        </w:tc>
      </w:tr>
      <w:tr w:rsidR="00195976" w14:paraId="271907EE" w14:textId="77777777" w:rsidTr="00741D07">
        <w:trPr>
          <w:trHeight w:hRule="exact" w:val="302"/>
        </w:trPr>
        <w:tc>
          <w:tcPr>
            <w:tcW w:w="5328" w:type="dxa"/>
            <w:tcBorders>
              <w:right w:val="single" w:sz="12" w:space="0" w:color="auto"/>
            </w:tcBorders>
          </w:tcPr>
          <w:p w14:paraId="5BFEF7C5" w14:textId="14D6231A" w:rsidR="00195976" w:rsidRDefault="00195976" w:rsidP="00741D07">
            <w:pPr>
              <w:pStyle w:val="FootnoteText"/>
              <w:keepNext/>
              <w:keepLines/>
              <w:spacing w:line="360" w:lineRule="auto"/>
              <w:rPr>
                <w:rFonts w:ascii="Times New Roman" w:hAnsi="Times New Roman" w:cs="Times New Roman"/>
                <w:b/>
              </w:rPr>
            </w:pPr>
            <w:r>
              <w:rPr>
                <w:rFonts w:ascii="Times New Roman" w:hAnsi="Times New Roman" w:cs="Times New Roman"/>
                <w:b/>
              </w:rPr>
              <w:t>Both Prior and Later Bankruptcies</w:t>
            </w:r>
          </w:p>
        </w:tc>
        <w:tc>
          <w:tcPr>
            <w:tcW w:w="3060" w:type="dxa"/>
          </w:tcPr>
          <w:p w14:paraId="070006FF" w14:textId="1681E445" w:rsidR="00195976" w:rsidRPr="009D6263" w:rsidRDefault="00195976" w:rsidP="000761F9">
            <w:pPr>
              <w:pStyle w:val="FootnoteText"/>
              <w:keepNext/>
              <w:keepLines/>
              <w:spacing w:line="360" w:lineRule="auto"/>
              <w:jc w:val="right"/>
              <w:rPr>
                <w:rFonts w:ascii="Times New Roman" w:hAnsi="Times New Roman" w:cs="Times New Roman"/>
              </w:rPr>
            </w:pPr>
            <w:r w:rsidRPr="009D6263">
              <w:rPr>
                <w:rFonts w:ascii="Times New Roman" w:hAnsi="Times New Roman" w:cs="Times New Roman"/>
              </w:rPr>
              <w:t>8.3%</w:t>
            </w:r>
          </w:p>
        </w:tc>
      </w:tr>
      <w:tr w:rsidR="00195976" w14:paraId="56EEF1AB" w14:textId="77777777" w:rsidTr="00741D07">
        <w:trPr>
          <w:trHeight w:hRule="exact" w:val="302"/>
        </w:trPr>
        <w:tc>
          <w:tcPr>
            <w:tcW w:w="5328" w:type="dxa"/>
            <w:tcBorders>
              <w:right w:val="single" w:sz="12" w:space="0" w:color="auto"/>
            </w:tcBorders>
          </w:tcPr>
          <w:p w14:paraId="0651FE25" w14:textId="760D46A1" w:rsidR="00195976" w:rsidRDefault="00195976" w:rsidP="00741D07">
            <w:pPr>
              <w:pStyle w:val="FootnoteText"/>
              <w:keepNext/>
              <w:keepLines/>
              <w:spacing w:line="360" w:lineRule="auto"/>
              <w:rPr>
                <w:rFonts w:ascii="Times New Roman" w:hAnsi="Times New Roman" w:cs="Times New Roman"/>
                <w:b/>
              </w:rPr>
            </w:pPr>
            <w:r>
              <w:rPr>
                <w:rFonts w:ascii="Times New Roman" w:hAnsi="Times New Roman" w:cs="Times New Roman"/>
                <w:b/>
              </w:rPr>
              <w:t>No Other Bankruptcies</w:t>
            </w:r>
          </w:p>
        </w:tc>
        <w:tc>
          <w:tcPr>
            <w:tcW w:w="3060" w:type="dxa"/>
          </w:tcPr>
          <w:p w14:paraId="2804B05F" w14:textId="765B7271" w:rsidR="00195976" w:rsidRPr="009D6263" w:rsidRDefault="00195976" w:rsidP="000761F9">
            <w:pPr>
              <w:pStyle w:val="FootnoteText"/>
              <w:keepNext/>
              <w:keepLines/>
              <w:spacing w:line="360" w:lineRule="auto"/>
              <w:jc w:val="right"/>
              <w:rPr>
                <w:rFonts w:ascii="Times New Roman" w:hAnsi="Times New Roman" w:cs="Times New Roman"/>
              </w:rPr>
            </w:pPr>
            <w:r w:rsidRPr="009D6263">
              <w:rPr>
                <w:rFonts w:ascii="Times New Roman" w:hAnsi="Times New Roman" w:cs="Times New Roman"/>
              </w:rPr>
              <w:t>67.9%</w:t>
            </w:r>
          </w:p>
        </w:tc>
      </w:tr>
    </w:tbl>
    <w:p w14:paraId="7B7B9E6F" w14:textId="77777777" w:rsidR="005422AB" w:rsidRDefault="005422AB" w:rsidP="005422AB">
      <w:pPr>
        <w:rPr>
          <w:rFonts w:ascii="Times New Roman" w:hAnsi="Times New Roman" w:cs="Times New Roman"/>
        </w:rPr>
      </w:pPr>
    </w:p>
    <w:p w14:paraId="24FA4597" w14:textId="09DA6463" w:rsidR="00E12702" w:rsidRDefault="005422AB" w:rsidP="00E12702">
      <w:pPr>
        <w:spacing w:line="480" w:lineRule="auto"/>
        <w:rPr>
          <w:rFonts w:ascii="Times New Roman" w:hAnsi="Times New Roman" w:cs="Times New Roman"/>
        </w:rPr>
      </w:pPr>
      <w:r w:rsidRPr="00E550F6">
        <w:rPr>
          <w:rFonts w:ascii="Times New Roman" w:hAnsi="Times New Roman" w:cs="Times New Roman"/>
        </w:rPr>
        <w:t xml:space="preserve">As </w:t>
      </w:r>
      <w:r w:rsidR="00E12702">
        <w:rPr>
          <w:rFonts w:ascii="Times New Roman" w:hAnsi="Times New Roman" w:cs="Times New Roman"/>
        </w:rPr>
        <w:t xml:space="preserve">Table </w:t>
      </w:r>
      <w:r w:rsidR="009D6263">
        <w:rPr>
          <w:rFonts w:ascii="Times New Roman" w:hAnsi="Times New Roman" w:cs="Times New Roman"/>
        </w:rPr>
        <w:t>1</w:t>
      </w:r>
      <w:r w:rsidR="00296FEB">
        <w:rPr>
          <w:rFonts w:ascii="Times New Roman" w:hAnsi="Times New Roman" w:cs="Times New Roman"/>
        </w:rPr>
        <w:t>8</w:t>
      </w:r>
      <w:r w:rsidR="00E12702">
        <w:rPr>
          <w:rFonts w:ascii="Times New Roman" w:hAnsi="Times New Roman" w:cs="Times New Roman"/>
        </w:rPr>
        <w:t xml:space="preserve"> show</w:t>
      </w:r>
      <w:r w:rsidR="00B1392F">
        <w:rPr>
          <w:rFonts w:ascii="Times New Roman" w:hAnsi="Times New Roman" w:cs="Times New Roman"/>
        </w:rPr>
        <w:t>s</w:t>
      </w:r>
      <w:r w:rsidRPr="00E550F6">
        <w:rPr>
          <w:rFonts w:ascii="Times New Roman" w:hAnsi="Times New Roman" w:cs="Times New Roman"/>
        </w:rPr>
        <w:t xml:space="preserve">, approximately one-third of the debtors in the 2010 sample filed </w:t>
      </w:r>
      <w:r>
        <w:rPr>
          <w:rFonts w:ascii="Times New Roman" w:hAnsi="Times New Roman" w:cs="Times New Roman"/>
        </w:rPr>
        <w:t>at least one other bankruptcy case. Later filings were more than twice as common as prior filings for the 2010 sample</w:t>
      </w:r>
      <w:r w:rsidR="00E12702">
        <w:rPr>
          <w:rFonts w:ascii="Times New Roman" w:hAnsi="Times New Roman" w:cs="Times New Roman"/>
        </w:rPr>
        <w:t xml:space="preserve">. </w:t>
      </w:r>
      <w:r w:rsidR="00153027">
        <w:rPr>
          <w:rFonts w:ascii="Times New Roman" w:hAnsi="Times New Roman" w:cs="Times New Roman"/>
        </w:rPr>
        <w:t>T</w:t>
      </w:r>
      <w:r w:rsidR="00E12702">
        <w:rPr>
          <w:rFonts w:ascii="Times New Roman" w:hAnsi="Times New Roman" w:cs="Times New Roman"/>
        </w:rPr>
        <w:t>his finding is somewhat consistent with Table 1</w:t>
      </w:r>
      <w:r w:rsidR="00296FEB">
        <w:rPr>
          <w:rFonts w:ascii="Times New Roman" w:hAnsi="Times New Roman" w:cs="Times New Roman"/>
        </w:rPr>
        <w:t>7</w:t>
      </w:r>
      <w:r w:rsidR="00E12702">
        <w:rPr>
          <w:rFonts w:ascii="Times New Roman" w:hAnsi="Times New Roman" w:cs="Times New Roman"/>
        </w:rPr>
        <w:t>’s data showing that the 2013 debtors were twice as likely to report a prior bankruptcy filing as the 2010 debtors. The data in Table 1</w:t>
      </w:r>
      <w:r w:rsidR="00296FEB">
        <w:rPr>
          <w:rFonts w:ascii="Times New Roman" w:hAnsi="Times New Roman" w:cs="Times New Roman"/>
        </w:rPr>
        <w:t>8</w:t>
      </w:r>
      <w:r w:rsidR="00B1392F">
        <w:rPr>
          <w:rFonts w:ascii="Times New Roman" w:hAnsi="Times New Roman" w:cs="Times New Roman"/>
        </w:rPr>
        <w:t xml:space="preserve"> tell</w:t>
      </w:r>
      <w:r w:rsidR="00E12702">
        <w:rPr>
          <w:rFonts w:ascii="Times New Roman" w:hAnsi="Times New Roman" w:cs="Times New Roman"/>
        </w:rPr>
        <w:t xml:space="preserve"> us that the period between 2010 and 201</w:t>
      </w:r>
      <w:r w:rsidR="00195976">
        <w:rPr>
          <w:rFonts w:ascii="Times New Roman" w:hAnsi="Times New Roman" w:cs="Times New Roman"/>
        </w:rPr>
        <w:t>5, when we conducted the Bloomberg searches,</w:t>
      </w:r>
      <w:r w:rsidR="00E12702">
        <w:rPr>
          <w:rFonts w:ascii="Times New Roman" w:hAnsi="Times New Roman" w:cs="Times New Roman"/>
        </w:rPr>
        <w:t xml:space="preserve"> saw more bankruptcy filings than the period between 2005 and 2010. </w:t>
      </w:r>
      <w:r w:rsidR="00E12702">
        <w:rPr>
          <w:rFonts w:ascii="Times New Roman" w:hAnsi="Times New Roman" w:cs="Times New Roman"/>
          <w:i/>
        </w:rPr>
        <w:t xml:space="preserve">See supra </w:t>
      </w:r>
      <w:r w:rsidR="00E12702">
        <w:rPr>
          <w:rFonts w:ascii="Times New Roman" w:hAnsi="Times New Roman" w:cs="Times New Roman"/>
        </w:rPr>
        <w:t xml:space="preserve">Figure 1. These findings may be the result of economic conditions or </w:t>
      </w:r>
      <w:r w:rsidR="00B1392F">
        <w:rPr>
          <w:rFonts w:ascii="Times New Roman" w:hAnsi="Times New Roman" w:cs="Times New Roman"/>
        </w:rPr>
        <w:t xml:space="preserve">of </w:t>
      </w:r>
      <w:r w:rsidR="00E12702">
        <w:rPr>
          <w:rFonts w:ascii="Times New Roman" w:hAnsi="Times New Roman" w:cs="Times New Roman"/>
        </w:rPr>
        <w:t>the changes brought by BAPCPA.</w:t>
      </w:r>
    </w:p>
    <w:p w14:paraId="751EAF5B" w14:textId="455E3C6A" w:rsidR="005422AB" w:rsidRDefault="00E12702" w:rsidP="005422AB">
      <w:pPr>
        <w:spacing w:line="480" w:lineRule="auto"/>
        <w:ind w:firstLine="720"/>
        <w:rPr>
          <w:rFonts w:ascii="Times New Roman" w:hAnsi="Times New Roman" w:cs="Times New Roman"/>
        </w:rPr>
      </w:pPr>
      <w:r>
        <w:rPr>
          <w:rFonts w:ascii="Times New Roman" w:hAnsi="Times New Roman" w:cs="Times New Roman"/>
        </w:rPr>
        <w:t xml:space="preserve">The number of repeat filings is clearly relevant for determining whether </w:t>
      </w:r>
      <w:r w:rsidR="00153027">
        <w:rPr>
          <w:rFonts w:ascii="Times New Roman" w:hAnsi="Times New Roman" w:cs="Times New Roman"/>
        </w:rPr>
        <w:t xml:space="preserve">a </w:t>
      </w:r>
      <w:r>
        <w:rPr>
          <w:rFonts w:ascii="Times New Roman" w:hAnsi="Times New Roman" w:cs="Times New Roman"/>
        </w:rPr>
        <w:t>debtor’s filings are in bad faith. A second or even a third bankruptcy filing may simply be attempts to successfully rehabilitate the debtor’s financial affairs.</w:t>
      </w:r>
      <w:r>
        <w:rPr>
          <w:rStyle w:val="FootnoteReference"/>
          <w:rFonts w:ascii="Times New Roman" w:hAnsi="Times New Roman" w:cs="Times New Roman"/>
        </w:rPr>
        <w:footnoteReference w:id="138"/>
      </w:r>
      <w:r w:rsidR="00153027">
        <w:rPr>
          <w:rFonts w:ascii="Times New Roman" w:hAnsi="Times New Roman" w:cs="Times New Roman"/>
        </w:rPr>
        <w:t xml:space="preserve"> </w:t>
      </w:r>
      <w:r>
        <w:rPr>
          <w:rFonts w:ascii="Times New Roman" w:hAnsi="Times New Roman" w:cs="Times New Roman"/>
        </w:rPr>
        <w:t>Reorganization takes time, and successful reorganization may require more than a single bankruptcy filing</w:t>
      </w:r>
      <w:r w:rsidR="00B1392F">
        <w:rPr>
          <w:rFonts w:ascii="Times New Roman" w:hAnsi="Times New Roman" w:cs="Times New Roman"/>
        </w:rPr>
        <w:t>, but it</w:t>
      </w:r>
      <w:r>
        <w:rPr>
          <w:rFonts w:ascii="Times New Roman" w:hAnsi="Times New Roman" w:cs="Times New Roman"/>
        </w:rPr>
        <w:t xml:space="preserve"> is harder to tell a positive story</w:t>
      </w:r>
      <w:r w:rsidR="00B1392F">
        <w:rPr>
          <w:rFonts w:ascii="Times New Roman" w:hAnsi="Times New Roman" w:cs="Times New Roman"/>
        </w:rPr>
        <w:t xml:space="preserve"> when a</w:t>
      </w:r>
      <w:r>
        <w:rPr>
          <w:rFonts w:ascii="Times New Roman" w:hAnsi="Times New Roman" w:cs="Times New Roman"/>
        </w:rPr>
        <w:t xml:space="preserve"> debtor files five times in rapid succession.</w:t>
      </w:r>
      <w:r>
        <w:rPr>
          <w:rStyle w:val="FootnoteReference"/>
          <w:rFonts w:ascii="Times New Roman" w:hAnsi="Times New Roman" w:cs="Times New Roman"/>
        </w:rPr>
        <w:footnoteReference w:id="139"/>
      </w:r>
      <w:r>
        <w:rPr>
          <w:rFonts w:ascii="Times New Roman" w:hAnsi="Times New Roman" w:cs="Times New Roman"/>
        </w:rPr>
        <w:t xml:space="preserve"> As Figure </w:t>
      </w:r>
      <w:r w:rsidR="001C6A25">
        <w:rPr>
          <w:rFonts w:ascii="Times New Roman" w:hAnsi="Times New Roman" w:cs="Times New Roman"/>
        </w:rPr>
        <w:t>2</w:t>
      </w:r>
      <w:r>
        <w:rPr>
          <w:rFonts w:ascii="Times New Roman" w:hAnsi="Times New Roman" w:cs="Times New Roman"/>
        </w:rPr>
        <w:t xml:space="preserve"> shows, </w:t>
      </w:r>
      <w:r w:rsidR="00195976">
        <w:rPr>
          <w:rFonts w:ascii="Times New Roman" w:hAnsi="Times New Roman" w:cs="Times New Roman"/>
        </w:rPr>
        <w:t>most debtors filed only one or two other bankruptcy cases. A</w:t>
      </w:r>
      <w:r>
        <w:rPr>
          <w:rFonts w:ascii="Times New Roman" w:hAnsi="Times New Roman" w:cs="Times New Roman"/>
        </w:rPr>
        <w:t xml:space="preserve"> handful of the 2010 debtors</w:t>
      </w:r>
      <w:r w:rsidR="00195976">
        <w:rPr>
          <w:rFonts w:ascii="Times New Roman" w:hAnsi="Times New Roman" w:cs="Times New Roman"/>
        </w:rPr>
        <w:t>, however, fall into the rapid-succession, repeat-filer category.</w:t>
      </w:r>
      <w:r>
        <w:rPr>
          <w:rFonts w:ascii="Times New Roman" w:hAnsi="Times New Roman" w:cs="Times New Roman"/>
        </w:rPr>
        <w:t xml:space="preserve"> </w:t>
      </w:r>
    </w:p>
    <w:p w14:paraId="353A2926" w14:textId="77777777" w:rsidR="005422AB" w:rsidRPr="00E550F6" w:rsidRDefault="005422AB" w:rsidP="005422AB">
      <w:pPr>
        <w:spacing w:line="480" w:lineRule="auto"/>
        <w:rPr>
          <w:rFonts w:ascii="Times New Roman" w:hAnsi="Times New Roman" w:cs="Times New Roman"/>
        </w:rPr>
      </w:pPr>
      <w:r w:rsidRPr="001B6A92">
        <w:rPr>
          <w:noProof/>
        </w:rPr>
        <w:drawing>
          <wp:inline distT="0" distB="0" distL="0" distR="0" wp14:anchorId="43B34D3E" wp14:editId="6C18FA46">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407970" w14:textId="77777777" w:rsidR="00B1392F" w:rsidRDefault="00B1392F" w:rsidP="005422AB">
      <w:pPr>
        <w:spacing w:line="480" w:lineRule="auto"/>
        <w:ind w:firstLine="720"/>
        <w:rPr>
          <w:rFonts w:ascii="Times New Roman" w:hAnsi="Times New Roman" w:cs="Times New Roman"/>
        </w:rPr>
      </w:pPr>
    </w:p>
    <w:p w14:paraId="6F7803ED" w14:textId="40A52061" w:rsidR="00B1392F" w:rsidRDefault="005422AB" w:rsidP="005422AB">
      <w:pPr>
        <w:spacing w:line="480" w:lineRule="auto"/>
        <w:ind w:firstLine="720"/>
        <w:rPr>
          <w:rFonts w:ascii="Times New Roman" w:hAnsi="Times New Roman" w:cs="Times New Roman"/>
        </w:rPr>
      </w:pPr>
      <w:r w:rsidRPr="00A43CA4">
        <w:rPr>
          <w:rFonts w:ascii="Times New Roman" w:hAnsi="Times New Roman" w:cs="Times New Roman"/>
        </w:rPr>
        <w:t xml:space="preserve">BAPCPA’s amendments to § 362 complicate matters for debtors whose first bankruptcy case fails. Section 362(c)(3) limits operation of the automatic stay to </w:t>
      </w:r>
      <w:r w:rsidR="00B1392F">
        <w:rPr>
          <w:rFonts w:ascii="Times New Roman" w:hAnsi="Times New Roman" w:cs="Times New Roman"/>
        </w:rPr>
        <w:t>thirty</w:t>
      </w:r>
      <w:r w:rsidR="00153027">
        <w:rPr>
          <w:rFonts w:ascii="Times New Roman" w:hAnsi="Times New Roman" w:cs="Times New Roman"/>
        </w:rPr>
        <w:t xml:space="preserve"> </w:t>
      </w:r>
      <w:r w:rsidRPr="00A43CA4">
        <w:rPr>
          <w:rFonts w:ascii="Times New Roman" w:hAnsi="Times New Roman" w:cs="Times New Roman"/>
        </w:rPr>
        <w:t xml:space="preserve">days from filing in any individual </w:t>
      </w:r>
      <w:r w:rsidR="003607E0">
        <w:rPr>
          <w:rFonts w:ascii="Times New Roman" w:hAnsi="Times New Roman" w:cs="Times New Roman"/>
        </w:rPr>
        <w:t xml:space="preserve">chapter 7, 11 or 13 </w:t>
      </w:r>
      <w:r w:rsidRPr="00A43CA4">
        <w:rPr>
          <w:rFonts w:ascii="Times New Roman" w:hAnsi="Times New Roman" w:cs="Times New Roman"/>
        </w:rPr>
        <w:t xml:space="preserve">case in which the debtor had a case “pending within the preceding </w:t>
      </w:r>
      <w:r w:rsidR="004E4A32">
        <w:rPr>
          <w:rFonts w:ascii="Times New Roman" w:hAnsi="Times New Roman" w:cs="Times New Roman"/>
        </w:rPr>
        <w:t>one</w:t>
      </w:r>
      <w:r w:rsidRPr="00A43CA4">
        <w:rPr>
          <w:rFonts w:ascii="Times New Roman" w:hAnsi="Times New Roman" w:cs="Times New Roman"/>
        </w:rPr>
        <w:t>-year period [that was] dismissed.”</w:t>
      </w:r>
      <w:r w:rsidRPr="00A43CA4">
        <w:rPr>
          <w:rStyle w:val="FootnoteReference"/>
          <w:rFonts w:ascii="Times New Roman" w:hAnsi="Times New Roman" w:cs="Times New Roman"/>
        </w:rPr>
        <w:footnoteReference w:id="140"/>
      </w:r>
      <w:r w:rsidRPr="00A43CA4">
        <w:rPr>
          <w:rFonts w:ascii="Times New Roman" w:hAnsi="Times New Roman" w:cs="Times New Roman"/>
        </w:rPr>
        <w:t xml:space="preserve"> </w:t>
      </w:r>
    </w:p>
    <w:p w14:paraId="7AD775EC" w14:textId="01402666" w:rsidR="00670072" w:rsidRDefault="0043405A" w:rsidP="005422AB">
      <w:pPr>
        <w:spacing w:line="480" w:lineRule="auto"/>
        <w:ind w:firstLine="720"/>
        <w:rPr>
          <w:rFonts w:ascii="Times New Roman" w:hAnsi="Times New Roman" w:cs="Times New Roman"/>
          <w:sz w:val="20"/>
          <w:szCs w:val="20"/>
        </w:rPr>
      </w:pPr>
      <w:r>
        <w:rPr>
          <w:rFonts w:ascii="Times New Roman" w:hAnsi="Times New Roman" w:cs="Times New Roman"/>
        </w:rPr>
        <w:t xml:space="preserve">Section 362(c)(3) only applies if certain conditions are met. First, </w:t>
      </w:r>
      <w:r w:rsidR="005422AB">
        <w:rPr>
          <w:rFonts w:ascii="Times New Roman" w:hAnsi="Times New Roman" w:cs="Times New Roman"/>
        </w:rPr>
        <w:t xml:space="preserve">§ 362(c)(3) applies </w:t>
      </w:r>
      <w:r w:rsidR="005422AB">
        <w:rPr>
          <w:rFonts w:ascii="Times New Roman" w:hAnsi="Times New Roman" w:cs="Times New Roman"/>
          <w:i/>
        </w:rPr>
        <w:t xml:space="preserve">only </w:t>
      </w:r>
      <w:r w:rsidR="005422AB">
        <w:rPr>
          <w:rFonts w:ascii="Times New Roman" w:hAnsi="Times New Roman" w:cs="Times New Roman"/>
        </w:rPr>
        <w:t xml:space="preserve">if the earlier bankruptcy case was dismissed, </w:t>
      </w:r>
      <w:r w:rsidR="00715D5C">
        <w:rPr>
          <w:rFonts w:ascii="Times New Roman" w:hAnsi="Times New Roman" w:cs="Times New Roman"/>
        </w:rPr>
        <w:t xml:space="preserve">unless the dismissal resulted from application </w:t>
      </w:r>
      <w:r w:rsidR="00BF7A03">
        <w:rPr>
          <w:rFonts w:ascii="Times New Roman" w:hAnsi="Times New Roman" w:cs="Times New Roman"/>
        </w:rPr>
        <w:t>of the</w:t>
      </w:r>
      <w:r w:rsidR="005422AB">
        <w:rPr>
          <w:rFonts w:ascii="Times New Roman" w:hAnsi="Times New Roman" w:cs="Times New Roman"/>
        </w:rPr>
        <w:t xml:space="preserve"> means test</w:t>
      </w:r>
      <w:r w:rsidR="00715D5C">
        <w:rPr>
          <w:rFonts w:ascii="Times New Roman" w:hAnsi="Times New Roman" w:cs="Times New Roman"/>
        </w:rPr>
        <w:t xml:space="preserve"> in </w:t>
      </w:r>
      <w:r w:rsidR="00AA091B">
        <w:rPr>
          <w:rFonts w:ascii="Times New Roman" w:hAnsi="Times New Roman" w:cs="Times New Roman"/>
        </w:rPr>
        <w:t>chapter</w:t>
      </w:r>
      <w:r w:rsidR="00715D5C">
        <w:rPr>
          <w:rFonts w:ascii="Times New Roman" w:hAnsi="Times New Roman" w:cs="Times New Roman"/>
        </w:rPr>
        <w:t xml:space="preserve"> 7</w:t>
      </w:r>
      <w:r w:rsidR="005422AB">
        <w:rPr>
          <w:rFonts w:ascii="Times New Roman" w:hAnsi="Times New Roman" w:cs="Times New Roman"/>
        </w:rPr>
        <w:t xml:space="preserve">. </w:t>
      </w:r>
      <w:r w:rsidR="00F15930">
        <w:rPr>
          <w:rFonts w:ascii="Times New Roman" w:hAnsi="Times New Roman" w:cs="Times New Roman"/>
        </w:rPr>
        <w:t xml:space="preserve">Thus, the </w:t>
      </w:r>
      <w:r w:rsidR="00F702D9">
        <w:rPr>
          <w:rFonts w:ascii="Times New Roman" w:hAnsi="Times New Roman" w:cs="Times New Roman"/>
        </w:rPr>
        <w:t>th</w:t>
      </w:r>
      <w:r w:rsidR="003607E0">
        <w:rPr>
          <w:rFonts w:ascii="Times New Roman" w:hAnsi="Times New Roman" w:cs="Times New Roman"/>
        </w:rPr>
        <w:t>i</w:t>
      </w:r>
      <w:r w:rsidR="00F702D9">
        <w:rPr>
          <w:rFonts w:ascii="Times New Roman" w:hAnsi="Times New Roman" w:cs="Times New Roman"/>
        </w:rPr>
        <w:t>rty</w:t>
      </w:r>
      <w:r w:rsidR="004E4A32">
        <w:rPr>
          <w:rFonts w:ascii="Times New Roman" w:hAnsi="Times New Roman" w:cs="Times New Roman"/>
        </w:rPr>
        <w:t>-</w:t>
      </w:r>
      <w:r w:rsidR="00F15930" w:rsidRPr="00EB7FD9">
        <w:rPr>
          <w:rFonts w:ascii="Times New Roman" w:hAnsi="Times New Roman" w:cs="Times New Roman"/>
        </w:rPr>
        <w:t>day</w:t>
      </w:r>
      <w:r w:rsidR="00BC2D6C">
        <w:rPr>
          <w:rFonts w:ascii="Times New Roman" w:hAnsi="Times New Roman" w:cs="Times New Roman"/>
        </w:rPr>
        <w:t xml:space="preserve"> stay-termination rule of § 362</w:t>
      </w:r>
      <w:r w:rsidR="00F15930" w:rsidRPr="00EB7FD9">
        <w:rPr>
          <w:rFonts w:ascii="Times New Roman" w:hAnsi="Times New Roman" w:cs="Times New Roman"/>
        </w:rPr>
        <w:t xml:space="preserve">(c)(3) </w:t>
      </w:r>
      <w:r w:rsidR="00F15930">
        <w:rPr>
          <w:rFonts w:ascii="Times New Roman" w:hAnsi="Times New Roman" w:cs="Times New Roman"/>
        </w:rPr>
        <w:t>does</w:t>
      </w:r>
      <w:r w:rsidR="00F15930" w:rsidRPr="00EB7FD9">
        <w:rPr>
          <w:rFonts w:ascii="Times New Roman" w:hAnsi="Times New Roman" w:cs="Times New Roman"/>
        </w:rPr>
        <w:t xml:space="preserve"> not apply to a </w:t>
      </w:r>
      <w:r w:rsidR="00F15930">
        <w:rPr>
          <w:rFonts w:ascii="Times New Roman" w:hAnsi="Times New Roman" w:cs="Times New Roman"/>
        </w:rPr>
        <w:t xml:space="preserve">second bankruptcy case </w:t>
      </w:r>
      <w:r w:rsidR="00195976">
        <w:rPr>
          <w:rFonts w:ascii="Times New Roman" w:hAnsi="Times New Roman" w:cs="Times New Roman"/>
        </w:rPr>
        <w:t xml:space="preserve">filed under chapter 11 </w:t>
      </w:r>
      <w:r w:rsidR="00F15930">
        <w:rPr>
          <w:rFonts w:ascii="Times New Roman" w:hAnsi="Times New Roman" w:cs="Times New Roman"/>
        </w:rPr>
        <w:t>if the de</w:t>
      </w:r>
      <w:r w:rsidR="00F15930" w:rsidRPr="00EB7FD9">
        <w:rPr>
          <w:rFonts w:ascii="Times New Roman" w:hAnsi="Times New Roman" w:cs="Times New Roman"/>
        </w:rPr>
        <w:t xml:space="preserve">btor obtained a discharge in </w:t>
      </w:r>
      <w:r w:rsidR="00195976">
        <w:rPr>
          <w:rFonts w:ascii="Times New Roman" w:hAnsi="Times New Roman" w:cs="Times New Roman"/>
        </w:rPr>
        <w:t>an</w:t>
      </w:r>
      <w:r w:rsidR="00F15930" w:rsidRPr="00EB7FD9">
        <w:rPr>
          <w:rFonts w:ascii="Times New Roman" w:hAnsi="Times New Roman" w:cs="Times New Roman"/>
        </w:rPr>
        <w:t xml:space="preserve"> earlier-filed case</w:t>
      </w:r>
      <w:r w:rsidR="00195976">
        <w:rPr>
          <w:rFonts w:ascii="Times New Roman" w:hAnsi="Times New Roman" w:cs="Times New Roman"/>
        </w:rPr>
        <w:t xml:space="preserve">, even if the earlier case was </w:t>
      </w:r>
      <w:r w:rsidR="00195976" w:rsidRPr="00EB7FD9">
        <w:rPr>
          <w:rFonts w:ascii="Times New Roman" w:hAnsi="Times New Roman" w:cs="Times New Roman"/>
        </w:rPr>
        <w:t xml:space="preserve">pending during the year preceding the debtor’s </w:t>
      </w:r>
      <w:r w:rsidR="00195976">
        <w:rPr>
          <w:rFonts w:ascii="Times New Roman" w:hAnsi="Times New Roman" w:cs="Times New Roman"/>
        </w:rPr>
        <w:t>second</w:t>
      </w:r>
      <w:r w:rsidR="00195976" w:rsidRPr="00EB7FD9">
        <w:rPr>
          <w:rFonts w:ascii="Times New Roman" w:hAnsi="Times New Roman" w:cs="Times New Roman"/>
        </w:rPr>
        <w:t xml:space="preserve"> bankruptcy case.</w:t>
      </w:r>
      <w:r w:rsidR="00195976">
        <w:rPr>
          <w:rStyle w:val="FootnoteReference"/>
          <w:rFonts w:ascii="Times New Roman" w:hAnsi="Times New Roman" w:cs="Times New Roman"/>
        </w:rPr>
        <w:footnoteReference w:id="141"/>
      </w:r>
      <w:r w:rsidR="00F15930" w:rsidRPr="00EB7FD9">
        <w:rPr>
          <w:rFonts w:ascii="Times New Roman" w:hAnsi="Times New Roman" w:cs="Times New Roman"/>
        </w:rPr>
        <w:t xml:space="preserve"> </w:t>
      </w:r>
      <w:r w:rsidR="00670072">
        <w:rPr>
          <w:rFonts w:ascii="Times New Roman" w:hAnsi="Times New Roman" w:cs="Times New Roman"/>
        </w:rPr>
        <w:t>N</w:t>
      </w:r>
      <w:r w:rsidR="00F15930" w:rsidRPr="00EB7FD9">
        <w:rPr>
          <w:rFonts w:ascii="Times New Roman" w:hAnsi="Times New Roman" w:cs="Times New Roman"/>
        </w:rPr>
        <w:t xml:space="preserve">or </w:t>
      </w:r>
      <w:r w:rsidR="00670072">
        <w:rPr>
          <w:rFonts w:ascii="Times New Roman" w:hAnsi="Times New Roman" w:cs="Times New Roman"/>
        </w:rPr>
        <w:t xml:space="preserve">does it apply to a bankruptcy case filed within one year of an earlier case in which the debtor </w:t>
      </w:r>
      <w:r w:rsidR="00F15930" w:rsidRPr="00EB7FD9">
        <w:rPr>
          <w:rFonts w:ascii="Times New Roman" w:hAnsi="Times New Roman" w:cs="Times New Roman"/>
        </w:rPr>
        <w:t xml:space="preserve">confirmed a </w:t>
      </w:r>
      <w:r w:rsidR="00670072">
        <w:rPr>
          <w:rFonts w:ascii="Times New Roman" w:hAnsi="Times New Roman" w:cs="Times New Roman"/>
        </w:rPr>
        <w:t xml:space="preserve">chapter 11 </w:t>
      </w:r>
      <w:r w:rsidR="00F15930" w:rsidRPr="00EB7FD9">
        <w:rPr>
          <w:rFonts w:ascii="Times New Roman" w:hAnsi="Times New Roman" w:cs="Times New Roman"/>
        </w:rPr>
        <w:t>plan</w:t>
      </w:r>
      <w:r w:rsidR="00670072">
        <w:rPr>
          <w:rFonts w:ascii="Times New Roman" w:hAnsi="Times New Roman" w:cs="Times New Roman"/>
        </w:rPr>
        <w:t xml:space="preserve"> </w:t>
      </w:r>
      <w:r w:rsidR="00F15930" w:rsidRPr="00EB7FD9">
        <w:rPr>
          <w:rFonts w:ascii="Times New Roman" w:hAnsi="Times New Roman" w:cs="Times New Roman"/>
        </w:rPr>
        <w:t>that later failed</w:t>
      </w:r>
      <w:r w:rsidR="00670072">
        <w:rPr>
          <w:rFonts w:ascii="Times New Roman" w:hAnsi="Times New Roman" w:cs="Times New Roman"/>
        </w:rPr>
        <w:t>, so long as the chapter 11 case did not result in dismissal.</w:t>
      </w:r>
      <w:r w:rsidR="00670072">
        <w:rPr>
          <w:rStyle w:val="FootnoteReference"/>
          <w:rFonts w:ascii="Times New Roman" w:hAnsi="Times New Roman" w:cs="Times New Roman"/>
        </w:rPr>
        <w:footnoteReference w:id="142"/>
      </w:r>
    </w:p>
    <w:p w14:paraId="7B6AF4FE" w14:textId="36D3D8CB" w:rsidR="00D97951" w:rsidRDefault="00F15930" w:rsidP="005422AB">
      <w:pPr>
        <w:spacing w:line="480" w:lineRule="auto"/>
        <w:ind w:firstLine="720"/>
        <w:rPr>
          <w:rFonts w:ascii="Times New Roman" w:hAnsi="Times New Roman" w:cs="Times New Roman"/>
        </w:rPr>
      </w:pPr>
      <w:r>
        <w:rPr>
          <w:rFonts w:ascii="Times New Roman" w:hAnsi="Times New Roman" w:cs="Times New Roman"/>
        </w:rPr>
        <w:t xml:space="preserve">Second, the </w:t>
      </w:r>
      <w:r w:rsidR="004F27BD">
        <w:rPr>
          <w:rFonts w:ascii="Times New Roman" w:hAnsi="Times New Roman" w:cs="Times New Roman"/>
        </w:rPr>
        <w:t>period</w:t>
      </w:r>
      <w:r>
        <w:rPr>
          <w:rFonts w:ascii="Times New Roman" w:hAnsi="Times New Roman" w:cs="Times New Roman"/>
        </w:rPr>
        <w:t xml:space="preserve"> between filings does not run from petition date to petition date. The Code uses the word “pending.” Therefor</w:t>
      </w:r>
      <w:r w:rsidR="00D97951">
        <w:rPr>
          <w:rFonts w:ascii="Times New Roman" w:hAnsi="Times New Roman" w:cs="Times New Roman"/>
        </w:rPr>
        <w:t xml:space="preserve">e, </w:t>
      </w:r>
      <w:r>
        <w:rPr>
          <w:rFonts w:ascii="Times New Roman" w:hAnsi="Times New Roman" w:cs="Times New Roman"/>
        </w:rPr>
        <w:t xml:space="preserve">if a debtor files a </w:t>
      </w:r>
      <w:r w:rsidR="00AA091B">
        <w:rPr>
          <w:rFonts w:ascii="Times New Roman" w:hAnsi="Times New Roman" w:cs="Times New Roman"/>
        </w:rPr>
        <w:t>chapter</w:t>
      </w:r>
      <w:r>
        <w:rPr>
          <w:rFonts w:ascii="Times New Roman" w:hAnsi="Times New Roman" w:cs="Times New Roman"/>
        </w:rPr>
        <w:t xml:space="preserve"> 13 case in January of 2008, but t</w:t>
      </w:r>
      <w:r w:rsidR="00DF16AA">
        <w:rPr>
          <w:rFonts w:ascii="Times New Roman" w:hAnsi="Times New Roman" w:cs="Times New Roman"/>
        </w:rPr>
        <w:t xml:space="preserve">he case is not dismissed until </w:t>
      </w:r>
      <w:r>
        <w:rPr>
          <w:rFonts w:ascii="Times New Roman" w:hAnsi="Times New Roman" w:cs="Times New Roman"/>
        </w:rPr>
        <w:t xml:space="preserve">January of 2010, that </w:t>
      </w:r>
      <w:r w:rsidR="00AA091B">
        <w:rPr>
          <w:rFonts w:ascii="Times New Roman" w:hAnsi="Times New Roman" w:cs="Times New Roman"/>
        </w:rPr>
        <w:t>chapter</w:t>
      </w:r>
      <w:r w:rsidR="00D97951">
        <w:rPr>
          <w:rFonts w:ascii="Times New Roman" w:hAnsi="Times New Roman" w:cs="Times New Roman"/>
        </w:rPr>
        <w:t xml:space="preserve"> 13 </w:t>
      </w:r>
      <w:r>
        <w:rPr>
          <w:rFonts w:ascii="Times New Roman" w:hAnsi="Times New Roman" w:cs="Times New Roman"/>
        </w:rPr>
        <w:t xml:space="preserve">case is pending within one year of </w:t>
      </w:r>
      <w:r w:rsidR="00D97951">
        <w:rPr>
          <w:rFonts w:ascii="Times New Roman" w:hAnsi="Times New Roman" w:cs="Times New Roman"/>
        </w:rPr>
        <w:t>any other bankruptcy case filed by the debtor in 2010</w:t>
      </w:r>
      <w:r>
        <w:rPr>
          <w:rFonts w:ascii="Times New Roman" w:hAnsi="Times New Roman" w:cs="Times New Roman"/>
        </w:rPr>
        <w:t>.</w:t>
      </w:r>
      <w:r>
        <w:rPr>
          <w:rStyle w:val="FootnoteReference"/>
          <w:rFonts w:ascii="Times New Roman" w:hAnsi="Times New Roman" w:cs="Times New Roman"/>
        </w:rPr>
        <w:footnoteReference w:id="143"/>
      </w:r>
    </w:p>
    <w:p w14:paraId="03733B9E" w14:textId="25E0F79E" w:rsidR="005422AB" w:rsidRDefault="00D97951" w:rsidP="00EB7FD9">
      <w:pPr>
        <w:spacing w:line="480" w:lineRule="auto"/>
        <w:ind w:firstLine="720"/>
        <w:rPr>
          <w:rFonts w:ascii="Times New Roman" w:hAnsi="Times New Roman" w:cs="Times New Roman"/>
        </w:rPr>
      </w:pPr>
      <w:r>
        <w:rPr>
          <w:rFonts w:ascii="Times New Roman" w:hAnsi="Times New Roman" w:cs="Times New Roman"/>
        </w:rPr>
        <w:t xml:space="preserve">The Code does not define the term “pending,” </w:t>
      </w:r>
      <w:r w:rsidR="00A72C7E">
        <w:rPr>
          <w:rFonts w:ascii="Times New Roman" w:hAnsi="Times New Roman" w:cs="Times New Roman"/>
        </w:rPr>
        <w:t>but the case law on the issue, albeit l</w:t>
      </w:r>
      <w:r w:rsidR="000320B3">
        <w:rPr>
          <w:rFonts w:ascii="Times New Roman" w:hAnsi="Times New Roman" w:cs="Times New Roman"/>
        </w:rPr>
        <w:t xml:space="preserve">imited, </w:t>
      </w:r>
      <w:r w:rsidR="00A72C7E">
        <w:rPr>
          <w:rFonts w:ascii="Times New Roman" w:hAnsi="Times New Roman" w:cs="Times New Roman"/>
        </w:rPr>
        <w:t>holds that the time period in §</w:t>
      </w:r>
      <w:r w:rsidR="00F702D9">
        <w:rPr>
          <w:rFonts w:ascii="Times New Roman" w:hAnsi="Times New Roman" w:cs="Times New Roman"/>
        </w:rPr>
        <w:t> </w:t>
      </w:r>
      <w:r w:rsidR="00A72C7E">
        <w:rPr>
          <w:rFonts w:ascii="Times New Roman" w:hAnsi="Times New Roman" w:cs="Times New Roman"/>
        </w:rPr>
        <w:t xml:space="preserve">362(c)(3) </w:t>
      </w:r>
      <w:r>
        <w:rPr>
          <w:rFonts w:ascii="Times New Roman" w:hAnsi="Times New Roman" w:cs="Times New Roman"/>
        </w:rPr>
        <w:t>runs from the date of the order of dismissal</w:t>
      </w:r>
      <w:r w:rsidR="00F702D9">
        <w:rPr>
          <w:rFonts w:ascii="Times New Roman" w:hAnsi="Times New Roman" w:cs="Times New Roman"/>
        </w:rPr>
        <w:t>,</w:t>
      </w:r>
      <w:r>
        <w:rPr>
          <w:rFonts w:ascii="Times New Roman" w:hAnsi="Times New Roman" w:cs="Times New Roman"/>
        </w:rPr>
        <w:t xml:space="preserve"> </w:t>
      </w:r>
      <w:r w:rsidR="00A72C7E">
        <w:rPr>
          <w:rFonts w:ascii="Times New Roman" w:hAnsi="Times New Roman" w:cs="Times New Roman"/>
        </w:rPr>
        <w:t>not</w:t>
      </w:r>
      <w:r>
        <w:rPr>
          <w:rFonts w:ascii="Times New Roman" w:hAnsi="Times New Roman" w:cs="Times New Roman"/>
        </w:rPr>
        <w:t xml:space="preserve"> </w:t>
      </w:r>
      <w:r w:rsidR="00F702D9">
        <w:rPr>
          <w:rFonts w:ascii="Times New Roman" w:hAnsi="Times New Roman" w:cs="Times New Roman"/>
        </w:rPr>
        <w:t xml:space="preserve">from </w:t>
      </w:r>
      <w:r>
        <w:rPr>
          <w:rFonts w:ascii="Times New Roman" w:hAnsi="Times New Roman" w:cs="Times New Roman"/>
        </w:rPr>
        <w:t>the date the bankruptcy case closes.</w:t>
      </w:r>
      <w:r w:rsidR="00A72C7E">
        <w:rPr>
          <w:rStyle w:val="FootnoteReference"/>
          <w:rFonts w:ascii="Times New Roman" w:hAnsi="Times New Roman" w:cs="Times New Roman"/>
        </w:rPr>
        <w:footnoteReference w:id="144"/>
      </w:r>
      <w:r>
        <w:rPr>
          <w:rFonts w:ascii="Times New Roman" w:hAnsi="Times New Roman" w:cs="Times New Roman"/>
        </w:rPr>
        <w:t xml:space="preserve"> </w:t>
      </w:r>
      <w:r w:rsidR="00A72C7E">
        <w:rPr>
          <w:rFonts w:ascii="Times New Roman" w:hAnsi="Times New Roman" w:cs="Times New Roman"/>
        </w:rPr>
        <w:t>Therefore, w</w:t>
      </w:r>
      <w:r>
        <w:rPr>
          <w:rFonts w:ascii="Times New Roman" w:hAnsi="Times New Roman" w:cs="Times New Roman"/>
        </w:rPr>
        <w:t xml:space="preserve">e used the date of the </w:t>
      </w:r>
      <w:r w:rsidR="00F702D9">
        <w:rPr>
          <w:rFonts w:ascii="Times New Roman" w:hAnsi="Times New Roman" w:cs="Times New Roman"/>
        </w:rPr>
        <w:t xml:space="preserve">dismissal </w:t>
      </w:r>
      <w:r>
        <w:rPr>
          <w:rFonts w:ascii="Times New Roman" w:hAnsi="Times New Roman" w:cs="Times New Roman"/>
        </w:rPr>
        <w:t xml:space="preserve">order for the results presented in Table </w:t>
      </w:r>
      <w:r w:rsidR="0095156F">
        <w:rPr>
          <w:rFonts w:ascii="Times New Roman" w:hAnsi="Times New Roman" w:cs="Times New Roman"/>
        </w:rPr>
        <w:t>1</w:t>
      </w:r>
      <w:r w:rsidR="00C6406A">
        <w:rPr>
          <w:rFonts w:ascii="Times New Roman" w:hAnsi="Times New Roman" w:cs="Times New Roman"/>
        </w:rPr>
        <w:t>9</w:t>
      </w:r>
      <w:r>
        <w:rPr>
          <w:rFonts w:ascii="Times New Roman" w:hAnsi="Times New Roman" w:cs="Times New Roman"/>
        </w:rPr>
        <w:t xml:space="preserve">. </w:t>
      </w:r>
    </w:p>
    <w:p w14:paraId="0560A1F6" w14:textId="1AA07DE9" w:rsidR="00715D5C" w:rsidRPr="00715D5C" w:rsidRDefault="00715D5C" w:rsidP="00F702D9">
      <w:pPr>
        <w:keepNext/>
        <w:keepLines/>
        <w:spacing w:line="480" w:lineRule="auto"/>
        <w:ind w:firstLine="720"/>
        <w:jc w:val="center"/>
        <w:rPr>
          <w:rFonts w:ascii="Times New Roman" w:hAnsi="Times New Roman" w:cs="Times New Roman"/>
          <w:b/>
        </w:rPr>
      </w:pPr>
      <w:r>
        <w:rPr>
          <w:rFonts w:ascii="Times New Roman" w:hAnsi="Times New Roman" w:cs="Times New Roman"/>
          <w:b/>
        </w:rPr>
        <w:t xml:space="preserve">Table </w:t>
      </w:r>
      <w:r w:rsidR="00D7260E">
        <w:rPr>
          <w:rFonts w:ascii="Times New Roman" w:hAnsi="Times New Roman" w:cs="Times New Roman"/>
          <w:b/>
        </w:rPr>
        <w:t>1</w:t>
      </w:r>
      <w:r w:rsidR="00296FEB">
        <w:rPr>
          <w:rFonts w:ascii="Times New Roman" w:hAnsi="Times New Roman" w:cs="Times New Roman"/>
          <w:b/>
        </w:rPr>
        <w:t>9</w:t>
      </w:r>
      <w:r>
        <w:rPr>
          <w:rFonts w:ascii="Times New Roman" w:hAnsi="Times New Roman" w:cs="Times New Roman"/>
          <w:b/>
        </w:rPr>
        <w:t>: Other Filings 2010 and §</w:t>
      </w:r>
      <w:r w:rsidR="00153027">
        <w:rPr>
          <w:rFonts w:ascii="Times New Roman" w:hAnsi="Times New Roman" w:cs="Times New Roman"/>
          <w:b/>
        </w:rPr>
        <w:t> </w:t>
      </w:r>
      <w:r>
        <w:rPr>
          <w:rFonts w:ascii="Times New Roman" w:hAnsi="Times New Roman" w:cs="Times New Roman"/>
          <w:b/>
        </w:rPr>
        <w:t>362(c)(3)</w:t>
      </w:r>
    </w:p>
    <w:tbl>
      <w:tblPr>
        <w:tblStyle w:val="TableGrid"/>
        <w:tblW w:w="0" w:type="auto"/>
        <w:tblInd w:w="738" w:type="dxa"/>
        <w:tblLook w:val="04A0" w:firstRow="1" w:lastRow="0" w:firstColumn="1" w:lastColumn="0" w:noHBand="0" w:noVBand="1"/>
      </w:tblPr>
      <w:tblGrid>
        <w:gridCol w:w="4608"/>
        <w:gridCol w:w="2430"/>
      </w:tblGrid>
      <w:tr w:rsidR="00670072" w14:paraId="4C0D6CBC" w14:textId="77777777" w:rsidTr="00003007">
        <w:trPr>
          <w:trHeight w:hRule="exact" w:val="288"/>
        </w:trPr>
        <w:tc>
          <w:tcPr>
            <w:tcW w:w="4608" w:type="dxa"/>
            <w:tcBorders>
              <w:top w:val="nil"/>
              <w:left w:val="nil"/>
              <w:bottom w:val="single" w:sz="12" w:space="0" w:color="auto"/>
              <w:right w:val="single" w:sz="18" w:space="0" w:color="auto"/>
            </w:tcBorders>
          </w:tcPr>
          <w:p w14:paraId="3F17700A" w14:textId="71DB5CEB" w:rsidR="00670072" w:rsidRDefault="00670072" w:rsidP="00F702D9">
            <w:pPr>
              <w:keepNext/>
              <w:keepLines/>
              <w:rPr>
                <w:rFonts w:ascii="Times New Roman" w:hAnsi="Times New Roman" w:cs="Times New Roman"/>
              </w:rPr>
            </w:pPr>
          </w:p>
        </w:tc>
        <w:tc>
          <w:tcPr>
            <w:tcW w:w="2430" w:type="dxa"/>
            <w:tcBorders>
              <w:top w:val="single" w:sz="18" w:space="0" w:color="auto"/>
              <w:left w:val="single" w:sz="18" w:space="0" w:color="auto"/>
              <w:bottom w:val="single" w:sz="18" w:space="0" w:color="auto"/>
              <w:right w:val="single" w:sz="18" w:space="0" w:color="auto"/>
            </w:tcBorders>
          </w:tcPr>
          <w:p w14:paraId="76A54402" w14:textId="15B13A53" w:rsidR="00670072" w:rsidRPr="00EB7FD9" w:rsidRDefault="00670072" w:rsidP="00F702D9">
            <w:pPr>
              <w:keepNext/>
              <w:keepLines/>
              <w:jc w:val="center"/>
              <w:rPr>
                <w:rFonts w:ascii="Times New Roman" w:hAnsi="Times New Roman" w:cs="Times New Roman"/>
                <w:b/>
              </w:rPr>
            </w:pPr>
            <w:r w:rsidRPr="00EB7FD9">
              <w:rPr>
                <w:rFonts w:ascii="Times New Roman" w:hAnsi="Times New Roman" w:cs="Times New Roman"/>
                <w:b/>
              </w:rPr>
              <w:t>Percent</w:t>
            </w:r>
            <w:r w:rsidR="00F241A9">
              <w:rPr>
                <w:rFonts w:ascii="Times New Roman" w:hAnsi="Times New Roman" w:cs="Times New Roman"/>
                <w:b/>
              </w:rPr>
              <w:t>age</w:t>
            </w:r>
          </w:p>
        </w:tc>
      </w:tr>
      <w:tr w:rsidR="00670072" w14:paraId="4E8D55E3" w14:textId="77777777" w:rsidTr="00320D25">
        <w:trPr>
          <w:trHeight w:hRule="exact" w:val="432"/>
        </w:trPr>
        <w:tc>
          <w:tcPr>
            <w:tcW w:w="4608" w:type="dxa"/>
            <w:tcBorders>
              <w:top w:val="single" w:sz="18" w:space="0" w:color="auto"/>
              <w:right w:val="single" w:sz="18" w:space="0" w:color="auto"/>
            </w:tcBorders>
          </w:tcPr>
          <w:p w14:paraId="4B34363C" w14:textId="77777777" w:rsidR="00670072" w:rsidRDefault="00670072" w:rsidP="00F702D9">
            <w:pPr>
              <w:keepNext/>
              <w:keepLines/>
              <w:outlineLvl w:val="8"/>
              <w:rPr>
                <w:rFonts w:ascii="Times New Roman" w:hAnsi="Times New Roman" w:cs="Times New Roman"/>
                <w:b/>
              </w:rPr>
            </w:pPr>
            <w:r w:rsidRPr="00EB7FD9">
              <w:rPr>
                <w:rFonts w:ascii="Times New Roman" w:hAnsi="Times New Roman" w:cs="Times New Roman"/>
                <w:b/>
              </w:rPr>
              <w:t>No other filings</w:t>
            </w:r>
          </w:p>
          <w:p w14:paraId="3A113CF7" w14:textId="639CEAB4" w:rsidR="00296FEB" w:rsidRPr="00EB7FD9" w:rsidRDefault="00296FEB" w:rsidP="00F702D9">
            <w:pPr>
              <w:keepNext/>
              <w:keepLines/>
              <w:outlineLvl w:val="8"/>
              <w:rPr>
                <w:rFonts w:ascii="Times New Roman" w:hAnsi="Times New Roman" w:cs="Times New Roman"/>
                <w:b/>
              </w:rPr>
            </w:pPr>
          </w:p>
        </w:tc>
        <w:tc>
          <w:tcPr>
            <w:tcW w:w="2430" w:type="dxa"/>
            <w:tcBorders>
              <w:top w:val="single" w:sz="18" w:space="0" w:color="auto"/>
              <w:left w:val="single" w:sz="18" w:space="0" w:color="auto"/>
              <w:right w:val="single" w:sz="18" w:space="0" w:color="auto"/>
            </w:tcBorders>
          </w:tcPr>
          <w:p w14:paraId="7957C6E5" w14:textId="3F72AA5D" w:rsidR="00670072" w:rsidRDefault="00670072" w:rsidP="00F702D9">
            <w:pPr>
              <w:keepNext/>
              <w:keepLines/>
              <w:jc w:val="right"/>
              <w:rPr>
                <w:rFonts w:ascii="Times New Roman" w:hAnsi="Times New Roman" w:cs="Times New Roman"/>
              </w:rPr>
            </w:pPr>
            <w:r>
              <w:rPr>
                <w:rFonts w:ascii="Times New Roman" w:hAnsi="Times New Roman" w:cs="Times New Roman"/>
              </w:rPr>
              <w:t>67.9%</w:t>
            </w:r>
          </w:p>
        </w:tc>
      </w:tr>
      <w:tr w:rsidR="00670072" w14:paraId="22B98DDF" w14:textId="77777777" w:rsidTr="00320D25">
        <w:trPr>
          <w:trHeight w:val="432"/>
        </w:trPr>
        <w:tc>
          <w:tcPr>
            <w:tcW w:w="4608" w:type="dxa"/>
            <w:tcBorders>
              <w:right w:val="single" w:sz="18" w:space="0" w:color="auto"/>
            </w:tcBorders>
          </w:tcPr>
          <w:p w14:paraId="1F24BABC" w14:textId="15E4DE26" w:rsidR="00670072" w:rsidRPr="00EB7FD9" w:rsidRDefault="00670072" w:rsidP="00F702D9">
            <w:pPr>
              <w:keepNext/>
              <w:keepLines/>
              <w:outlineLvl w:val="8"/>
              <w:rPr>
                <w:rFonts w:ascii="Times New Roman" w:hAnsi="Times New Roman" w:cs="Times New Roman"/>
                <w:b/>
              </w:rPr>
            </w:pPr>
            <w:r w:rsidRPr="00EB7FD9">
              <w:rPr>
                <w:rFonts w:ascii="Times New Roman" w:hAnsi="Times New Roman" w:cs="Times New Roman"/>
                <w:b/>
              </w:rPr>
              <w:t>Other Filings/No § 362 Problem</w:t>
            </w:r>
          </w:p>
        </w:tc>
        <w:tc>
          <w:tcPr>
            <w:tcW w:w="2430" w:type="dxa"/>
            <w:tcBorders>
              <w:left w:val="single" w:sz="18" w:space="0" w:color="auto"/>
              <w:right w:val="single" w:sz="18" w:space="0" w:color="auto"/>
            </w:tcBorders>
          </w:tcPr>
          <w:p w14:paraId="65561BC9" w14:textId="3BFA90C4" w:rsidR="00670072" w:rsidRDefault="00975149" w:rsidP="00975149">
            <w:pPr>
              <w:keepNext/>
              <w:keepLines/>
              <w:jc w:val="right"/>
              <w:rPr>
                <w:rFonts w:ascii="Times New Roman" w:hAnsi="Times New Roman" w:cs="Times New Roman"/>
              </w:rPr>
            </w:pPr>
            <w:r>
              <w:rPr>
                <w:rFonts w:ascii="Times New Roman" w:hAnsi="Times New Roman" w:cs="Times New Roman"/>
              </w:rPr>
              <w:t>5.5</w:t>
            </w:r>
            <w:r w:rsidR="00670072">
              <w:rPr>
                <w:rFonts w:ascii="Times New Roman" w:hAnsi="Times New Roman" w:cs="Times New Roman"/>
              </w:rPr>
              <w:t>%</w:t>
            </w:r>
          </w:p>
        </w:tc>
      </w:tr>
      <w:tr w:rsidR="00670072" w14:paraId="3A2054C3" w14:textId="77777777" w:rsidTr="00320D25">
        <w:trPr>
          <w:trHeight w:val="432"/>
        </w:trPr>
        <w:tc>
          <w:tcPr>
            <w:tcW w:w="4608" w:type="dxa"/>
            <w:tcBorders>
              <w:right w:val="single" w:sz="18" w:space="0" w:color="auto"/>
            </w:tcBorders>
          </w:tcPr>
          <w:p w14:paraId="438466EC" w14:textId="082B1AB8" w:rsidR="00670072" w:rsidRPr="00EB7FD9" w:rsidRDefault="00670072" w:rsidP="00F702D9">
            <w:pPr>
              <w:keepNext/>
              <w:keepLines/>
              <w:outlineLvl w:val="8"/>
              <w:rPr>
                <w:rFonts w:ascii="Times New Roman" w:hAnsi="Times New Roman" w:cs="Times New Roman"/>
                <w:b/>
              </w:rPr>
            </w:pPr>
            <w:r w:rsidRPr="00EB7FD9">
              <w:rPr>
                <w:rFonts w:ascii="Times New Roman" w:hAnsi="Times New Roman" w:cs="Times New Roman"/>
                <w:b/>
              </w:rPr>
              <w:t>Other Filings/ § 362 Problem</w:t>
            </w:r>
          </w:p>
        </w:tc>
        <w:tc>
          <w:tcPr>
            <w:tcW w:w="2430" w:type="dxa"/>
            <w:tcBorders>
              <w:left w:val="single" w:sz="18" w:space="0" w:color="auto"/>
              <w:right w:val="single" w:sz="18" w:space="0" w:color="auto"/>
            </w:tcBorders>
          </w:tcPr>
          <w:p w14:paraId="0140BC80" w14:textId="16907B55" w:rsidR="00670072" w:rsidRDefault="00670072" w:rsidP="00975149">
            <w:pPr>
              <w:keepNext/>
              <w:keepLines/>
              <w:jc w:val="right"/>
              <w:rPr>
                <w:rFonts w:ascii="Times New Roman" w:hAnsi="Times New Roman" w:cs="Times New Roman"/>
              </w:rPr>
            </w:pPr>
            <w:r>
              <w:rPr>
                <w:rFonts w:ascii="Times New Roman" w:hAnsi="Times New Roman" w:cs="Times New Roman"/>
              </w:rPr>
              <w:t>2</w:t>
            </w:r>
            <w:r w:rsidR="00975149">
              <w:rPr>
                <w:rFonts w:ascii="Times New Roman" w:hAnsi="Times New Roman" w:cs="Times New Roman"/>
              </w:rPr>
              <w:t>6.6</w:t>
            </w:r>
            <w:r>
              <w:rPr>
                <w:rFonts w:ascii="Times New Roman" w:hAnsi="Times New Roman" w:cs="Times New Roman"/>
              </w:rPr>
              <w:t>%</w:t>
            </w:r>
          </w:p>
        </w:tc>
      </w:tr>
    </w:tbl>
    <w:p w14:paraId="76C2CF6C" w14:textId="77777777" w:rsidR="005422AB" w:rsidRDefault="005422AB" w:rsidP="00DF16AA">
      <w:pPr>
        <w:spacing w:line="360" w:lineRule="auto"/>
        <w:rPr>
          <w:rFonts w:ascii="Times New Roman" w:hAnsi="Times New Roman" w:cs="Times New Roman"/>
        </w:rPr>
      </w:pPr>
    </w:p>
    <w:p w14:paraId="518FF079" w14:textId="645C9384" w:rsidR="00E61D15" w:rsidRDefault="00350B41" w:rsidP="008373AC">
      <w:pPr>
        <w:spacing w:line="480" w:lineRule="auto"/>
        <w:rPr>
          <w:rFonts w:ascii="Times New Roman" w:hAnsi="Times New Roman" w:cs="Times New Roman"/>
        </w:rPr>
      </w:pPr>
      <w:r>
        <w:t xml:space="preserve"> T</w:t>
      </w:r>
      <w:r w:rsidR="00DF16AA">
        <w:t xml:space="preserve">he 2010 case may not be the </w:t>
      </w:r>
      <w:r>
        <w:t xml:space="preserve">one </w:t>
      </w:r>
      <w:r w:rsidR="00DF16AA">
        <w:t xml:space="preserve">posing a § 362 problem for the debtor. The data in Table </w:t>
      </w:r>
      <w:r w:rsidR="00DC0210">
        <w:t>1</w:t>
      </w:r>
      <w:r w:rsidR="00296FEB">
        <w:t>9</w:t>
      </w:r>
      <w:r w:rsidR="00DF16AA">
        <w:t xml:space="preserve"> track the 2010 debtors over the span of approximately twenty years. Therefore, if a debtor filed for relief in November of 2010, </w:t>
      </w:r>
      <w:r w:rsidR="00670072">
        <w:t xml:space="preserve">the bankruptcy court </w:t>
      </w:r>
      <w:r w:rsidR="00DF16AA">
        <w:t xml:space="preserve">dismissed </w:t>
      </w:r>
      <w:r w:rsidR="00670072">
        <w:t xml:space="preserve">the case </w:t>
      </w:r>
      <w:r w:rsidR="00DF16AA">
        <w:t xml:space="preserve">in June of 2011, and </w:t>
      </w:r>
      <w:r w:rsidR="00670072">
        <w:t xml:space="preserve">the debtor </w:t>
      </w:r>
      <w:r w:rsidR="00DF16AA">
        <w:t xml:space="preserve">then filed for relief under </w:t>
      </w:r>
      <w:r w:rsidR="00AA091B">
        <w:t>chapter</w:t>
      </w:r>
      <w:r w:rsidR="00DF16AA">
        <w:t xml:space="preserve"> 13 in November of 2011, § 362(c)(3) would apply to the 2011 </w:t>
      </w:r>
      <w:r w:rsidR="00AA091B">
        <w:t>chapter</w:t>
      </w:r>
      <w:r w:rsidR="00DF16AA">
        <w:t xml:space="preserve"> 13 filing, not the 2010 </w:t>
      </w:r>
      <w:r w:rsidR="00AA091B">
        <w:t>chapter</w:t>
      </w:r>
      <w:r w:rsidR="00DF16AA">
        <w:t xml:space="preserve"> 11 filing. </w:t>
      </w:r>
      <w:r w:rsidR="00BF7A03">
        <w:t>Nevertheless,</w:t>
      </w:r>
      <w:r w:rsidR="00DF16AA">
        <w:t xml:space="preserve"> </w:t>
      </w:r>
      <w:r w:rsidR="00670072">
        <w:t xml:space="preserve">as </w:t>
      </w:r>
      <w:r w:rsidR="00DF16AA">
        <w:t xml:space="preserve">the data in Table </w:t>
      </w:r>
      <w:r w:rsidR="00670072">
        <w:t>1</w:t>
      </w:r>
      <w:r w:rsidR="00296FEB">
        <w:t>9</w:t>
      </w:r>
      <w:r w:rsidR="00DF16AA">
        <w:t xml:space="preserve"> show</w:t>
      </w:r>
      <w:r w:rsidR="00670072">
        <w:t>,</w:t>
      </w:r>
      <w:r w:rsidR="00DF16AA">
        <w:t xml:space="preserve"> </w:t>
      </w:r>
      <w:r w:rsidR="00DF16AA">
        <w:rPr>
          <w:rFonts w:ascii="Times New Roman" w:hAnsi="Times New Roman" w:cs="Times New Roman"/>
        </w:rPr>
        <w:t xml:space="preserve">§ 362(c)(3) posed a problem, at some point in time, for </w:t>
      </w:r>
      <w:r w:rsidR="00975149">
        <w:rPr>
          <w:rFonts w:ascii="Times New Roman" w:hAnsi="Times New Roman" w:cs="Times New Roman"/>
        </w:rPr>
        <w:t>more than</w:t>
      </w:r>
      <w:r w:rsidR="00DF16AA">
        <w:rPr>
          <w:rFonts w:ascii="Times New Roman" w:hAnsi="Times New Roman" w:cs="Times New Roman"/>
        </w:rPr>
        <w:t xml:space="preserve"> one in four of the debtors in the 2010 random sample.</w:t>
      </w:r>
    </w:p>
    <w:p w14:paraId="408BA3DF" w14:textId="1D8EC70C" w:rsidR="008373AC" w:rsidRPr="00EC72CC" w:rsidRDefault="008373AC" w:rsidP="008373AC">
      <w:pPr>
        <w:spacing w:line="480" w:lineRule="auto"/>
        <w:rPr>
          <w:rFonts w:ascii="Times New Roman" w:hAnsi="Times New Roman" w:cs="Times New Roman"/>
          <w:i/>
        </w:rPr>
      </w:pPr>
      <w:r w:rsidRPr="00EC72CC">
        <w:rPr>
          <w:rFonts w:ascii="Times New Roman" w:hAnsi="Times New Roman" w:cs="Times New Roman"/>
          <w:i/>
        </w:rPr>
        <w:t>4.</w:t>
      </w:r>
      <w:r w:rsidRPr="00EC72CC">
        <w:rPr>
          <w:rFonts w:ascii="Times New Roman" w:hAnsi="Times New Roman" w:cs="Times New Roman"/>
          <w:i/>
        </w:rPr>
        <w:tab/>
        <w:t>Size and Complexity</w:t>
      </w:r>
    </w:p>
    <w:p w14:paraId="0F7C614F" w14:textId="0AFE0BC9" w:rsidR="00EC1B15" w:rsidRDefault="008373AC" w:rsidP="002E33E3">
      <w:pPr>
        <w:spacing w:line="480" w:lineRule="auto"/>
        <w:ind w:firstLine="720"/>
        <w:rPr>
          <w:rFonts w:ascii="Times New Roman" w:hAnsi="Times New Roman" w:cs="Times New Roman"/>
        </w:rPr>
      </w:pPr>
      <w:r w:rsidRPr="00B026E4">
        <w:rPr>
          <w:rFonts w:ascii="Times New Roman" w:hAnsi="Times New Roman" w:cs="Times New Roman"/>
        </w:rPr>
        <w:t xml:space="preserve">We close </w:t>
      </w:r>
      <w:r>
        <w:rPr>
          <w:rFonts w:ascii="Times New Roman" w:hAnsi="Times New Roman" w:cs="Times New Roman"/>
        </w:rPr>
        <w:t xml:space="preserve">out </w:t>
      </w:r>
      <w:r w:rsidRPr="00B026E4">
        <w:rPr>
          <w:rFonts w:ascii="Times New Roman" w:hAnsi="Times New Roman" w:cs="Times New Roman"/>
        </w:rPr>
        <w:t xml:space="preserve">this part </w:t>
      </w:r>
      <w:r>
        <w:rPr>
          <w:rFonts w:ascii="Times New Roman" w:hAnsi="Times New Roman" w:cs="Times New Roman"/>
        </w:rPr>
        <w:t xml:space="preserve">of the report </w:t>
      </w:r>
      <w:r w:rsidRPr="00B026E4">
        <w:rPr>
          <w:rFonts w:ascii="Times New Roman" w:hAnsi="Times New Roman" w:cs="Times New Roman"/>
        </w:rPr>
        <w:t xml:space="preserve">with some statistics </w:t>
      </w:r>
      <w:r>
        <w:rPr>
          <w:rFonts w:ascii="Times New Roman" w:hAnsi="Times New Roman" w:cs="Times New Roman"/>
        </w:rPr>
        <w:t xml:space="preserve">bearing </w:t>
      </w:r>
      <w:r w:rsidRPr="00B026E4">
        <w:rPr>
          <w:rFonts w:ascii="Times New Roman" w:hAnsi="Times New Roman" w:cs="Times New Roman"/>
        </w:rPr>
        <w:t xml:space="preserve">on the complexity of the bankruptcy cases. Complexity is important </w:t>
      </w:r>
      <w:r w:rsidR="00153027">
        <w:rPr>
          <w:rFonts w:ascii="Times New Roman" w:hAnsi="Times New Roman" w:cs="Times New Roman"/>
        </w:rPr>
        <w:t>because, first, it</w:t>
      </w:r>
      <w:r w:rsidRPr="00B026E4">
        <w:rPr>
          <w:rFonts w:ascii="Times New Roman" w:hAnsi="Times New Roman" w:cs="Times New Roman"/>
        </w:rPr>
        <w:t xml:space="preserve"> makes </w:t>
      </w:r>
      <w:r w:rsidR="00153027">
        <w:rPr>
          <w:rFonts w:ascii="Times New Roman" w:hAnsi="Times New Roman" w:cs="Times New Roman"/>
        </w:rPr>
        <w:t>coding the cases</w:t>
      </w:r>
      <w:r w:rsidRPr="00B026E4">
        <w:rPr>
          <w:rFonts w:ascii="Times New Roman" w:hAnsi="Times New Roman" w:cs="Times New Roman"/>
        </w:rPr>
        <w:t xml:space="preserve"> much more difficult</w:t>
      </w:r>
      <w:r w:rsidR="00153027">
        <w:rPr>
          <w:rFonts w:ascii="Times New Roman" w:hAnsi="Times New Roman" w:cs="Times New Roman"/>
        </w:rPr>
        <w:t>,</w:t>
      </w:r>
      <w:r w:rsidRPr="00B026E4">
        <w:rPr>
          <w:rFonts w:ascii="Times New Roman" w:hAnsi="Times New Roman" w:cs="Times New Roman"/>
        </w:rPr>
        <w:t xml:space="preserve"> increas</w:t>
      </w:r>
      <w:r w:rsidR="00153027">
        <w:rPr>
          <w:rFonts w:ascii="Times New Roman" w:hAnsi="Times New Roman" w:cs="Times New Roman"/>
        </w:rPr>
        <w:t>ing</w:t>
      </w:r>
      <w:r w:rsidRPr="00B026E4">
        <w:rPr>
          <w:rFonts w:ascii="Times New Roman" w:hAnsi="Times New Roman" w:cs="Times New Roman"/>
        </w:rPr>
        <w:t xml:space="preserve"> the chance of error. For example, many debtors amend their schedules several times over the course of their bankruptcy</w:t>
      </w:r>
      <w:r w:rsidR="00C442A8">
        <w:rPr>
          <w:rFonts w:ascii="Times New Roman" w:hAnsi="Times New Roman" w:cs="Times New Roman"/>
        </w:rPr>
        <w:t xml:space="preserve"> case</w:t>
      </w:r>
      <w:r w:rsidRPr="00B026E4">
        <w:rPr>
          <w:rFonts w:ascii="Times New Roman" w:hAnsi="Times New Roman" w:cs="Times New Roman"/>
        </w:rPr>
        <w:t>, and we tried to use the most recent schedules available.</w:t>
      </w:r>
      <w:r w:rsidR="00C442A8">
        <w:rPr>
          <w:rStyle w:val="FootnoteReference"/>
          <w:rFonts w:ascii="Times New Roman" w:hAnsi="Times New Roman" w:cs="Times New Roman"/>
        </w:rPr>
        <w:footnoteReference w:id="145"/>
      </w:r>
      <w:r w:rsidRPr="00B026E4">
        <w:rPr>
          <w:rFonts w:ascii="Times New Roman" w:hAnsi="Times New Roman" w:cs="Times New Roman"/>
        </w:rPr>
        <w:t xml:space="preserve"> We may have missed some revisions, however, or interpreted some amended schedules as replacements when they were really meant to supplement prior disclosures</w:t>
      </w:r>
      <w:r w:rsidR="00EC1B15">
        <w:rPr>
          <w:rFonts w:ascii="Times New Roman" w:hAnsi="Times New Roman" w:cs="Times New Roman"/>
        </w:rPr>
        <w:t>,</w:t>
      </w:r>
      <w:r w:rsidRPr="00B026E4">
        <w:rPr>
          <w:rFonts w:ascii="Times New Roman" w:hAnsi="Times New Roman" w:cs="Times New Roman"/>
        </w:rPr>
        <w:t xml:space="preserve"> or vice versa.  </w:t>
      </w:r>
      <w:r w:rsidR="002E33E3">
        <w:rPr>
          <w:rFonts w:ascii="Times New Roman" w:hAnsi="Times New Roman" w:cs="Times New Roman"/>
        </w:rPr>
        <w:t>In addition, the quality of disclosure varied significantly from debtor to debtor, making it difficult</w:t>
      </w:r>
      <w:r w:rsidR="00780235">
        <w:rPr>
          <w:rFonts w:ascii="Times New Roman" w:hAnsi="Times New Roman" w:cs="Times New Roman"/>
        </w:rPr>
        <w:t>,</w:t>
      </w:r>
      <w:r w:rsidR="002E33E3">
        <w:rPr>
          <w:rFonts w:ascii="Times New Roman" w:hAnsi="Times New Roman" w:cs="Times New Roman"/>
        </w:rPr>
        <w:t xml:space="preserve"> at times</w:t>
      </w:r>
      <w:r w:rsidR="00780235">
        <w:rPr>
          <w:rFonts w:ascii="Times New Roman" w:hAnsi="Times New Roman" w:cs="Times New Roman"/>
        </w:rPr>
        <w:t>,</w:t>
      </w:r>
      <w:r w:rsidR="002E33E3">
        <w:rPr>
          <w:rFonts w:ascii="Times New Roman" w:hAnsi="Times New Roman" w:cs="Times New Roman"/>
        </w:rPr>
        <w:t xml:space="preserve"> to determine </w:t>
      </w:r>
      <w:r w:rsidR="00780235">
        <w:rPr>
          <w:rFonts w:ascii="Times New Roman" w:hAnsi="Times New Roman" w:cs="Times New Roman"/>
        </w:rPr>
        <w:t>which scheduled amount to use.</w:t>
      </w:r>
      <w:r w:rsidR="002E33E3">
        <w:rPr>
          <w:rStyle w:val="FootnoteReference"/>
          <w:rFonts w:ascii="Times New Roman" w:hAnsi="Times New Roman" w:cs="Times New Roman"/>
        </w:rPr>
        <w:footnoteReference w:id="146"/>
      </w:r>
      <w:r w:rsidR="002E33E3">
        <w:rPr>
          <w:rFonts w:ascii="Times New Roman" w:hAnsi="Times New Roman" w:cs="Times New Roman"/>
        </w:rPr>
        <w:t xml:space="preserve"> </w:t>
      </w:r>
      <w:r w:rsidR="00BF7A03">
        <w:rPr>
          <w:rFonts w:ascii="Times New Roman" w:hAnsi="Times New Roman" w:cs="Times New Roman"/>
        </w:rPr>
        <w:t>S</w:t>
      </w:r>
      <w:r w:rsidRPr="00B026E4">
        <w:rPr>
          <w:rFonts w:ascii="Times New Roman" w:hAnsi="Times New Roman" w:cs="Times New Roman"/>
        </w:rPr>
        <w:t xml:space="preserve">econd, complexity makes it harder to argue that these cases belong in </w:t>
      </w:r>
      <w:r w:rsidR="00AA091B">
        <w:rPr>
          <w:rFonts w:ascii="Times New Roman" w:hAnsi="Times New Roman" w:cs="Times New Roman"/>
        </w:rPr>
        <w:t>chapter</w:t>
      </w:r>
      <w:r w:rsidRPr="00B026E4">
        <w:rPr>
          <w:rFonts w:ascii="Times New Roman" w:hAnsi="Times New Roman" w:cs="Times New Roman"/>
        </w:rPr>
        <w:t xml:space="preserve"> 13. </w:t>
      </w:r>
      <w:r w:rsidR="000761F9">
        <w:rPr>
          <w:rFonts w:ascii="Times New Roman" w:hAnsi="Times New Roman" w:cs="Times New Roman"/>
        </w:rPr>
        <w:t xml:space="preserve">Just as many Americans with </w:t>
      </w:r>
      <w:r w:rsidR="00A03AEF">
        <w:rPr>
          <w:rFonts w:ascii="Times New Roman" w:hAnsi="Times New Roman" w:cs="Times New Roman"/>
        </w:rPr>
        <w:t>str</w:t>
      </w:r>
      <w:r w:rsidR="002C06C1">
        <w:rPr>
          <w:rFonts w:ascii="Times New Roman" w:hAnsi="Times New Roman" w:cs="Times New Roman"/>
        </w:rPr>
        <w:t>a</w:t>
      </w:r>
      <w:r w:rsidR="00A03AEF">
        <w:rPr>
          <w:rFonts w:ascii="Times New Roman" w:hAnsi="Times New Roman" w:cs="Times New Roman"/>
        </w:rPr>
        <w:t>ightforward</w:t>
      </w:r>
      <w:r w:rsidR="000761F9">
        <w:rPr>
          <w:rFonts w:ascii="Times New Roman" w:hAnsi="Times New Roman" w:cs="Times New Roman"/>
        </w:rPr>
        <w:t xml:space="preserve"> financial affairs use simple forms—1040A or 1040EZ—to file their taxes, the </w:t>
      </w:r>
      <w:r w:rsidR="00A03AEF">
        <w:rPr>
          <w:rFonts w:ascii="Times New Roman" w:hAnsi="Times New Roman" w:cs="Times New Roman"/>
        </w:rPr>
        <w:t>same is arguably</w:t>
      </w:r>
      <w:r w:rsidRPr="00B026E4">
        <w:rPr>
          <w:rFonts w:ascii="Times New Roman" w:hAnsi="Times New Roman" w:cs="Times New Roman"/>
        </w:rPr>
        <w:t xml:space="preserve"> true of </w:t>
      </w:r>
      <w:r w:rsidR="00AA091B">
        <w:rPr>
          <w:rFonts w:ascii="Times New Roman" w:hAnsi="Times New Roman" w:cs="Times New Roman"/>
        </w:rPr>
        <w:t>chapter</w:t>
      </w:r>
      <w:r w:rsidRPr="00B026E4">
        <w:rPr>
          <w:rFonts w:ascii="Times New Roman" w:hAnsi="Times New Roman" w:cs="Times New Roman"/>
        </w:rPr>
        <w:t xml:space="preserve"> 13. To the extent that individuals do not have simple affairs and have more active creditors, </w:t>
      </w:r>
      <w:r w:rsidR="00AA091B">
        <w:rPr>
          <w:rFonts w:ascii="Times New Roman" w:hAnsi="Times New Roman" w:cs="Times New Roman"/>
        </w:rPr>
        <w:t>chapter</w:t>
      </w:r>
      <w:r w:rsidRPr="00B026E4">
        <w:rPr>
          <w:rFonts w:ascii="Times New Roman" w:hAnsi="Times New Roman" w:cs="Times New Roman"/>
        </w:rPr>
        <w:t xml:space="preserve"> 13 may serve less well. </w:t>
      </w:r>
    </w:p>
    <w:p w14:paraId="10F9F479" w14:textId="6E613361" w:rsidR="008373AC" w:rsidRPr="00537498" w:rsidRDefault="008373AC" w:rsidP="00AF5C87">
      <w:pPr>
        <w:spacing w:line="480" w:lineRule="auto"/>
        <w:ind w:firstLine="720"/>
        <w:rPr>
          <w:rFonts w:ascii="Times New Roman" w:hAnsi="Times New Roman" w:cs="Times New Roman"/>
        </w:rPr>
      </w:pPr>
      <w:r w:rsidRPr="00537498">
        <w:rPr>
          <w:rFonts w:ascii="Times New Roman" w:hAnsi="Times New Roman" w:cs="Times New Roman"/>
        </w:rPr>
        <w:t xml:space="preserve">Size can serve as a proxy for complexity, and </w:t>
      </w:r>
      <w:r w:rsidR="003A5413">
        <w:rPr>
          <w:rFonts w:ascii="Times New Roman" w:hAnsi="Times New Roman" w:cs="Times New Roman"/>
        </w:rPr>
        <w:t>the data in T</w:t>
      </w:r>
      <w:r w:rsidRPr="00537498">
        <w:rPr>
          <w:rFonts w:ascii="Times New Roman" w:hAnsi="Times New Roman" w:cs="Times New Roman"/>
        </w:rPr>
        <w:t>able</w:t>
      </w:r>
      <w:r w:rsidR="00EC1B15">
        <w:rPr>
          <w:rFonts w:ascii="Times New Roman" w:hAnsi="Times New Roman" w:cs="Times New Roman"/>
        </w:rPr>
        <w:t xml:space="preserve">s </w:t>
      </w:r>
      <w:r w:rsidR="00296FEB">
        <w:rPr>
          <w:rFonts w:ascii="Times New Roman" w:hAnsi="Times New Roman" w:cs="Times New Roman"/>
        </w:rPr>
        <w:t>20</w:t>
      </w:r>
      <w:r w:rsidR="00EC1B15">
        <w:rPr>
          <w:rFonts w:ascii="Times New Roman" w:hAnsi="Times New Roman" w:cs="Times New Roman"/>
        </w:rPr>
        <w:t xml:space="preserve"> through </w:t>
      </w:r>
      <w:r w:rsidR="00296FEB">
        <w:rPr>
          <w:rFonts w:ascii="Times New Roman" w:hAnsi="Times New Roman" w:cs="Times New Roman"/>
        </w:rPr>
        <w:t>22</w:t>
      </w:r>
      <w:r w:rsidR="00EC1B15">
        <w:rPr>
          <w:rFonts w:ascii="Times New Roman" w:hAnsi="Times New Roman" w:cs="Times New Roman"/>
        </w:rPr>
        <w:t xml:space="preserve"> demonstrate that most of the </w:t>
      </w:r>
      <w:r w:rsidR="007E470F">
        <w:rPr>
          <w:rFonts w:ascii="Times New Roman" w:hAnsi="Times New Roman" w:cs="Times New Roman"/>
        </w:rPr>
        <w:t>cases</w:t>
      </w:r>
      <w:r w:rsidR="00EC1B15">
        <w:rPr>
          <w:rFonts w:ascii="Times New Roman" w:hAnsi="Times New Roman" w:cs="Times New Roman"/>
        </w:rPr>
        <w:t xml:space="preserve"> in the random sample we</w:t>
      </w:r>
      <w:r w:rsidR="007E470F">
        <w:rPr>
          <w:rFonts w:ascii="Times New Roman" w:hAnsi="Times New Roman" w:cs="Times New Roman"/>
        </w:rPr>
        <w:t>re small. As shown in Table</w:t>
      </w:r>
      <w:r>
        <w:rPr>
          <w:rFonts w:ascii="Times New Roman" w:hAnsi="Times New Roman" w:cs="Times New Roman"/>
        </w:rPr>
        <w:t xml:space="preserve"> </w:t>
      </w:r>
      <w:r w:rsidR="00296FEB">
        <w:rPr>
          <w:rFonts w:ascii="Times New Roman" w:hAnsi="Times New Roman" w:cs="Times New Roman"/>
        </w:rPr>
        <w:t>20</w:t>
      </w:r>
      <w:r w:rsidR="007E470F">
        <w:rPr>
          <w:rFonts w:ascii="Times New Roman" w:hAnsi="Times New Roman" w:cs="Times New Roman"/>
        </w:rPr>
        <w:t xml:space="preserve">, </w:t>
      </w:r>
      <w:r w:rsidRPr="00933FD2">
        <w:rPr>
          <w:rFonts w:ascii="Times New Roman" w:hAnsi="Times New Roman" w:cs="Times New Roman"/>
        </w:rPr>
        <w:t>the overwhelming majority (around 86</w:t>
      </w:r>
      <w:r w:rsidR="00042036">
        <w:rPr>
          <w:rFonts w:ascii="Times New Roman" w:hAnsi="Times New Roman" w:cs="Times New Roman"/>
        </w:rPr>
        <w:t>%</w:t>
      </w:r>
      <w:r w:rsidRPr="00933FD2">
        <w:rPr>
          <w:rFonts w:ascii="Times New Roman" w:hAnsi="Times New Roman" w:cs="Times New Roman"/>
        </w:rPr>
        <w:t xml:space="preserve">) of debtors </w:t>
      </w:r>
      <w:r w:rsidR="003A5413" w:rsidRPr="00933FD2">
        <w:rPr>
          <w:rFonts w:ascii="Times New Roman" w:hAnsi="Times New Roman" w:cs="Times New Roman"/>
        </w:rPr>
        <w:t>estimate</w:t>
      </w:r>
      <w:r w:rsidR="003A5413">
        <w:rPr>
          <w:rFonts w:ascii="Times New Roman" w:hAnsi="Times New Roman" w:cs="Times New Roman"/>
        </w:rPr>
        <w:t>d</w:t>
      </w:r>
      <w:r w:rsidR="003A5413" w:rsidRPr="00933FD2">
        <w:rPr>
          <w:rFonts w:ascii="Times New Roman" w:hAnsi="Times New Roman" w:cs="Times New Roman"/>
        </w:rPr>
        <w:t xml:space="preserve"> </w:t>
      </w:r>
      <w:r>
        <w:rPr>
          <w:rFonts w:ascii="Times New Roman" w:hAnsi="Times New Roman" w:cs="Times New Roman"/>
        </w:rPr>
        <w:t xml:space="preserve">at filing </w:t>
      </w:r>
      <w:r w:rsidRPr="00933FD2">
        <w:rPr>
          <w:rFonts w:ascii="Times New Roman" w:hAnsi="Times New Roman" w:cs="Times New Roman"/>
        </w:rPr>
        <w:t>that they ha</w:t>
      </w:r>
      <w:r>
        <w:rPr>
          <w:rFonts w:ascii="Times New Roman" w:hAnsi="Times New Roman" w:cs="Times New Roman"/>
        </w:rPr>
        <w:t>d</w:t>
      </w:r>
      <w:r w:rsidRPr="00933FD2">
        <w:rPr>
          <w:rFonts w:ascii="Times New Roman" w:hAnsi="Times New Roman" w:cs="Times New Roman"/>
        </w:rPr>
        <w:t xml:space="preserve"> fewer th</w:t>
      </w:r>
      <w:r w:rsidR="00F702D9">
        <w:rPr>
          <w:rFonts w:ascii="Times New Roman" w:hAnsi="Times New Roman" w:cs="Times New Roman"/>
        </w:rPr>
        <w:t>an fifty</w:t>
      </w:r>
      <w:r w:rsidRPr="00933FD2">
        <w:rPr>
          <w:rFonts w:ascii="Times New Roman" w:hAnsi="Times New Roman" w:cs="Times New Roman"/>
        </w:rPr>
        <w:t xml:space="preserve"> creditors, and only around </w:t>
      </w:r>
      <w:r>
        <w:rPr>
          <w:rFonts w:ascii="Times New Roman" w:hAnsi="Times New Roman" w:cs="Times New Roman"/>
        </w:rPr>
        <w:t>3</w:t>
      </w:r>
      <w:r w:rsidR="00042036">
        <w:rPr>
          <w:rFonts w:ascii="Times New Roman" w:hAnsi="Times New Roman" w:cs="Times New Roman"/>
        </w:rPr>
        <w:t>%</w:t>
      </w:r>
      <w:r w:rsidRPr="00933FD2">
        <w:rPr>
          <w:rFonts w:ascii="Times New Roman" w:hAnsi="Times New Roman" w:cs="Times New Roman"/>
        </w:rPr>
        <w:t xml:space="preserve"> estimated that they had at least 100. </w:t>
      </w:r>
    </w:p>
    <w:p w14:paraId="6024851F" w14:textId="7315AE4A" w:rsidR="008373AC" w:rsidRPr="00537498" w:rsidRDefault="008373AC" w:rsidP="00BC2D6C">
      <w:pPr>
        <w:keepNext/>
        <w:keepLines/>
        <w:spacing w:line="480" w:lineRule="auto"/>
        <w:jc w:val="center"/>
        <w:rPr>
          <w:rFonts w:ascii="Times New Roman" w:hAnsi="Times New Roman" w:cs="Times New Roman"/>
          <w:b/>
        </w:rPr>
      </w:pPr>
      <w:r w:rsidRPr="00537498">
        <w:rPr>
          <w:rFonts w:ascii="Times New Roman" w:hAnsi="Times New Roman" w:cs="Times New Roman"/>
          <w:b/>
        </w:rPr>
        <w:t xml:space="preserve">Table </w:t>
      </w:r>
      <w:r w:rsidR="00296FEB">
        <w:rPr>
          <w:rFonts w:ascii="Times New Roman" w:hAnsi="Times New Roman" w:cs="Times New Roman"/>
          <w:b/>
        </w:rPr>
        <w:t>20</w:t>
      </w:r>
      <w:r w:rsidRPr="00537498">
        <w:rPr>
          <w:rFonts w:ascii="Times New Roman" w:hAnsi="Times New Roman" w:cs="Times New Roman"/>
          <w:b/>
        </w:rPr>
        <w:t>: Estimated Number of Creditors</w:t>
      </w:r>
    </w:p>
    <w:tbl>
      <w:tblPr>
        <w:tblStyle w:val="TableGrid"/>
        <w:tblW w:w="7758" w:type="dxa"/>
        <w:tblLook w:val="04A0" w:firstRow="1" w:lastRow="0" w:firstColumn="1" w:lastColumn="0" w:noHBand="0" w:noVBand="1"/>
      </w:tblPr>
      <w:tblGrid>
        <w:gridCol w:w="3348"/>
        <w:gridCol w:w="2160"/>
        <w:gridCol w:w="2250"/>
      </w:tblGrid>
      <w:tr w:rsidR="008373AC" w:rsidRPr="00537498" w14:paraId="225D38C1" w14:textId="77777777" w:rsidTr="00B64AA8">
        <w:trPr>
          <w:trHeight w:val="300"/>
        </w:trPr>
        <w:tc>
          <w:tcPr>
            <w:tcW w:w="3348" w:type="dxa"/>
            <w:tcBorders>
              <w:top w:val="nil"/>
              <w:left w:val="nil"/>
              <w:bottom w:val="single" w:sz="18" w:space="0" w:color="auto"/>
              <w:right w:val="single" w:sz="18" w:space="0" w:color="auto"/>
            </w:tcBorders>
            <w:noWrap/>
            <w:hideMark/>
          </w:tcPr>
          <w:p w14:paraId="7413D4D2" w14:textId="77777777" w:rsidR="008373AC" w:rsidRPr="00B026E4" w:rsidRDefault="008373AC" w:rsidP="00BC2D6C">
            <w:pPr>
              <w:keepNext/>
              <w:keepLines/>
              <w:rPr>
                <w:rFonts w:ascii="Times New Roman" w:eastAsia="Times New Roman" w:hAnsi="Times New Roman" w:cs="Times New Roman"/>
                <w:color w:val="000000"/>
              </w:rPr>
            </w:pPr>
          </w:p>
        </w:tc>
        <w:tc>
          <w:tcPr>
            <w:tcW w:w="2160" w:type="dxa"/>
            <w:tcBorders>
              <w:left w:val="single" w:sz="18" w:space="0" w:color="auto"/>
              <w:bottom w:val="single" w:sz="18" w:space="0" w:color="auto"/>
            </w:tcBorders>
            <w:noWrap/>
            <w:hideMark/>
          </w:tcPr>
          <w:p w14:paraId="37D85EF8" w14:textId="77777777" w:rsidR="008373AC" w:rsidRPr="00B026E4" w:rsidRDefault="008373AC" w:rsidP="00BC2D6C">
            <w:pPr>
              <w:keepNext/>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2010</w:t>
            </w:r>
          </w:p>
        </w:tc>
        <w:tc>
          <w:tcPr>
            <w:tcW w:w="2250" w:type="dxa"/>
            <w:tcBorders>
              <w:bottom w:val="single" w:sz="18" w:space="0" w:color="auto"/>
            </w:tcBorders>
            <w:noWrap/>
            <w:hideMark/>
          </w:tcPr>
          <w:p w14:paraId="02C0327B" w14:textId="77777777" w:rsidR="008373AC" w:rsidRPr="00B026E4" w:rsidRDefault="008373AC" w:rsidP="00BC2D6C">
            <w:pPr>
              <w:keepNext/>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2013</w:t>
            </w:r>
          </w:p>
        </w:tc>
      </w:tr>
      <w:tr w:rsidR="008373AC" w:rsidRPr="00537498" w14:paraId="337DF2E8" w14:textId="77777777" w:rsidTr="00C442A8">
        <w:trPr>
          <w:trHeight w:val="300"/>
        </w:trPr>
        <w:tc>
          <w:tcPr>
            <w:tcW w:w="3348" w:type="dxa"/>
            <w:tcBorders>
              <w:top w:val="single" w:sz="18" w:space="0" w:color="auto"/>
              <w:right w:val="single" w:sz="18" w:space="0" w:color="auto"/>
            </w:tcBorders>
            <w:noWrap/>
            <w:hideMark/>
          </w:tcPr>
          <w:p w14:paraId="6D571410" w14:textId="77777777" w:rsidR="008373AC" w:rsidRPr="00B026E4" w:rsidRDefault="008373AC" w:rsidP="00BC2D6C">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1 to 49</w:t>
            </w:r>
          </w:p>
        </w:tc>
        <w:tc>
          <w:tcPr>
            <w:tcW w:w="2160" w:type="dxa"/>
            <w:tcBorders>
              <w:top w:val="single" w:sz="18" w:space="0" w:color="auto"/>
              <w:left w:val="single" w:sz="18" w:space="0" w:color="auto"/>
            </w:tcBorders>
            <w:noWrap/>
            <w:hideMark/>
          </w:tcPr>
          <w:p w14:paraId="40A99363" w14:textId="77777777" w:rsidR="008373AC" w:rsidRPr="00B026E4" w:rsidRDefault="008373AC" w:rsidP="00BC2D6C">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86.2%</w:t>
            </w:r>
          </w:p>
        </w:tc>
        <w:tc>
          <w:tcPr>
            <w:tcW w:w="2250" w:type="dxa"/>
            <w:tcBorders>
              <w:top w:val="single" w:sz="18" w:space="0" w:color="auto"/>
            </w:tcBorders>
            <w:noWrap/>
            <w:hideMark/>
          </w:tcPr>
          <w:p w14:paraId="44881442" w14:textId="77777777" w:rsidR="008373AC" w:rsidRPr="00B026E4" w:rsidRDefault="008373AC" w:rsidP="00BC2D6C">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86.0%</w:t>
            </w:r>
          </w:p>
        </w:tc>
      </w:tr>
      <w:tr w:rsidR="008373AC" w:rsidRPr="00537498" w14:paraId="70878DE4" w14:textId="77777777" w:rsidTr="00C459CB">
        <w:trPr>
          <w:trHeight w:val="300"/>
        </w:trPr>
        <w:tc>
          <w:tcPr>
            <w:tcW w:w="3348" w:type="dxa"/>
            <w:tcBorders>
              <w:right w:val="single" w:sz="18" w:space="0" w:color="auto"/>
            </w:tcBorders>
            <w:noWrap/>
            <w:hideMark/>
          </w:tcPr>
          <w:p w14:paraId="01DC7A56" w14:textId="77777777" w:rsidR="008373AC" w:rsidRPr="00B026E4" w:rsidRDefault="008373AC" w:rsidP="00BC2D6C">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50 to 99</w:t>
            </w:r>
          </w:p>
        </w:tc>
        <w:tc>
          <w:tcPr>
            <w:tcW w:w="2160" w:type="dxa"/>
            <w:tcBorders>
              <w:left w:val="single" w:sz="18" w:space="0" w:color="auto"/>
            </w:tcBorders>
            <w:noWrap/>
            <w:hideMark/>
          </w:tcPr>
          <w:p w14:paraId="024DF6BC" w14:textId="77777777" w:rsidR="008373AC" w:rsidRPr="00B026E4" w:rsidRDefault="008373AC" w:rsidP="00BC2D6C">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10.1%</w:t>
            </w:r>
          </w:p>
        </w:tc>
        <w:tc>
          <w:tcPr>
            <w:tcW w:w="2250" w:type="dxa"/>
            <w:noWrap/>
            <w:hideMark/>
          </w:tcPr>
          <w:p w14:paraId="03FF3457" w14:textId="77777777" w:rsidR="008373AC" w:rsidRPr="00B026E4" w:rsidRDefault="008373AC" w:rsidP="00BC2D6C">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10.5%</w:t>
            </w:r>
          </w:p>
        </w:tc>
      </w:tr>
      <w:tr w:rsidR="008373AC" w:rsidRPr="00537498" w14:paraId="22C4737C" w14:textId="77777777" w:rsidTr="00C459CB">
        <w:trPr>
          <w:trHeight w:val="300"/>
        </w:trPr>
        <w:tc>
          <w:tcPr>
            <w:tcW w:w="3348" w:type="dxa"/>
            <w:tcBorders>
              <w:right w:val="single" w:sz="18" w:space="0" w:color="auto"/>
            </w:tcBorders>
            <w:noWrap/>
            <w:hideMark/>
          </w:tcPr>
          <w:p w14:paraId="1B5B676B" w14:textId="77777777" w:rsidR="008373AC" w:rsidRPr="00B026E4" w:rsidRDefault="008373AC" w:rsidP="00BC2D6C">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100 to 199</w:t>
            </w:r>
          </w:p>
        </w:tc>
        <w:tc>
          <w:tcPr>
            <w:tcW w:w="2160" w:type="dxa"/>
            <w:tcBorders>
              <w:left w:val="single" w:sz="18" w:space="0" w:color="auto"/>
            </w:tcBorders>
            <w:noWrap/>
            <w:hideMark/>
          </w:tcPr>
          <w:p w14:paraId="1C9B3CC7" w14:textId="77777777" w:rsidR="008373AC" w:rsidRPr="00B026E4" w:rsidRDefault="008373AC" w:rsidP="00BC2D6C">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1.8%</w:t>
            </w:r>
          </w:p>
        </w:tc>
        <w:tc>
          <w:tcPr>
            <w:tcW w:w="2250" w:type="dxa"/>
            <w:noWrap/>
            <w:hideMark/>
          </w:tcPr>
          <w:p w14:paraId="0A776E05" w14:textId="77777777" w:rsidR="008373AC" w:rsidRPr="00B026E4" w:rsidRDefault="008373AC" w:rsidP="00BC2D6C">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1.8%</w:t>
            </w:r>
          </w:p>
        </w:tc>
      </w:tr>
      <w:tr w:rsidR="008373AC" w:rsidRPr="00537498" w14:paraId="655DDC1C" w14:textId="77777777" w:rsidTr="00C459CB">
        <w:trPr>
          <w:trHeight w:val="300"/>
        </w:trPr>
        <w:tc>
          <w:tcPr>
            <w:tcW w:w="3348" w:type="dxa"/>
            <w:tcBorders>
              <w:right w:val="single" w:sz="18" w:space="0" w:color="auto"/>
            </w:tcBorders>
            <w:noWrap/>
            <w:hideMark/>
          </w:tcPr>
          <w:p w14:paraId="658F2254" w14:textId="77777777" w:rsidR="008373AC" w:rsidRPr="00B026E4" w:rsidRDefault="008373AC" w:rsidP="00BC2D6C">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200 to 299</w:t>
            </w:r>
          </w:p>
        </w:tc>
        <w:tc>
          <w:tcPr>
            <w:tcW w:w="2160" w:type="dxa"/>
            <w:tcBorders>
              <w:left w:val="single" w:sz="18" w:space="0" w:color="auto"/>
            </w:tcBorders>
            <w:noWrap/>
            <w:hideMark/>
          </w:tcPr>
          <w:p w14:paraId="3F24D8E4" w14:textId="77777777" w:rsidR="008373AC" w:rsidRPr="00B026E4" w:rsidRDefault="008373AC" w:rsidP="00BC2D6C">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0.9%</w:t>
            </w:r>
          </w:p>
        </w:tc>
        <w:tc>
          <w:tcPr>
            <w:tcW w:w="2250" w:type="dxa"/>
            <w:noWrap/>
            <w:hideMark/>
          </w:tcPr>
          <w:p w14:paraId="03A17DA5" w14:textId="77777777" w:rsidR="008373AC" w:rsidRPr="00B026E4" w:rsidRDefault="008373AC" w:rsidP="00BC2D6C">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0.9%</w:t>
            </w:r>
          </w:p>
        </w:tc>
      </w:tr>
      <w:tr w:rsidR="008373AC" w:rsidRPr="00537498" w14:paraId="25D5591A" w14:textId="77777777" w:rsidTr="00C442A8">
        <w:trPr>
          <w:trHeight w:val="300"/>
        </w:trPr>
        <w:tc>
          <w:tcPr>
            <w:tcW w:w="3348" w:type="dxa"/>
            <w:tcBorders>
              <w:right w:val="single" w:sz="18" w:space="0" w:color="auto"/>
            </w:tcBorders>
            <w:noWrap/>
            <w:hideMark/>
          </w:tcPr>
          <w:p w14:paraId="5CD20EB6" w14:textId="77777777" w:rsidR="008373AC" w:rsidRPr="00B026E4" w:rsidRDefault="008373AC" w:rsidP="00BC2D6C">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Unknown</w:t>
            </w:r>
          </w:p>
        </w:tc>
        <w:tc>
          <w:tcPr>
            <w:tcW w:w="2160" w:type="dxa"/>
            <w:tcBorders>
              <w:left w:val="single" w:sz="18" w:space="0" w:color="auto"/>
            </w:tcBorders>
            <w:noWrap/>
            <w:hideMark/>
          </w:tcPr>
          <w:p w14:paraId="018B5595" w14:textId="77777777" w:rsidR="008373AC" w:rsidRPr="00B026E4" w:rsidRDefault="008373AC" w:rsidP="00BC2D6C">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0.9%</w:t>
            </w:r>
          </w:p>
        </w:tc>
        <w:tc>
          <w:tcPr>
            <w:tcW w:w="2250" w:type="dxa"/>
            <w:noWrap/>
            <w:hideMark/>
          </w:tcPr>
          <w:p w14:paraId="595ED319" w14:textId="77777777" w:rsidR="008373AC" w:rsidRPr="00B026E4" w:rsidRDefault="008373AC" w:rsidP="00BC2D6C">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0.9%</w:t>
            </w:r>
          </w:p>
        </w:tc>
      </w:tr>
    </w:tbl>
    <w:p w14:paraId="04C7F26C" w14:textId="77777777" w:rsidR="008373AC" w:rsidRPr="00537498" w:rsidRDefault="008373AC" w:rsidP="008373AC">
      <w:pPr>
        <w:rPr>
          <w:rFonts w:ascii="Times New Roman" w:hAnsi="Times New Roman" w:cs="Times New Roman"/>
        </w:rPr>
      </w:pPr>
    </w:p>
    <w:p w14:paraId="05ABC0A7" w14:textId="21FCF757" w:rsidR="008373AC" w:rsidRPr="00537498" w:rsidRDefault="008373AC" w:rsidP="008373AC">
      <w:pPr>
        <w:spacing w:line="480" w:lineRule="auto"/>
        <w:ind w:firstLine="720"/>
        <w:rPr>
          <w:rFonts w:ascii="Times New Roman" w:hAnsi="Times New Roman" w:cs="Times New Roman"/>
        </w:rPr>
      </w:pPr>
      <w:r>
        <w:rPr>
          <w:rFonts w:ascii="Times New Roman" w:hAnsi="Times New Roman" w:cs="Times New Roman"/>
        </w:rPr>
        <w:t xml:space="preserve">The data in </w:t>
      </w:r>
      <w:r w:rsidR="00312499">
        <w:rPr>
          <w:rFonts w:ascii="Times New Roman" w:hAnsi="Times New Roman" w:cs="Times New Roman"/>
        </w:rPr>
        <w:t>T</w:t>
      </w:r>
      <w:r w:rsidRPr="00537498">
        <w:rPr>
          <w:rFonts w:ascii="Times New Roman" w:hAnsi="Times New Roman" w:cs="Times New Roman"/>
        </w:rPr>
        <w:t xml:space="preserve">able </w:t>
      </w:r>
      <w:r w:rsidR="00296FEB">
        <w:rPr>
          <w:rFonts w:ascii="Times New Roman" w:hAnsi="Times New Roman" w:cs="Times New Roman"/>
        </w:rPr>
        <w:t>2</w:t>
      </w:r>
      <w:r w:rsidR="00DC0210">
        <w:rPr>
          <w:rFonts w:ascii="Times New Roman" w:hAnsi="Times New Roman" w:cs="Times New Roman"/>
        </w:rPr>
        <w:t>1</w:t>
      </w:r>
      <w:r w:rsidRPr="00537498">
        <w:rPr>
          <w:rFonts w:ascii="Times New Roman" w:hAnsi="Times New Roman" w:cs="Times New Roman"/>
        </w:rPr>
        <w:t xml:space="preserve"> </w:t>
      </w:r>
      <w:r w:rsidR="003A5413">
        <w:rPr>
          <w:rFonts w:ascii="Times New Roman" w:hAnsi="Times New Roman" w:cs="Times New Roman"/>
        </w:rPr>
        <w:t xml:space="preserve">indicate </w:t>
      </w:r>
      <w:r w:rsidRPr="00537498">
        <w:rPr>
          <w:rFonts w:ascii="Times New Roman" w:hAnsi="Times New Roman" w:cs="Times New Roman"/>
        </w:rPr>
        <w:t xml:space="preserve">that the majority of debtors </w:t>
      </w:r>
      <w:r>
        <w:rPr>
          <w:rFonts w:ascii="Times New Roman" w:hAnsi="Times New Roman" w:cs="Times New Roman"/>
        </w:rPr>
        <w:t xml:space="preserve">at filing </w:t>
      </w:r>
      <w:r w:rsidRPr="00537498">
        <w:rPr>
          <w:rFonts w:ascii="Times New Roman" w:hAnsi="Times New Roman" w:cs="Times New Roman"/>
        </w:rPr>
        <w:t>estimate</w:t>
      </w:r>
      <w:r>
        <w:rPr>
          <w:rFonts w:ascii="Times New Roman" w:hAnsi="Times New Roman" w:cs="Times New Roman"/>
        </w:rPr>
        <w:t>d</w:t>
      </w:r>
      <w:r w:rsidRPr="00537498">
        <w:rPr>
          <w:rFonts w:ascii="Times New Roman" w:hAnsi="Times New Roman" w:cs="Times New Roman"/>
        </w:rPr>
        <w:t xml:space="preserve"> that they ha</w:t>
      </w:r>
      <w:r>
        <w:rPr>
          <w:rFonts w:ascii="Times New Roman" w:hAnsi="Times New Roman" w:cs="Times New Roman"/>
        </w:rPr>
        <w:t>d</w:t>
      </w:r>
      <w:r w:rsidRPr="00537498">
        <w:rPr>
          <w:rFonts w:ascii="Times New Roman" w:hAnsi="Times New Roman" w:cs="Times New Roman"/>
        </w:rPr>
        <w:t xml:space="preserve"> between </w:t>
      </w:r>
      <w:r>
        <w:rPr>
          <w:rFonts w:ascii="Times New Roman" w:hAnsi="Times New Roman" w:cs="Times New Roman"/>
        </w:rPr>
        <w:t>$1</w:t>
      </w:r>
      <w:r w:rsidRPr="00537498">
        <w:rPr>
          <w:rFonts w:ascii="Times New Roman" w:hAnsi="Times New Roman" w:cs="Times New Roman"/>
        </w:rPr>
        <w:t xml:space="preserve"> and </w:t>
      </w:r>
      <w:r>
        <w:rPr>
          <w:rFonts w:ascii="Times New Roman" w:hAnsi="Times New Roman" w:cs="Times New Roman"/>
        </w:rPr>
        <w:t>$5</w:t>
      </w:r>
      <w:r w:rsidRPr="00537498">
        <w:rPr>
          <w:rFonts w:ascii="Times New Roman" w:hAnsi="Times New Roman" w:cs="Times New Roman"/>
        </w:rPr>
        <w:t xml:space="preserve"> million of liabilities</w:t>
      </w:r>
      <w:r>
        <w:rPr>
          <w:rFonts w:ascii="Times New Roman" w:hAnsi="Times New Roman" w:cs="Times New Roman"/>
        </w:rPr>
        <w:t>; the next largest category was between $500,000 and $1 million.</w:t>
      </w:r>
      <w:r w:rsidRPr="00537498">
        <w:rPr>
          <w:rFonts w:ascii="Times New Roman" w:hAnsi="Times New Roman" w:cs="Times New Roman"/>
        </w:rPr>
        <w:t xml:space="preserve"> Fewer than </w:t>
      </w:r>
      <w:r>
        <w:rPr>
          <w:rFonts w:ascii="Times New Roman" w:hAnsi="Times New Roman" w:cs="Times New Roman"/>
        </w:rPr>
        <w:t>10</w:t>
      </w:r>
      <w:r w:rsidR="00042036">
        <w:rPr>
          <w:rFonts w:ascii="Times New Roman" w:hAnsi="Times New Roman" w:cs="Times New Roman"/>
        </w:rPr>
        <w:t>%</w:t>
      </w:r>
      <w:r>
        <w:rPr>
          <w:rFonts w:ascii="Times New Roman" w:hAnsi="Times New Roman" w:cs="Times New Roman"/>
        </w:rPr>
        <w:t xml:space="preserve"> of debtors</w:t>
      </w:r>
      <w:r w:rsidRPr="00537498">
        <w:rPr>
          <w:rFonts w:ascii="Times New Roman" w:hAnsi="Times New Roman" w:cs="Times New Roman"/>
        </w:rPr>
        <w:t xml:space="preserve"> (6</w:t>
      </w:r>
      <w:r w:rsidR="00042036">
        <w:rPr>
          <w:rFonts w:ascii="Times New Roman" w:hAnsi="Times New Roman" w:cs="Times New Roman"/>
        </w:rPr>
        <w:t>%</w:t>
      </w:r>
      <w:r w:rsidRPr="00537498">
        <w:rPr>
          <w:rFonts w:ascii="Times New Roman" w:hAnsi="Times New Roman" w:cs="Times New Roman"/>
        </w:rPr>
        <w:t xml:space="preserve"> in 2010 and 8</w:t>
      </w:r>
      <w:r w:rsidR="00042036">
        <w:rPr>
          <w:rFonts w:ascii="Times New Roman" w:hAnsi="Times New Roman" w:cs="Times New Roman"/>
        </w:rPr>
        <w:t>%</w:t>
      </w:r>
      <w:r w:rsidRPr="00537498">
        <w:rPr>
          <w:rFonts w:ascii="Times New Roman" w:hAnsi="Times New Roman" w:cs="Times New Roman"/>
        </w:rPr>
        <w:t xml:space="preserve"> in 2013) estimated </w:t>
      </w:r>
      <w:r>
        <w:rPr>
          <w:rFonts w:ascii="Times New Roman" w:hAnsi="Times New Roman" w:cs="Times New Roman"/>
        </w:rPr>
        <w:t>their liabilities as in excess of</w:t>
      </w:r>
      <w:r w:rsidRPr="00537498">
        <w:rPr>
          <w:rFonts w:ascii="Times New Roman" w:hAnsi="Times New Roman" w:cs="Times New Roman"/>
        </w:rPr>
        <w:t xml:space="preserve"> $5 million</w:t>
      </w:r>
      <w:r w:rsidR="00BE3E0A">
        <w:rPr>
          <w:rFonts w:ascii="Times New Roman" w:hAnsi="Times New Roman" w:cs="Times New Roman"/>
        </w:rPr>
        <w:t>. Even fewer debtors—</w:t>
      </w:r>
      <w:r>
        <w:rPr>
          <w:rFonts w:ascii="Times New Roman" w:hAnsi="Times New Roman" w:cs="Times New Roman"/>
        </w:rPr>
        <w:t xml:space="preserve">less than </w:t>
      </w:r>
      <w:r w:rsidR="00676294">
        <w:rPr>
          <w:rFonts w:ascii="Times New Roman" w:hAnsi="Times New Roman" w:cs="Times New Roman"/>
        </w:rPr>
        <w:t>4</w:t>
      </w:r>
      <w:r w:rsidR="00042036">
        <w:rPr>
          <w:rFonts w:ascii="Times New Roman" w:hAnsi="Times New Roman" w:cs="Times New Roman"/>
        </w:rPr>
        <w:t>%</w:t>
      </w:r>
      <w:r w:rsidR="00BE3E0A">
        <w:rPr>
          <w:rFonts w:ascii="Times New Roman" w:hAnsi="Times New Roman" w:cs="Times New Roman"/>
        </w:rPr>
        <w:t xml:space="preserve"> in both 2010 and 2013—</w:t>
      </w:r>
      <w:r>
        <w:rPr>
          <w:rFonts w:ascii="Times New Roman" w:hAnsi="Times New Roman" w:cs="Times New Roman"/>
        </w:rPr>
        <w:t>estimated their assets as exceeding $5 million</w:t>
      </w:r>
      <w:r w:rsidRPr="00537498">
        <w:rPr>
          <w:rFonts w:ascii="Times New Roman" w:hAnsi="Times New Roman" w:cs="Times New Roman"/>
        </w:rPr>
        <w:t xml:space="preserve">.  </w:t>
      </w:r>
    </w:p>
    <w:p w14:paraId="290A689D" w14:textId="32A839EB" w:rsidR="008373AC" w:rsidRPr="00933FD2" w:rsidRDefault="008373AC" w:rsidP="00320D25">
      <w:pPr>
        <w:keepNext/>
        <w:keepLines/>
        <w:spacing w:line="480" w:lineRule="auto"/>
        <w:jc w:val="center"/>
        <w:rPr>
          <w:rFonts w:ascii="Times New Roman" w:hAnsi="Times New Roman" w:cs="Times New Roman"/>
          <w:b/>
        </w:rPr>
      </w:pPr>
      <w:r w:rsidRPr="00537498">
        <w:rPr>
          <w:rFonts w:ascii="Times New Roman" w:hAnsi="Times New Roman" w:cs="Times New Roman"/>
          <w:b/>
        </w:rPr>
        <w:t xml:space="preserve">Table </w:t>
      </w:r>
      <w:r w:rsidR="00B35488">
        <w:rPr>
          <w:rFonts w:ascii="Times New Roman" w:hAnsi="Times New Roman" w:cs="Times New Roman"/>
          <w:b/>
        </w:rPr>
        <w:t>2</w:t>
      </w:r>
      <w:r w:rsidR="00296FEB">
        <w:rPr>
          <w:rFonts w:ascii="Times New Roman" w:hAnsi="Times New Roman" w:cs="Times New Roman"/>
          <w:b/>
        </w:rPr>
        <w:t>1</w:t>
      </w:r>
      <w:r w:rsidRPr="00537498">
        <w:rPr>
          <w:rFonts w:ascii="Times New Roman" w:hAnsi="Times New Roman" w:cs="Times New Roman"/>
          <w:b/>
        </w:rPr>
        <w:t>: Estimated Assets and Liabilities</w:t>
      </w:r>
    </w:p>
    <w:tbl>
      <w:tblPr>
        <w:tblStyle w:val="TableGrid"/>
        <w:tblW w:w="8028" w:type="dxa"/>
        <w:tblLook w:val="04A0" w:firstRow="1" w:lastRow="0" w:firstColumn="1" w:lastColumn="0" w:noHBand="0" w:noVBand="1"/>
      </w:tblPr>
      <w:tblGrid>
        <w:gridCol w:w="2538"/>
        <w:gridCol w:w="1350"/>
        <w:gridCol w:w="1440"/>
        <w:gridCol w:w="1440"/>
        <w:gridCol w:w="1260"/>
      </w:tblGrid>
      <w:tr w:rsidR="008373AC" w:rsidRPr="00537498" w14:paraId="19220D90" w14:textId="77777777" w:rsidTr="00296FEB">
        <w:trPr>
          <w:trHeight w:val="300"/>
        </w:trPr>
        <w:tc>
          <w:tcPr>
            <w:tcW w:w="2538" w:type="dxa"/>
            <w:tcBorders>
              <w:top w:val="nil"/>
              <w:left w:val="nil"/>
              <w:bottom w:val="single" w:sz="18" w:space="0" w:color="auto"/>
              <w:right w:val="single" w:sz="18" w:space="0" w:color="auto"/>
            </w:tcBorders>
            <w:noWrap/>
            <w:hideMark/>
          </w:tcPr>
          <w:p w14:paraId="0F5C0D61" w14:textId="77777777" w:rsidR="008373AC" w:rsidRPr="00B026E4" w:rsidRDefault="008373AC" w:rsidP="00320D25">
            <w:pPr>
              <w:keepNext/>
              <w:keepLines/>
              <w:rPr>
                <w:rFonts w:ascii="Times New Roman" w:eastAsia="Times New Roman" w:hAnsi="Times New Roman" w:cs="Times New Roman"/>
                <w:color w:val="000000"/>
              </w:rPr>
            </w:pPr>
          </w:p>
        </w:tc>
        <w:tc>
          <w:tcPr>
            <w:tcW w:w="2790" w:type="dxa"/>
            <w:gridSpan w:val="2"/>
            <w:tcBorders>
              <w:top w:val="single" w:sz="18" w:space="0" w:color="auto"/>
              <w:left w:val="single" w:sz="18" w:space="0" w:color="auto"/>
              <w:bottom w:val="single" w:sz="18" w:space="0" w:color="auto"/>
              <w:right w:val="single" w:sz="18" w:space="0" w:color="auto"/>
            </w:tcBorders>
            <w:noWrap/>
            <w:hideMark/>
          </w:tcPr>
          <w:p w14:paraId="5979FA82" w14:textId="77777777" w:rsidR="008373AC" w:rsidRPr="00B026E4" w:rsidRDefault="008373AC" w:rsidP="00320D25">
            <w:pPr>
              <w:keepNext/>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Assets</w:t>
            </w:r>
          </w:p>
        </w:tc>
        <w:tc>
          <w:tcPr>
            <w:tcW w:w="2700" w:type="dxa"/>
            <w:gridSpan w:val="2"/>
            <w:tcBorders>
              <w:top w:val="single" w:sz="18" w:space="0" w:color="auto"/>
              <w:left w:val="single" w:sz="18" w:space="0" w:color="auto"/>
              <w:bottom w:val="single" w:sz="18" w:space="0" w:color="auto"/>
            </w:tcBorders>
            <w:noWrap/>
            <w:hideMark/>
          </w:tcPr>
          <w:p w14:paraId="378C36E0" w14:textId="77777777" w:rsidR="008373AC" w:rsidRPr="00B026E4" w:rsidRDefault="008373AC" w:rsidP="00320D25">
            <w:pPr>
              <w:keepNext/>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Liabilities</w:t>
            </w:r>
          </w:p>
        </w:tc>
      </w:tr>
      <w:tr w:rsidR="008373AC" w:rsidRPr="00537498" w14:paraId="47E92793" w14:textId="77777777" w:rsidTr="00C459CB">
        <w:trPr>
          <w:trHeight w:val="300"/>
        </w:trPr>
        <w:tc>
          <w:tcPr>
            <w:tcW w:w="2538" w:type="dxa"/>
            <w:tcBorders>
              <w:top w:val="single" w:sz="18" w:space="0" w:color="auto"/>
              <w:right w:val="single" w:sz="18" w:space="0" w:color="auto"/>
            </w:tcBorders>
            <w:noWrap/>
            <w:hideMark/>
          </w:tcPr>
          <w:p w14:paraId="4A6F0D27" w14:textId="77777777" w:rsidR="008373AC" w:rsidRPr="00B026E4" w:rsidRDefault="008373AC" w:rsidP="00320D25">
            <w:pPr>
              <w:keepNext/>
              <w:keepLines/>
              <w:rPr>
                <w:rFonts w:ascii="Times New Roman" w:eastAsia="Times New Roman" w:hAnsi="Times New Roman" w:cs="Times New Roman"/>
                <w:color w:val="000000"/>
              </w:rPr>
            </w:pPr>
          </w:p>
        </w:tc>
        <w:tc>
          <w:tcPr>
            <w:tcW w:w="1350" w:type="dxa"/>
            <w:tcBorders>
              <w:top w:val="single" w:sz="18" w:space="0" w:color="auto"/>
              <w:left w:val="single" w:sz="18" w:space="0" w:color="auto"/>
            </w:tcBorders>
            <w:noWrap/>
            <w:hideMark/>
          </w:tcPr>
          <w:p w14:paraId="215861B8" w14:textId="77777777" w:rsidR="008373AC" w:rsidRPr="00B026E4" w:rsidRDefault="008373AC" w:rsidP="00320D25">
            <w:pPr>
              <w:keepNext/>
              <w:keepLines/>
              <w:jc w:val="right"/>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2010</w:t>
            </w:r>
          </w:p>
        </w:tc>
        <w:tc>
          <w:tcPr>
            <w:tcW w:w="1440" w:type="dxa"/>
            <w:tcBorders>
              <w:top w:val="single" w:sz="18" w:space="0" w:color="auto"/>
              <w:right w:val="single" w:sz="18" w:space="0" w:color="auto"/>
            </w:tcBorders>
            <w:noWrap/>
            <w:hideMark/>
          </w:tcPr>
          <w:p w14:paraId="56A98D6F" w14:textId="77777777" w:rsidR="008373AC" w:rsidRPr="00B026E4" w:rsidRDefault="008373AC" w:rsidP="00320D25">
            <w:pPr>
              <w:keepNext/>
              <w:keepLines/>
              <w:jc w:val="right"/>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2013</w:t>
            </w:r>
          </w:p>
        </w:tc>
        <w:tc>
          <w:tcPr>
            <w:tcW w:w="1440" w:type="dxa"/>
            <w:tcBorders>
              <w:top w:val="single" w:sz="18" w:space="0" w:color="auto"/>
              <w:left w:val="single" w:sz="18" w:space="0" w:color="auto"/>
            </w:tcBorders>
            <w:noWrap/>
            <w:hideMark/>
          </w:tcPr>
          <w:p w14:paraId="41A3C101" w14:textId="77777777" w:rsidR="008373AC" w:rsidRPr="00B026E4" w:rsidRDefault="008373AC" w:rsidP="00320D25">
            <w:pPr>
              <w:keepNext/>
              <w:keepLines/>
              <w:jc w:val="right"/>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2010</w:t>
            </w:r>
          </w:p>
        </w:tc>
        <w:tc>
          <w:tcPr>
            <w:tcW w:w="1260" w:type="dxa"/>
            <w:tcBorders>
              <w:top w:val="single" w:sz="18" w:space="0" w:color="auto"/>
            </w:tcBorders>
            <w:noWrap/>
            <w:hideMark/>
          </w:tcPr>
          <w:p w14:paraId="4230097F" w14:textId="77777777" w:rsidR="008373AC" w:rsidRPr="00B026E4" w:rsidRDefault="008373AC" w:rsidP="00320D25">
            <w:pPr>
              <w:keepNext/>
              <w:keepLines/>
              <w:jc w:val="right"/>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2013</w:t>
            </w:r>
          </w:p>
        </w:tc>
      </w:tr>
      <w:tr w:rsidR="008373AC" w:rsidRPr="00537498" w14:paraId="71CAF7E4" w14:textId="77777777" w:rsidTr="00C459CB">
        <w:trPr>
          <w:trHeight w:val="300"/>
        </w:trPr>
        <w:tc>
          <w:tcPr>
            <w:tcW w:w="2538" w:type="dxa"/>
            <w:tcBorders>
              <w:right w:val="single" w:sz="18" w:space="0" w:color="auto"/>
            </w:tcBorders>
            <w:noWrap/>
            <w:hideMark/>
          </w:tcPr>
          <w:p w14:paraId="56A01575" w14:textId="77777777" w:rsidR="008373AC" w:rsidRPr="00B026E4" w:rsidRDefault="008373AC" w:rsidP="00320D25">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0 to 50K</w:t>
            </w:r>
          </w:p>
        </w:tc>
        <w:tc>
          <w:tcPr>
            <w:tcW w:w="1350" w:type="dxa"/>
            <w:tcBorders>
              <w:left w:val="single" w:sz="18" w:space="0" w:color="auto"/>
            </w:tcBorders>
            <w:noWrap/>
            <w:hideMark/>
          </w:tcPr>
          <w:p w14:paraId="5664084A"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17.4%</w:t>
            </w:r>
          </w:p>
        </w:tc>
        <w:tc>
          <w:tcPr>
            <w:tcW w:w="1440" w:type="dxa"/>
            <w:tcBorders>
              <w:right w:val="single" w:sz="18" w:space="0" w:color="auto"/>
            </w:tcBorders>
            <w:noWrap/>
            <w:hideMark/>
          </w:tcPr>
          <w:p w14:paraId="569ED01B"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14.9%</w:t>
            </w:r>
          </w:p>
        </w:tc>
        <w:tc>
          <w:tcPr>
            <w:tcW w:w="1440" w:type="dxa"/>
            <w:tcBorders>
              <w:left w:val="single" w:sz="18" w:space="0" w:color="auto"/>
            </w:tcBorders>
            <w:noWrap/>
            <w:hideMark/>
          </w:tcPr>
          <w:p w14:paraId="25A271C1"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2.8%</w:t>
            </w:r>
          </w:p>
        </w:tc>
        <w:tc>
          <w:tcPr>
            <w:tcW w:w="1260" w:type="dxa"/>
            <w:noWrap/>
            <w:hideMark/>
          </w:tcPr>
          <w:p w14:paraId="63F2B9B3"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1.8%</w:t>
            </w:r>
          </w:p>
        </w:tc>
      </w:tr>
      <w:tr w:rsidR="008373AC" w:rsidRPr="00537498" w14:paraId="16E1D7FE" w14:textId="77777777" w:rsidTr="00C459CB">
        <w:trPr>
          <w:trHeight w:val="300"/>
        </w:trPr>
        <w:tc>
          <w:tcPr>
            <w:tcW w:w="2538" w:type="dxa"/>
            <w:tcBorders>
              <w:right w:val="single" w:sz="18" w:space="0" w:color="auto"/>
            </w:tcBorders>
            <w:noWrap/>
            <w:hideMark/>
          </w:tcPr>
          <w:p w14:paraId="1294ED4D" w14:textId="77777777" w:rsidR="008373AC" w:rsidRPr="00B026E4" w:rsidRDefault="008373AC" w:rsidP="00320D25">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50K to 100K</w:t>
            </w:r>
          </w:p>
        </w:tc>
        <w:tc>
          <w:tcPr>
            <w:tcW w:w="1350" w:type="dxa"/>
            <w:tcBorders>
              <w:left w:val="single" w:sz="18" w:space="0" w:color="auto"/>
            </w:tcBorders>
            <w:noWrap/>
            <w:hideMark/>
          </w:tcPr>
          <w:p w14:paraId="76606608"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0.9%</w:t>
            </w:r>
          </w:p>
        </w:tc>
        <w:tc>
          <w:tcPr>
            <w:tcW w:w="1440" w:type="dxa"/>
            <w:tcBorders>
              <w:right w:val="single" w:sz="18" w:space="0" w:color="auto"/>
            </w:tcBorders>
            <w:noWrap/>
            <w:hideMark/>
          </w:tcPr>
          <w:p w14:paraId="6B37308C"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0.0%</w:t>
            </w:r>
          </w:p>
        </w:tc>
        <w:tc>
          <w:tcPr>
            <w:tcW w:w="1440" w:type="dxa"/>
            <w:tcBorders>
              <w:left w:val="single" w:sz="18" w:space="0" w:color="auto"/>
            </w:tcBorders>
            <w:noWrap/>
            <w:hideMark/>
          </w:tcPr>
          <w:p w14:paraId="3F4E5D93"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1.8%</w:t>
            </w:r>
          </w:p>
        </w:tc>
        <w:tc>
          <w:tcPr>
            <w:tcW w:w="1260" w:type="dxa"/>
            <w:noWrap/>
            <w:hideMark/>
          </w:tcPr>
          <w:p w14:paraId="3C68ADD7"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1.8%</w:t>
            </w:r>
          </w:p>
        </w:tc>
      </w:tr>
      <w:tr w:rsidR="008373AC" w:rsidRPr="00537498" w14:paraId="3AFFC9CE" w14:textId="77777777" w:rsidTr="00C459CB">
        <w:trPr>
          <w:trHeight w:val="300"/>
        </w:trPr>
        <w:tc>
          <w:tcPr>
            <w:tcW w:w="2538" w:type="dxa"/>
            <w:tcBorders>
              <w:right w:val="single" w:sz="18" w:space="0" w:color="auto"/>
            </w:tcBorders>
            <w:noWrap/>
            <w:hideMark/>
          </w:tcPr>
          <w:p w14:paraId="7127D84D" w14:textId="77777777" w:rsidR="008373AC" w:rsidRPr="00B026E4" w:rsidRDefault="008373AC" w:rsidP="00320D25">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100K to 500K</w:t>
            </w:r>
          </w:p>
        </w:tc>
        <w:tc>
          <w:tcPr>
            <w:tcW w:w="1350" w:type="dxa"/>
            <w:tcBorders>
              <w:left w:val="single" w:sz="18" w:space="0" w:color="auto"/>
            </w:tcBorders>
            <w:noWrap/>
            <w:hideMark/>
          </w:tcPr>
          <w:p w14:paraId="20A2088C"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14.7%</w:t>
            </w:r>
          </w:p>
        </w:tc>
        <w:tc>
          <w:tcPr>
            <w:tcW w:w="1440" w:type="dxa"/>
            <w:tcBorders>
              <w:right w:val="single" w:sz="18" w:space="0" w:color="auto"/>
            </w:tcBorders>
            <w:noWrap/>
            <w:hideMark/>
          </w:tcPr>
          <w:p w14:paraId="032E9F08"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18.4%</w:t>
            </w:r>
          </w:p>
        </w:tc>
        <w:tc>
          <w:tcPr>
            <w:tcW w:w="1440" w:type="dxa"/>
            <w:tcBorders>
              <w:left w:val="single" w:sz="18" w:space="0" w:color="auto"/>
            </w:tcBorders>
            <w:noWrap/>
            <w:hideMark/>
          </w:tcPr>
          <w:p w14:paraId="2E97A3EA"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4.6%</w:t>
            </w:r>
          </w:p>
        </w:tc>
        <w:tc>
          <w:tcPr>
            <w:tcW w:w="1260" w:type="dxa"/>
            <w:noWrap/>
            <w:hideMark/>
          </w:tcPr>
          <w:p w14:paraId="0A780FB8"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10.5%</w:t>
            </w:r>
          </w:p>
        </w:tc>
      </w:tr>
      <w:tr w:rsidR="008373AC" w:rsidRPr="00537498" w14:paraId="593EDFAB" w14:textId="77777777" w:rsidTr="00C459CB">
        <w:trPr>
          <w:trHeight w:val="300"/>
        </w:trPr>
        <w:tc>
          <w:tcPr>
            <w:tcW w:w="2538" w:type="dxa"/>
            <w:tcBorders>
              <w:right w:val="single" w:sz="18" w:space="0" w:color="auto"/>
            </w:tcBorders>
            <w:noWrap/>
            <w:hideMark/>
          </w:tcPr>
          <w:p w14:paraId="01EDB403" w14:textId="77777777" w:rsidR="008373AC" w:rsidRPr="00B026E4" w:rsidRDefault="008373AC" w:rsidP="00320D25">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500K to 1M</w:t>
            </w:r>
          </w:p>
        </w:tc>
        <w:tc>
          <w:tcPr>
            <w:tcW w:w="1350" w:type="dxa"/>
            <w:tcBorders>
              <w:left w:val="single" w:sz="18" w:space="0" w:color="auto"/>
            </w:tcBorders>
            <w:noWrap/>
            <w:hideMark/>
          </w:tcPr>
          <w:p w14:paraId="171F9835"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11.9%</w:t>
            </w:r>
          </w:p>
        </w:tc>
        <w:tc>
          <w:tcPr>
            <w:tcW w:w="1440" w:type="dxa"/>
            <w:tcBorders>
              <w:right w:val="single" w:sz="18" w:space="0" w:color="auto"/>
            </w:tcBorders>
            <w:noWrap/>
            <w:hideMark/>
          </w:tcPr>
          <w:p w14:paraId="321ED6D0"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31.6%</w:t>
            </w:r>
          </w:p>
        </w:tc>
        <w:tc>
          <w:tcPr>
            <w:tcW w:w="1440" w:type="dxa"/>
            <w:tcBorders>
              <w:left w:val="single" w:sz="18" w:space="0" w:color="auto"/>
            </w:tcBorders>
            <w:noWrap/>
            <w:hideMark/>
          </w:tcPr>
          <w:p w14:paraId="6423C4D3"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14.7%</w:t>
            </w:r>
          </w:p>
        </w:tc>
        <w:tc>
          <w:tcPr>
            <w:tcW w:w="1260" w:type="dxa"/>
            <w:noWrap/>
            <w:hideMark/>
          </w:tcPr>
          <w:p w14:paraId="4B42B5A2"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21.9%</w:t>
            </w:r>
          </w:p>
        </w:tc>
      </w:tr>
      <w:tr w:rsidR="008373AC" w:rsidRPr="00537498" w14:paraId="4C1B9E5C" w14:textId="77777777" w:rsidTr="00C459CB">
        <w:trPr>
          <w:trHeight w:val="300"/>
        </w:trPr>
        <w:tc>
          <w:tcPr>
            <w:tcW w:w="2538" w:type="dxa"/>
            <w:tcBorders>
              <w:right w:val="single" w:sz="18" w:space="0" w:color="auto"/>
            </w:tcBorders>
            <w:noWrap/>
            <w:hideMark/>
          </w:tcPr>
          <w:p w14:paraId="5C177877" w14:textId="77777777" w:rsidR="008373AC" w:rsidRPr="00B026E4" w:rsidRDefault="008373AC" w:rsidP="00320D25">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1M to 5M</w:t>
            </w:r>
          </w:p>
        </w:tc>
        <w:tc>
          <w:tcPr>
            <w:tcW w:w="1350" w:type="dxa"/>
            <w:tcBorders>
              <w:left w:val="single" w:sz="18" w:space="0" w:color="auto"/>
            </w:tcBorders>
            <w:noWrap/>
            <w:hideMark/>
          </w:tcPr>
          <w:p w14:paraId="0B7542CD"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48.6%</w:t>
            </w:r>
          </w:p>
        </w:tc>
        <w:tc>
          <w:tcPr>
            <w:tcW w:w="1440" w:type="dxa"/>
            <w:tcBorders>
              <w:right w:val="single" w:sz="18" w:space="0" w:color="auto"/>
            </w:tcBorders>
            <w:noWrap/>
            <w:hideMark/>
          </w:tcPr>
          <w:p w14:paraId="2C907696"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30.7%</w:t>
            </w:r>
          </w:p>
        </w:tc>
        <w:tc>
          <w:tcPr>
            <w:tcW w:w="1440" w:type="dxa"/>
            <w:tcBorders>
              <w:left w:val="single" w:sz="18" w:space="0" w:color="auto"/>
            </w:tcBorders>
            <w:noWrap/>
            <w:hideMark/>
          </w:tcPr>
          <w:p w14:paraId="3D22103D"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67.0%</w:t>
            </w:r>
          </w:p>
        </w:tc>
        <w:tc>
          <w:tcPr>
            <w:tcW w:w="1260" w:type="dxa"/>
            <w:noWrap/>
            <w:hideMark/>
          </w:tcPr>
          <w:p w14:paraId="5ED5D364"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55.3%</w:t>
            </w:r>
          </w:p>
        </w:tc>
      </w:tr>
      <w:tr w:rsidR="008373AC" w:rsidRPr="00537498" w14:paraId="26BB1FC3" w14:textId="77777777" w:rsidTr="00C459CB">
        <w:trPr>
          <w:trHeight w:val="300"/>
        </w:trPr>
        <w:tc>
          <w:tcPr>
            <w:tcW w:w="2538" w:type="dxa"/>
            <w:tcBorders>
              <w:right w:val="single" w:sz="18" w:space="0" w:color="auto"/>
            </w:tcBorders>
            <w:noWrap/>
            <w:hideMark/>
          </w:tcPr>
          <w:p w14:paraId="5A971300" w14:textId="77777777" w:rsidR="008373AC" w:rsidRPr="00B026E4" w:rsidRDefault="008373AC" w:rsidP="00320D25">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5M to 10M</w:t>
            </w:r>
          </w:p>
        </w:tc>
        <w:tc>
          <w:tcPr>
            <w:tcW w:w="1350" w:type="dxa"/>
            <w:tcBorders>
              <w:left w:val="single" w:sz="18" w:space="0" w:color="auto"/>
            </w:tcBorders>
            <w:noWrap/>
            <w:hideMark/>
          </w:tcPr>
          <w:p w14:paraId="70C0D032"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0.0%</w:t>
            </w:r>
          </w:p>
        </w:tc>
        <w:tc>
          <w:tcPr>
            <w:tcW w:w="1440" w:type="dxa"/>
            <w:tcBorders>
              <w:right w:val="single" w:sz="18" w:space="0" w:color="auto"/>
            </w:tcBorders>
            <w:noWrap/>
            <w:hideMark/>
          </w:tcPr>
          <w:p w14:paraId="30000F44"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0.0%</w:t>
            </w:r>
          </w:p>
        </w:tc>
        <w:tc>
          <w:tcPr>
            <w:tcW w:w="1440" w:type="dxa"/>
            <w:tcBorders>
              <w:left w:val="single" w:sz="18" w:space="0" w:color="auto"/>
            </w:tcBorders>
            <w:noWrap/>
            <w:hideMark/>
          </w:tcPr>
          <w:p w14:paraId="0D567C59"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0.0%</w:t>
            </w:r>
          </w:p>
        </w:tc>
        <w:tc>
          <w:tcPr>
            <w:tcW w:w="1260" w:type="dxa"/>
            <w:noWrap/>
            <w:hideMark/>
          </w:tcPr>
          <w:p w14:paraId="49ED113D"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0.0%</w:t>
            </w:r>
          </w:p>
        </w:tc>
      </w:tr>
      <w:tr w:rsidR="008373AC" w:rsidRPr="00537498" w14:paraId="432DF448" w14:textId="77777777" w:rsidTr="00C459CB">
        <w:trPr>
          <w:trHeight w:val="300"/>
        </w:trPr>
        <w:tc>
          <w:tcPr>
            <w:tcW w:w="2538" w:type="dxa"/>
            <w:tcBorders>
              <w:right w:val="single" w:sz="18" w:space="0" w:color="auto"/>
            </w:tcBorders>
            <w:noWrap/>
            <w:hideMark/>
          </w:tcPr>
          <w:p w14:paraId="73BE4411" w14:textId="77777777" w:rsidR="008373AC" w:rsidRPr="00B026E4" w:rsidRDefault="008373AC" w:rsidP="00320D25">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10M to 50M</w:t>
            </w:r>
          </w:p>
        </w:tc>
        <w:tc>
          <w:tcPr>
            <w:tcW w:w="1350" w:type="dxa"/>
            <w:tcBorders>
              <w:left w:val="single" w:sz="18" w:space="0" w:color="auto"/>
            </w:tcBorders>
            <w:noWrap/>
            <w:hideMark/>
          </w:tcPr>
          <w:p w14:paraId="65464446"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3.7%</w:t>
            </w:r>
          </w:p>
        </w:tc>
        <w:tc>
          <w:tcPr>
            <w:tcW w:w="1440" w:type="dxa"/>
            <w:tcBorders>
              <w:right w:val="single" w:sz="18" w:space="0" w:color="auto"/>
            </w:tcBorders>
            <w:noWrap/>
            <w:hideMark/>
          </w:tcPr>
          <w:p w14:paraId="53B61442"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2.6%</w:t>
            </w:r>
          </w:p>
        </w:tc>
        <w:tc>
          <w:tcPr>
            <w:tcW w:w="1440" w:type="dxa"/>
            <w:tcBorders>
              <w:left w:val="single" w:sz="18" w:space="0" w:color="auto"/>
            </w:tcBorders>
            <w:noWrap/>
            <w:hideMark/>
          </w:tcPr>
          <w:p w14:paraId="0B341839"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5.5%</w:t>
            </w:r>
          </w:p>
        </w:tc>
        <w:tc>
          <w:tcPr>
            <w:tcW w:w="1260" w:type="dxa"/>
            <w:noWrap/>
            <w:hideMark/>
          </w:tcPr>
          <w:p w14:paraId="6891F9ED"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7.9%</w:t>
            </w:r>
          </w:p>
        </w:tc>
      </w:tr>
      <w:tr w:rsidR="008373AC" w:rsidRPr="00537498" w14:paraId="4071A66B" w14:textId="77777777" w:rsidTr="00C459CB">
        <w:trPr>
          <w:trHeight w:val="300"/>
        </w:trPr>
        <w:tc>
          <w:tcPr>
            <w:tcW w:w="2538" w:type="dxa"/>
            <w:tcBorders>
              <w:right w:val="single" w:sz="18" w:space="0" w:color="auto"/>
            </w:tcBorders>
            <w:noWrap/>
            <w:hideMark/>
          </w:tcPr>
          <w:p w14:paraId="5501394F" w14:textId="77777777" w:rsidR="008373AC" w:rsidRPr="00B026E4" w:rsidRDefault="008373AC" w:rsidP="00320D25">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50M and above</w:t>
            </w:r>
          </w:p>
        </w:tc>
        <w:tc>
          <w:tcPr>
            <w:tcW w:w="1350" w:type="dxa"/>
            <w:tcBorders>
              <w:left w:val="single" w:sz="18" w:space="0" w:color="auto"/>
            </w:tcBorders>
            <w:noWrap/>
            <w:hideMark/>
          </w:tcPr>
          <w:p w14:paraId="2B006CA8"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0.0%</w:t>
            </w:r>
          </w:p>
        </w:tc>
        <w:tc>
          <w:tcPr>
            <w:tcW w:w="1440" w:type="dxa"/>
            <w:tcBorders>
              <w:right w:val="single" w:sz="18" w:space="0" w:color="auto"/>
            </w:tcBorders>
            <w:noWrap/>
            <w:hideMark/>
          </w:tcPr>
          <w:p w14:paraId="4A554485"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0.0%</w:t>
            </w:r>
          </w:p>
        </w:tc>
        <w:tc>
          <w:tcPr>
            <w:tcW w:w="1440" w:type="dxa"/>
            <w:tcBorders>
              <w:left w:val="single" w:sz="18" w:space="0" w:color="auto"/>
            </w:tcBorders>
            <w:noWrap/>
            <w:hideMark/>
          </w:tcPr>
          <w:p w14:paraId="443273D7"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0.9%</w:t>
            </w:r>
          </w:p>
        </w:tc>
        <w:tc>
          <w:tcPr>
            <w:tcW w:w="1260" w:type="dxa"/>
            <w:noWrap/>
            <w:hideMark/>
          </w:tcPr>
          <w:p w14:paraId="5E92CA8F"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0.0%</w:t>
            </w:r>
          </w:p>
        </w:tc>
      </w:tr>
      <w:tr w:rsidR="008373AC" w:rsidRPr="00537498" w14:paraId="5C2CF605" w14:textId="77777777" w:rsidTr="00C459CB">
        <w:trPr>
          <w:trHeight w:val="300"/>
        </w:trPr>
        <w:tc>
          <w:tcPr>
            <w:tcW w:w="2538" w:type="dxa"/>
            <w:tcBorders>
              <w:right w:val="single" w:sz="18" w:space="0" w:color="auto"/>
            </w:tcBorders>
            <w:noWrap/>
            <w:hideMark/>
          </w:tcPr>
          <w:p w14:paraId="630A21DF" w14:textId="77777777" w:rsidR="008373AC" w:rsidRPr="00B026E4" w:rsidRDefault="008373AC" w:rsidP="00320D25">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n/a</w:t>
            </w:r>
          </w:p>
        </w:tc>
        <w:tc>
          <w:tcPr>
            <w:tcW w:w="1350" w:type="dxa"/>
            <w:tcBorders>
              <w:left w:val="single" w:sz="18" w:space="0" w:color="auto"/>
            </w:tcBorders>
            <w:noWrap/>
            <w:hideMark/>
          </w:tcPr>
          <w:p w14:paraId="16C26166"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2.8%</w:t>
            </w:r>
          </w:p>
        </w:tc>
        <w:tc>
          <w:tcPr>
            <w:tcW w:w="1440" w:type="dxa"/>
            <w:tcBorders>
              <w:right w:val="single" w:sz="18" w:space="0" w:color="auto"/>
            </w:tcBorders>
            <w:noWrap/>
            <w:hideMark/>
          </w:tcPr>
          <w:p w14:paraId="3A1F436C"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1.8%</w:t>
            </w:r>
          </w:p>
        </w:tc>
        <w:tc>
          <w:tcPr>
            <w:tcW w:w="1440" w:type="dxa"/>
            <w:tcBorders>
              <w:left w:val="single" w:sz="18" w:space="0" w:color="auto"/>
            </w:tcBorders>
            <w:noWrap/>
            <w:hideMark/>
          </w:tcPr>
          <w:p w14:paraId="5C6A5701"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2.8%</w:t>
            </w:r>
          </w:p>
        </w:tc>
        <w:tc>
          <w:tcPr>
            <w:tcW w:w="1260" w:type="dxa"/>
            <w:noWrap/>
            <w:hideMark/>
          </w:tcPr>
          <w:p w14:paraId="7698BA38" w14:textId="77777777" w:rsidR="008373AC" w:rsidRPr="00B026E4" w:rsidRDefault="008373AC" w:rsidP="00320D25">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0.9%</w:t>
            </w:r>
          </w:p>
        </w:tc>
      </w:tr>
    </w:tbl>
    <w:p w14:paraId="43E70B70" w14:textId="77777777" w:rsidR="008373AC" w:rsidRPr="00537498" w:rsidRDefault="008373AC" w:rsidP="008373AC">
      <w:pPr>
        <w:rPr>
          <w:rFonts w:ascii="Times New Roman" w:hAnsi="Times New Roman" w:cs="Times New Roman"/>
        </w:rPr>
      </w:pPr>
    </w:p>
    <w:p w14:paraId="11AE9790" w14:textId="73B57BB0" w:rsidR="008373AC" w:rsidRPr="00537498" w:rsidRDefault="003A5413" w:rsidP="008373AC">
      <w:pPr>
        <w:spacing w:line="480" w:lineRule="auto"/>
        <w:ind w:firstLine="720"/>
        <w:rPr>
          <w:rFonts w:ascii="Times New Roman" w:hAnsi="Times New Roman" w:cs="Times New Roman"/>
        </w:rPr>
      </w:pPr>
      <w:r>
        <w:rPr>
          <w:rFonts w:ascii="Times New Roman" w:hAnsi="Times New Roman" w:cs="Times New Roman"/>
        </w:rPr>
        <w:t xml:space="preserve">Finally, </w:t>
      </w:r>
      <w:r w:rsidR="008373AC">
        <w:rPr>
          <w:rFonts w:ascii="Times New Roman" w:hAnsi="Times New Roman" w:cs="Times New Roman"/>
        </w:rPr>
        <w:t xml:space="preserve">Table </w:t>
      </w:r>
      <w:r w:rsidR="00B35488">
        <w:rPr>
          <w:rFonts w:ascii="Times New Roman" w:hAnsi="Times New Roman" w:cs="Times New Roman"/>
        </w:rPr>
        <w:t>2</w:t>
      </w:r>
      <w:r w:rsidR="00296FEB">
        <w:rPr>
          <w:rFonts w:ascii="Times New Roman" w:hAnsi="Times New Roman" w:cs="Times New Roman"/>
        </w:rPr>
        <w:t>2</w:t>
      </w:r>
      <w:r w:rsidR="008373AC">
        <w:rPr>
          <w:rFonts w:ascii="Times New Roman" w:hAnsi="Times New Roman" w:cs="Times New Roman"/>
        </w:rPr>
        <w:t xml:space="preserve"> provides the debtors’ response</w:t>
      </w:r>
      <w:r w:rsidR="00EC72CC">
        <w:rPr>
          <w:rFonts w:ascii="Times New Roman" w:hAnsi="Times New Roman" w:cs="Times New Roman"/>
        </w:rPr>
        <w:t>s</w:t>
      </w:r>
      <w:r w:rsidR="008373AC">
        <w:rPr>
          <w:rFonts w:ascii="Times New Roman" w:hAnsi="Times New Roman" w:cs="Times New Roman"/>
        </w:rPr>
        <w:t xml:space="preserve"> to the question on the petition as to whether assets will be available to pay </w:t>
      </w:r>
      <w:r>
        <w:rPr>
          <w:rFonts w:ascii="Times New Roman" w:hAnsi="Times New Roman" w:cs="Times New Roman"/>
        </w:rPr>
        <w:t xml:space="preserve">a dividend to </w:t>
      </w:r>
      <w:r w:rsidR="008373AC">
        <w:rPr>
          <w:rFonts w:ascii="Times New Roman" w:hAnsi="Times New Roman" w:cs="Times New Roman"/>
        </w:rPr>
        <w:t xml:space="preserve">general unsecured creditors. As the data in Table </w:t>
      </w:r>
      <w:r w:rsidR="00B35488">
        <w:rPr>
          <w:rFonts w:ascii="Times New Roman" w:hAnsi="Times New Roman" w:cs="Times New Roman"/>
        </w:rPr>
        <w:t>2</w:t>
      </w:r>
      <w:r w:rsidR="00296FEB">
        <w:rPr>
          <w:rFonts w:ascii="Times New Roman" w:hAnsi="Times New Roman" w:cs="Times New Roman"/>
        </w:rPr>
        <w:t>2</w:t>
      </w:r>
      <w:r w:rsidR="008373AC">
        <w:rPr>
          <w:rFonts w:ascii="Times New Roman" w:hAnsi="Times New Roman" w:cs="Times New Roman"/>
        </w:rPr>
        <w:t xml:space="preserve"> reveal, debtors </w:t>
      </w:r>
      <w:r w:rsidR="002512A8">
        <w:rPr>
          <w:rFonts w:ascii="Times New Roman" w:hAnsi="Times New Roman" w:cs="Times New Roman"/>
        </w:rPr>
        <w:t>were</w:t>
      </w:r>
      <w:r w:rsidR="008373AC">
        <w:rPr>
          <w:rFonts w:ascii="Times New Roman" w:hAnsi="Times New Roman" w:cs="Times New Roman"/>
        </w:rPr>
        <w:t xml:space="preserve"> quite optimistic about their ability to pay </w:t>
      </w:r>
      <w:r>
        <w:rPr>
          <w:rFonts w:ascii="Times New Roman" w:hAnsi="Times New Roman" w:cs="Times New Roman"/>
        </w:rPr>
        <w:t xml:space="preserve">such a </w:t>
      </w:r>
      <w:r w:rsidR="008373AC">
        <w:rPr>
          <w:rFonts w:ascii="Times New Roman" w:hAnsi="Times New Roman" w:cs="Times New Roman"/>
        </w:rPr>
        <w:t>dividend; approximately 77% of debtors in both 2010 and 2013 checked the box on the petition indicating that funds would be available to pay unsecured creditors.</w:t>
      </w:r>
      <w:bookmarkStart w:id="21" w:name="_Ref333781806"/>
      <w:r w:rsidR="008373AC">
        <w:rPr>
          <w:rStyle w:val="FootnoteReference"/>
          <w:rFonts w:ascii="Times New Roman" w:hAnsi="Times New Roman" w:cs="Times New Roman"/>
        </w:rPr>
        <w:footnoteReference w:id="147"/>
      </w:r>
      <w:bookmarkEnd w:id="21"/>
      <w:r w:rsidR="008373AC">
        <w:rPr>
          <w:rFonts w:ascii="Times New Roman" w:hAnsi="Times New Roman" w:cs="Times New Roman"/>
        </w:rPr>
        <w:t xml:space="preserve"> We cannot determine whether this optimism at filing bears out in the ultimate payout made to unsecured creditors.</w:t>
      </w:r>
    </w:p>
    <w:p w14:paraId="71F93AEA" w14:textId="686DABB0" w:rsidR="008373AC" w:rsidRPr="00537498" w:rsidRDefault="008373AC" w:rsidP="00F702D9">
      <w:pPr>
        <w:keepNext/>
        <w:keepLines/>
        <w:spacing w:line="480" w:lineRule="auto"/>
        <w:jc w:val="center"/>
        <w:rPr>
          <w:rFonts w:ascii="Times New Roman" w:hAnsi="Times New Roman" w:cs="Times New Roman"/>
          <w:b/>
        </w:rPr>
      </w:pPr>
      <w:r w:rsidRPr="00537498">
        <w:rPr>
          <w:rFonts w:ascii="Times New Roman" w:hAnsi="Times New Roman" w:cs="Times New Roman"/>
          <w:b/>
        </w:rPr>
        <w:t xml:space="preserve">Table </w:t>
      </w:r>
      <w:r w:rsidR="00B35488">
        <w:rPr>
          <w:rFonts w:ascii="Times New Roman" w:hAnsi="Times New Roman" w:cs="Times New Roman"/>
          <w:b/>
        </w:rPr>
        <w:t>2</w:t>
      </w:r>
      <w:r w:rsidR="00296FEB">
        <w:rPr>
          <w:rFonts w:ascii="Times New Roman" w:hAnsi="Times New Roman" w:cs="Times New Roman"/>
          <w:b/>
        </w:rPr>
        <w:t>2</w:t>
      </w:r>
      <w:r w:rsidRPr="00537498">
        <w:rPr>
          <w:rFonts w:ascii="Times New Roman" w:hAnsi="Times New Roman" w:cs="Times New Roman"/>
          <w:b/>
        </w:rPr>
        <w:t>: Assets Available for General Creditors</w:t>
      </w:r>
      <w:r w:rsidR="00E2678D">
        <w:rPr>
          <w:rFonts w:ascii="Times New Roman" w:hAnsi="Times New Roman" w:cs="Times New Roman"/>
          <w:b/>
        </w:rPr>
        <w:t>—</w:t>
      </w:r>
      <w:r w:rsidR="0056738F">
        <w:rPr>
          <w:rFonts w:ascii="Times New Roman" w:hAnsi="Times New Roman" w:cs="Times New Roman"/>
          <w:b/>
        </w:rPr>
        <w:t>Random Sample</w:t>
      </w:r>
    </w:p>
    <w:tbl>
      <w:tblPr>
        <w:tblStyle w:val="TableGrid"/>
        <w:tblW w:w="7380" w:type="dxa"/>
        <w:tblInd w:w="738" w:type="dxa"/>
        <w:tblLook w:val="04A0" w:firstRow="1" w:lastRow="0" w:firstColumn="1" w:lastColumn="0" w:noHBand="0" w:noVBand="1"/>
      </w:tblPr>
      <w:tblGrid>
        <w:gridCol w:w="3870"/>
        <w:gridCol w:w="1980"/>
        <w:gridCol w:w="1530"/>
      </w:tblGrid>
      <w:tr w:rsidR="008373AC" w:rsidRPr="00537498" w14:paraId="6E47EBE4" w14:textId="77777777" w:rsidTr="0056738F">
        <w:trPr>
          <w:trHeight w:val="300"/>
        </w:trPr>
        <w:tc>
          <w:tcPr>
            <w:tcW w:w="3870" w:type="dxa"/>
            <w:tcBorders>
              <w:top w:val="nil"/>
              <w:left w:val="nil"/>
              <w:bottom w:val="single" w:sz="18" w:space="0" w:color="auto"/>
              <w:right w:val="single" w:sz="18" w:space="0" w:color="auto"/>
            </w:tcBorders>
            <w:noWrap/>
            <w:hideMark/>
          </w:tcPr>
          <w:p w14:paraId="0156076A" w14:textId="77777777" w:rsidR="008373AC" w:rsidRPr="00B026E4" w:rsidRDefault="008373AC" w:rsidP="00F702D9">
            <w:pPr>
              <w:keepNext/>
              <w:keepLines/>
              <w:rPr>
                <w:rFonts w:ascii="Times New Roman" w:eastAsia="Times New Roman" w:hAnsi="Times New Roman" w:cs="Times New Roman"/>
                <w:color w:val="000000"/>
              </w:rPr>
            </w:pPr>
          </w:p>
        </w:tc>
        <w:tc>
          <w:tcPr>
            <w:tcW w:w="1980" w:type="dxa"/>
            <w:tcBorders>
              <w:top w:val="single" w:sz="18" w:space="0" w:color="auto"/>
              <w:left w:val="single" w:sz="18" w:space="0" w:color="auto"/>
              <w:bottom w:val="single" w:sz="18" w:space="0" w:color="auto"/>
              <w:right w:val="single" w:sz="18" w:space="0" w:color="auto"/>
            </w:tcBorders>
            <w:noWrap/>
            <w:hideMark/>
          </w:tcPr>
          <w:p w14:paraId="5C673044" w14:textId="77777777" w:rsidR="008373AC" w:rsidRPr="00B026E4" w:rsidRDefault="008373AC" w:rsidP="00F702D9">
            <w:pPr>
              <w:keepNext/>
              <w:keepLines/>
              <w:jc w:val="right"/>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2010</w:t>
            </w:r>
          </w:p>
        </w:tc>
        <w:tc>
          <w:tcPr>
            <w:tcW w:w="1530" w:type="dxa"/>
            <w:tcBorders>
              <w:top w:val="single" w:sz="18" w:space="0" w:color="auto"/>
              <w:left w:val="single" w:sz="18" w:space="0" w:color="auto"/>
              <w:bottom w:val="single" w:sz="18" w:space="0" w:color="auto"/>
              <w:right w:val="single" w:sz="18" w:space="0" w:color="auto"/>
            </w:tcBorders>
            <w:noWrap/>
            <w:hideMark/>
          </w:tcPr>
          <w:p w14:paraId="7DB39AD5" w14:textId="77777777" w:rsidR="008373AC" w:rsidRPr="00B026E4" w:rsidRDefault="008373AC" w:rsidP="00F702D9">
            <w:pPr>
              <w:keepNext/>
              <w:keepLines/>
              <w:jc w:val="right"/>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2013</w:t>
            </w:r>
          </w:p>
        </w:tc>
      </w:tr>
      <w:tr w:rsidR="008373AC" w:rsidRPr="00537498" w14:paraId="6F26E244" w14:textId="77777777" w:rsidTr="0056738F">
        <w:trPr>
          <w:trHeight w:val="300"/>
        </w:trPr>
        <w:tc>
          <w:tcPr>
            <w:tcW w:w="3870" w:type="dxa"/>
            <w:tcBorders>
              <w:top w:val="single" w:sz="18" w:space="0" w:color="auto"/>
              <w:right w:val="single" w:sz="18" w:space="0" w:color="auto"/>
            </w:tcBorders>
            <w:noWrap/>
            <w:hideMark/>
          </w:tcPr>
          <w:p w14:paraId="58317640" w14:textId="77777777" w:rsidR="008373AC" w:rsidRPr="00B026E4" w:rsidRDefault="008373AC" w:rsidP="00F702D9">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Asset</w:t>
            </w:r>
          </w:p>
        </w:tc>
        <w:tc>
          <w:tcPr>
            <w:tcW w:w="1980" w:type="dxa"/>
            <w:tcBorders>
              <w:top w:val="single" w:sz="18" w:space="0" w:color="auto"/>
              <w:left w:val="single" w:sz="18" w:space="0" w:color="auto"/>
              <w:right w:val="single" w:sz="18" w:space="0" w:color="auto"/>
            </w:tcBorders>
            <w:noWrap/>
            <w:hideMark/>
          </w:tcPr>
          <w:p w14:paraId="7C9248CB" w14:textId="77777777" w:rsidR="008373AC" w:rsidRPr="00B026E4" w:rsidRDefault="008373AC" w:rsidP="00F702D9">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77.1%</w:t>
            </w:r>
          </w:p>
        </w:tc>
        <w:tc>
          <w:tcPr>
            <w:tcW w:w="1530" w:type="dxa"/>
            <w:tcBorders>
              <w:top w:val="single" w:sz="18" w:space="0" w:color="auto"/>
              <w:left w:val="single" w:sz="18" w:space="0" w:color="auto"/>
              <w:right w:val="single" w:sz="18" w:space="0" w:color="auto"/>
            </w:tcBorders>
            <w:noWrap/>
            <w:hideMark/>
          </w:tcPr>
          <w:p w14:paraId="12FF81E5" w14:textId="77777777" w:rsidR="008373AC" w:rsidRPr="00B026E4" w:rsidRDefault="008373AC" w:rsidP="00F702D9">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77.2%</w:t>
            </w:r>
          </w:p>
        </w:tc>
      </w:tr>
      <w:tr w:rsidR="008373AC" w:rsidRPr="00537498" w14:paraId="2851E730" w14:textId="77777777" w:rsidTr="0056738F">
        <w:trPr>
          <w:trHeight w:val="300"/>
        </w:trPr>
        <w:tc>
          <w:tcPr>
            <w:tcW w:w="3870" w:type="dxa"/>
            <w:tcBorders>
              <w:right w:val="single" w:sz="18" w:space="0" w:color="auto"/>
            </w:tcBorders>
            <w:noWrap/>
            <w:hideMark/>
          </w:tcPr>
          <w:p w14:paraId="41C32DC2" w14:textId="77777777" w:rsidR="008373AC" w:rsidRPr="00B026E4" w:rsidRDefault="008373AC" w:rsidP="00F702D9">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No Asset</w:t>
            </w:r>
          </w:p>
        </w:tc>
        <w:tc>
          <w:tcPr>
            <w:tcW w:w="1980" w:type="dxa"/>
            <w:tcBorders>
              <w:left w:val="single" w:sz="18" w:space="0" w:color="auto"/>
              <w:right w:val="single" w:sz="18" w:space="0" w:color="auto"/>
            </w:tcBorders>
            <w:noWrap/>
            <w:hideMark/>
          </w:tcPr>
          <w:p w14:paraId="77BF4A68" w14:textId="77777777" w:rsidR="008373AC" w:rsidRPr="00B026E4" w:rsidRDefault="008373AC" w:rsidP="00F702D9">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17.4%</w:t>
            </w:r>
          </w:p>
        </w:tc>
        <w:tc>
          <w:tcPr>
            <w:tcW w:w="1530" w:type="dxa"/>
            <w:tcBorders>
              <w:left w:val="single" w:sz="18" w:space="0" w:color="auto"/>
              <w:right w:val="single" w:sz="18" w:space="0" w:color="auto"/>
            </w:tcBorders>
            <w:noWrap/>
            <w:hideMark/>
          </w:tcPr>
          <w:p w14:paraId="00967D4F" w14:textId="77777777" w:rsidR="008373AC" w:rsidRPr="00B026E4" w:rsidRDefault="008373AC" w:rsidP="00F702D9">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21.1%</w:t>
            </w:r>
          </w:p>
        </w:tc>
      </w:tr>
      <w:tr w:rsidR="008373AC" w:rsidRPr="00537498" w14:paraId="32E6448D" w14:textId="77777777" w:rsidTr="0056738F">
        <w:trPr>
          <w:trHeight w:val="300"/>
        </w:trPr>
        <w:tc>
          <w:tcPr>
            <w:tcW w:w="3870" w:type="dxa"/>
            <w:tcBorders>
              <w:right w:val="single" w:sz="18" w:space="0" w:color="auto"/>
            </w:tcBorders>
            <w:noWrap/>
            <w:hideMark/>
          </w:tcPr>
          <w:p w14:paraId="691EEBB6" w14:textId="77777777" w:rsidR="008373AC" w:rsidRPr="00B026E4" w:rsidRDefault="008373AC" w:rsidP="00F702D9">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Unknown</w:t>
            </w:r>
          </w:p>
        </w:tc>
        <w:tc>
          <w:tcPr>
            <w:tcW w:w="1980" w:type="dxa"/>
            <w:tcBorders>
              <w:left w:val="single" w:sz="18" w:space="0" w:color="auto"/>
              <w:right w:val="single" w:sz="18" w:space="0" w:color="auto"/>
            </w:tcBorders>
            <w:noWrap/>
            <w:hideMark/>
          </w:tcPr>
          <w:p w14:paraId="62459133" w14:textId="77777777" w:rsidR="008373AC" w:rsidRPr="00B026E4" w:rsidRDefault="008373AC" w:rsidP="00F702D9">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5.5%</w:t>
            </w:r>
          </w:p>
        </w:tc>
        <w:tc>
          <w:tcPr>
            <w:tcW w:w="1530" w:type="dxa"/>
            <w:tcBorders>
              <w:left w:val="single" w:sz="18" w:space="0" w:color="auto"/>
              <w:right w:val="single" w:sz="18" w:space="0" w:color="auto"/>
            </w:tcBorders>
            <w:noWrap/>
            <w:hideMark/>
          </w:tcPr>
          <w:p w14:paraId="21E03F39" w14:textId="77777777" w:rsidR="008373AC" w:rsidRPr="00B026E4" w:rsidRDefault="008373AC" w:rsidP="00F702D9">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1.8%</w:t>
            </w:r>
          </w:p>
        </w:tc>
      </w:tr>
    </w:tbl>
    <w:p w14:paraId="46E09CB4" w14:textId="77777777" w:rsidR="008373AC" w:rsidRPr="00537498" w:rsidRDefault="008373AC" w:rsidP="008373AC">
      <w:pPr>
        <w:ind w:firstLine="720"/>
        <w:rPr>
          <w:rFonts w:ascii="Times New Roman" w:hAnsi="Times New Roman" w:cs="Times New Roman"/>
        </w:rPr>
      </w:pPr>
    </w:p>
    <w:p w14:paraId="31E88A2C" w14:textId="77777777" w:rsidR="008373AC" w:rsidRPr="00B026E4" w:rsidRDefault="008373AC" w:rsidP="008373AC">
      <w:pPr>
        <w:spacing w:line="480" w:lineRule="auto"/>
        <w:rPr>
          <w:rFonts w:ascii="Times New Roman" w:hAnsi="Times New Roman" w:cs="Times New Roman"/>
          <w:b/>
        </w:rPr>
      </w:pPr>
      <w:r w:rsidRPr="00B026E4">
        <w:rPr>
          <w:rFonts w:ascii="Times New Roman" w:hAnsi="Times New Roman" w:cs="Times New Roman"/>
          <w:b/>
        </w:rPr>
        <w:t>B.</w:t>
      </w:r>
      <w:r w:rsidRPr="00B026E4">
        <w:rPr>
          <w:rFonts w:ascii="Times New Roman" w:hAnsi="Times New Roman" w:cs="Times New Roman"/>
          <w:b/>
        </w:rPr>
        <w:tab/>
        <w:t>The Debtor’s Financial Condition</w:t>
      </w:r>
    </w:p>
    <w:p w14:paraId="41097939" w14:textId="00C639FF" w:rsidR="008373AC" w:rsidRPr="00B026E4" w:rsidRDefault="003A5413" w:rsidP="008373AC">
      <w:pPr>
        <w:spacing w:line="480" w:lineRule="auto"/>
        <w:ind w:firstLine="720"/>
        <w:rPr>
          <w:rFonts w:ascii="Times New Roman" w:hAnsi="Times New Roman" w:cs="Times New Roman"/>
        </w:rPr>
      </w:pPr>
      <w:r>
        <w:rPr>
          <w:rFonts w:ascii="Times New Roman" w:hAnsi="Times New Roman" w:cs="Times New Roman"/>
        </w:rPr>
        <w:t>F</w:t>
      </w:r>
      <w:r w:rsidR="008373AC">
        <w:rPr>
          <w:rFonts w:ascii="Times New Roman" w:hAnsi="Times New Roman" w:cs="Times New Roman"/>
        </w:rPr>
        <w:t>inancial information obtained from the debtors’ schedules</w:t>
      </w:r>
      <w:r>
        <w:rPr>
          <w:rFonts w:ascii="Times New Roman" w:hAnsi="Times New Roman" w:cs="Times New Roman"/>
        </w:rPr>
        <w:t xml:space="preserve"> reveals th</w:t>
      </w:r>
      <w:r w:rsidR="002E33E3">
        <w:rPr>
          <w:rFonts w:ascii="Times New Roman" w:hAnsi="Times New Roman" w:cs="Times New Roman"/>
        </w:rPr>
        <w:t xml:space="preserve">at individual debtors in the random sample are </w:t>
      </w:r>
      <w:r w:rsidR="008373AC">
        <w:rPr>
          <w:rFonts w:ascii="Times New Roman" w:hAnsi="Times New Roman" w:cs="Times New Roman"/>
        </w:rPr>
        <w:t>wealthier than the average American. They are more likely to own real property and their incomes</w:t>
      </w:r>
      <w:r w:rsidR="002247D2">
        <w:rPr>
          <w:rFonts w:ascii="Times New Roman" w:hAnsi="Times New Roman" w:cs="Times New Roman"/>
        </w:rPr>
        <w:t xml:space="preserve"> are much higher than that of the </w:t>
      </w:r>
      <w:r w:rsidR="006A0913">
        <w:rPr>
          <w:rFonts w:ascii="Times New Roman" w:hAnsi="Times New Roman" w:cs="Times New Roman"/>
        </w:rPr>
        <w:t>typical</w:t>
      </w:r>
      <w:r w:rsidR="002247D2">
        <w:rPr>
          <w:rFonts w:ascii="Times New Roman" w:hAnsi="Times New Roman" w:cs="Times New Roman"/>
        </w:rPr>
        <w:t xml:space="preserve"> American </w:t>
      </w:r>
      <w:r w:rsidR="006C66BD">
        <w:rPr>
          <w:rFonts w:ascii="Times New Roman" w:hAnsi="Times New Roman" w:cs="Times New Roman"/>
        </w:rPr>
        <w:t>household.</w:t>
      </w:r>
      <w:r w:rsidR="008373AC">
        <w:rPr>
          <w:rFonts w:ascii="Times New Roman" w:hAnsi="Times New Roman" w:cs="Times New Roman"/>
        </w:rPr>
        <w:t xml:space="preserve"> </w:t>
      </w:r>
    </w:p>
    <w:p w14:paraId="237C653D" w14:textId="77777777" w:rsidR="008373AC" w:rsidRPr="000B0597" w:rsidRDefault="008373AC" w:rsidP="008373AC">
      <w:pPr>
        <w:spacing w:line="480" w:lineRule="auto"/>
        <w:rPr>
          <w:rFonts w:ascii="Times New Roman" w:hAnsi="Times New Roman" w:cs="Times New Roman"/>
          <w:i/>
        </w:rPr>
      </w:pPr>
      <w:r w:rsidRPr="000B0597">
        <w:rPr>
          <w:rFonts w:ascii="Times New Roman" w:hAnsi="Times New Roman" w:cs="Times New Roman"/>
          <w:i/>
        </w:rPr>
        <w:t>1.</w:t>
      </w:r>
      <w:r w:rsidRPr="000B0597">
        <w:rPr>
          <w:rFonts w:ascii="Times New Roman" w:hAnsi="Times New Roman" w:cs="Times New Roman"/>
          <w:i/>
        </w:rPr>
        <w:tab/>
        <w:t>Occupation, Income and Expenses</w:t>
      </w:r>
    </w:p>
    <w:p w14:paraId="76448D5A" w14:textId="65610A6A" w:rsidR="008373AC" w:rsidRPr="00B026E4" w:rsidRDefault="008373AC" w:rsidP="008373AC">
      <w:pPr>
        <w:spacing w:line="480" w:lineRule="auto"/>
        <w:ind w:firstLine="720"/>
        <w:rPr>
          <w:rFonts w:ascii="Times New Roman" w:hAnsi="Times New Roman" w:cs="Times New Roman"/>
        </w:rPr>
      </w:pPr>
      <w:r w:rsidRPr="00B026E4">
        <w:rPr>
          <w:rFonts w:ascii="Times New Roman" w:hAnsi="Times New Roman" w:cs="Times New Roman"/>
        </w:rPr>
        <w:t xml:space="preserve">Sullivan, Warren and Westbrook famously argued that most consumers in bankruptcy are “middle class,” </w:t>
      </w:r>
      <w:r w:rsidR="00780235">
        <w:rPr>
          <w:rFonts w:ascii="Times New Roman" w:hAnsi="Times New Roman" w:cs="Times New Roman"/>
        </w:rPr>
        <w:t>but</w:t>
      </w:r>
      <w:r w:rsidRPr="00B026E4">
        <w:rPr>
          <w:rFonts w:ascii="Times New Roman" w:hAnsi="Times New Roman" w:cs="Times New Roman"/>
        </w:rPr>
        <w:t xml:space="preserve"> with lower incomes.</w:t>
      </w:r>
      <w:bookmarkStart w:id="22" w:name="_Ref333766993"/>
      <w:r w:rsidRPr="00B026E4">
        <w:rPr>
          <w:rStyle w:val="FootnoteReference"/>
          <w:rFonts w:ascii="Times New Roman" w:hAnsi="Times New Roman" w:cs="Times New Roman"/>
        </w:rPr>
        <w:footnoteReference w:id="148"/>
      </w:r>
      <w:bookmarkEnd w:id="22"/>
      <w:r w:rsidRPr="00B026E4">
        <w:rPr>
          <w:rFonts w:ascii="Times New Roman" w:hAnsi="Times New Roman" w:cs="Times New Roman"/>
        </w:rPr>
        <w:t xml:space="preserve"> Much of their supporting data was drawn from surveys that we did not try to replicate. </w:t>
      </w:r>
      <w:r w:rsidR="003A5413">
        <w:rPr>
          <w:rFonts w:ascii="Times New Roman" w:hAnsi="Times New Roman" w:cs="Times New Roman"/>
        </w:rPr>
        <w:t>W</w:t>
      </w:r>
      <w:r w:rsidRPr="00B026E4">
        <w:rPr>
          <w:rFonts w:ascii="Times New Roman" w:hAnsi="Times New Roman" w:cs="Times New Roman"/>
        </w:rPr>
        <w:t>e can</w:t>
      </w:r>
      <w:r w:rsidR="003A5413">
        <w:rPr>
          <w:rFonts w:ascii="Times New Roman" w:hAnsi="Times New Roman" w:cs="Times New Roman"/>
        </w:rPr>
        <w:t>, however,</w:t>
      </w:r>
      <w:r w:rsidRPr="00B026E4">
        <w:rPr>
          <w:rFonts w:ascii="Times New Roman" w:hAnsi="Times New Roman" w:cs="Times New Roman"/>
        </w:rPr>
        <w:t xml:space="preserve"> get some sense as to </w:t>
      </w:r>
      <w:r w:rsidR="002512A8">
        <w:rPr>
          <w:rFonts w:ascii="Times New Roman" w:hAnsi="Times New Roman" w:cs="Times New Roman"/>
        </w:rPr>
        <w:t xml:space="preserve">the </w:t>
      </w:r>
      <w:r w:rsidRPr="00B026E4">
        <w:rPr>
          <w:rFonts w:ascii="Times New Roman" w:hAnsi="Times New Roman" w:cs="Times New Roman"/>
        </w:rPr>
        <w:t xml:space="preserve">characteristics of individual </w:t>
      </w:r>
      <w:r w:rsidR="00AA091B">
        <w:rPr>
          <w:rFonts w:ascii="Times New Roman" w:hAnsi="Times New Roman" w:cs="Times New Roman"/>
        </w:rPr>
        <w:t>chapter</w:t>
      </w:r>
      <w:r w:rsidRPr="00B026E4">
        <w:rPr>
          <w:rFonts w:ascii="Times New Roman" w:hAnsi="Times New Roman" w:cs="Times New Roman"/>
        </w:rPr>
        <w:t xml:space="preserve"> 11 filers by examining their occupation, income, and expenses.</w:t>
      </w:r>
    </w:p>
    <w:p w14:paraId="0E753B0B" w14:textId="7C76F22D" w:rsidR="008373AC" w:rsidRPr="00537498" w:rsidRDefault="008373AC" w:rsidP="00AF5C87">
      <w:pPr>
        <w:keepNext/>
        <w:keepLines/>
        <w:spacing w:line="480" w:lineRule="auto"/>
        <w:jc w:val="center"/>
        <w:rPr>
          <w:rFonts w:ascii="Times New Roman" w:hAnsi="Times New Roman" w:cs="Times New Roman"/>
        </w:rPr>
      </w:pPr>
      <w:r w:rsidRPr="00B026E4">
        <w:rPr>
          <w:rFonts w:ascii="Times New Roman" w:hAnsi="Times New Roman" w:cs="Times New Roman"/>
          <w:b/>
        </w:rPr>
        <w:t xml:space="preserve">Table </w:t>
      </w:r>
      <w:r>
        <w:rPr>
          <w:rFonts w:ascii="Times New Roman" w:hAnsi="Times New Roman" w:cs="Times New Roman"/>
          <w:b/>
        </w:rPr>
        <w:t>2</w:t>
      </w:r>
      <w:r w:rsidR="00296FEB">
        <w:rPr>
          <w:rFonts w:ascii="Times New Roman" w:hAnsi="Times New Roman" w:cs="Times New Roman"/>
          <w:b/>
        </w:rPr>
        <w:t>3</w:t>
      </w:r>
      <w:r w:rsidRPr="00B026E4">
        <w:rPr>
          <w:rFonts w:ascii="Times New Roman" w:hAnsi="Times New Roman" w:cs="Times New Roman"/>
          <w:b/>
        </w:rPr>
        <w:t xml:space="preserve">: Occupation </w:t>
      </w:r>
    </w:p>
    <w:tbl>
      <w:tblPr>
        <w:tblStyle w:val="TableGrid"/>
        <w:tblW w:w="8683" w:type="dxa"/>
        <w:tblLook w:val="04A0" w:firstRow="1" w:lastRow="0" w:firstColumn="1" w:lastColumn="0" w:noHBand="0" w:noVBand="1"/>
      </w:tblPr>
      <w:tblGrid>
        <w:gridCol w:w="5971"/>
        <w:gridCol w:w="1356"/>
        <w:gridCol w:w="1356"/>
      </w:tblGrid>
      <w:tr w:rsidR="008373AC" w:rsidRPr="00537498" w14:paraId="18F3F16A" w14:textId="77777777" w:rsidTr="00296FEB">
        <w:trPr>
          <w:trHeight w:val="300"/>
        </w:trPr>
        <w:tc>
          <w:tcPr>
            <w:tcW w:w="5971" w:type="dxa"/>
            <w:tcBorders>
              <w:top w:val="nil"/>
              <w:left w:val="nil"/>
              <w:bottom w:val="single" w:sz="18" w:space="0" w:color="auto"/>
              <w:right w:val="single" w:sz="18" w:space="0" w:color="auto"/>
            </w:tcBorders>
            <w:noWrap/>
          </w:tcPr>
          <w:p w14:paraId="4266DB6E" w14:textId="77777777" w:rsidR="008373AC" w:rsidRPr="00737DBD" w:rsidRDefault="008373AC" w:rsidP="00AF5C87">
            <w:pPr>
              <w:keepLines/>
              <w:rPr>
                <w:rFonts w:ascii="Times New Roman" w:eastAsia="Times New Roman" w:hAnsi="Times New Roman" w:cs="Times New Roman"/>
                <w:color w:val="000000"/>
              </w:rPr>
            </w:pPr>
          </w:p>
        </w:tc>
        <w:tc>
          <w:tcPr>
            <w:tcW w:w="1356" w:type="dxa"/>
            <w:tcBorders>
              <w:top w:val="single" w:sz="18" w:space="0" w:color="auto"/>
              <w:left w:val="single" w:sz="18" w:space="0" w:color="auto"/>
              <w:bottom w:val="single" w:sz="18" w:space="0" w:color="auto"/>
              <w:right w:val="single" w:sz="18" w:space="0" w:color="auto"/>
            </w:tcBorders>
            <w:noWrap/>
          </w:tcPr>
          <w:p w14:paraId="7EFCDAE8" w14:textId="77777777" w:rsidR="008373AC" w:rsidRPr="00B026E4" w:rsidRDefault="008373AC" w:rsidP="00AF5C87">
            <w:pPr>
              <w:keepLines/>
              <w:jc w:val="center"/>
              <w:rPr>
                <w:rFonts w:ascii="Times New Roman" w:eastAsia="Times New Roman" w:hAnsi="Times New Roman" w:cs="Times New Roman"/>
                <w:b/>
                <w:color w:val="000000"/>
              </w:rPr>
            </w:pPr>
            <w:r w:rsidRPr="00B026E4">
              <w:rPr>
                <w:rFonts w:ascii="Times New Roman" w:eastAsia="Times New Roman" w:hAnsi="Times New Roman" w:cs="Times New Roman"/>
                <w:b/>
                <w:color w:val="000000"/>
              </w:rPr>
              <w:t>2010</w:t>
            </w:r>
          </w:p>
        </w:tc>
        <w:tc>
          <w:tcPr>
            <w:tcW w:w="1356" w:type="dxa"/>
            <w:tcBorders>
              <w:top w:val="single" w:sz="18" w:space="0" w:color="auto"/>
              <w:left w:val="single" w:sz="18" w:space="0" w:color="auto"/>
              <w:bottom w:val="single" w:sz="18" w:space="0" w:color="auto"/>
              <w:right w:val="single" w:sz="18" w:space="0" w:color="auto"/>
            </w:tcBorders>
          </w:tcPr>
          <w:p w14:paraId="4566EF37" w14:textId="77777777" w:rsidR="008373AC" w:rsidRPr="00B026E4" w:rsidRDefault="008373AC" w:rsidP="00AF5C87">
            <w:pPr>
              <w:keepLines/>
              <w:jc w:val="center"/>
              <w:rPr>
                <w:rFonts w:ascii="Times New Roman" w:eastAsia="Times New Roman" w:hAnsi="Times New Roman" w:cs="Times New Roman"/>
                <w:b/>
                <w:color w:val="000000"/>
              </w:rPr>
            </w:pPr>
            <w:r w:rsidRPr="00B026E4">
              <w:rPr>
                <w:rFonts w:ascii="Times New Roman" w:eastAsia="Times New Roman" w:hAnsi="Times New Roman" w:cs="Times New Roman"/>
                <w:b/>
                <w:color w:val="000000"/>
              </w:rPr>
              <w:t>2013</w:t>
            </w:r>
          </w:p>
        </w:tc>
      </w:tr>
      <w:tr w:rsidR="008373AC" w:rsidRPr="00537498" w14:paraId="5D7B8A9D" w14:textId="77777777" w:rsidTr="00296FEB">
        <w:trPr>
          <w:trHeight w:val="300"/>
        </w:trPr>
        <w:tc>
          <w:tcPr>
            <w:tcW w:w="5971" w:type="dxa"/>
            <w:tcBorders>
              <w:top w:val="single" w:sz="18" w:space="0" w:color="auto"/>
              <w:right w:val="single" w:sz="18" w:space="0" w:color="auto"/>
            </w:tcBorders>
            <w:noWrap/>
            <w:hideMark/>
          </w:tcPr>
          <w:p w14:paraId="61814094" w14:textId="77777777" w:rsidR="008373AC" w:rsidRPr="00B026E4" w:rsidRDefault="008373AC" w:rsidP="00AF5C87">
            <w:pPr>
              <w:keepLines/>
              <w:rPr>
                <w:rFonts w:ascii="Times New Roman" w:eastAsia="Times New Roman" w:hAnsi="Times New Roman" w:cs="Times New Roman"/>
                <w:color w:val="000000"/>
              </w:rPr>
            </w:pPr>
            <w:r w:rsidRPr="00B026E4">
              <w:rPr>
                <w:rFonts w:ascii="Times New Roman" w:eastAsia="Times New Roman" w:hAnsi="Times New Roman" w:cs="Times New Roman"/>
                <w:color w:val="000000"/>
              </w:rPr>
              <w:t>Real Estate</w:t>
            </w:r>
          </w:p>
        </w:tc>
        <w:tc>
          <w:tcPr>
            <w:tcW w:w="1356" w:type="dxa"/>
            <w:tcBorders>
              <w:top w:val="single" w:sz="18" w:space="0" w:color="auto"/>
              <w:left w:val="single" w:sz="18" w:space="0" w:color="auto"/>
              <w:right w:val="single" w:sz="18" w:space="0" w:color="auto"/>
            </w:tcBorders>
            <w:noWrap/>
            <w:hideMark/>
          </w:tcPr>
          <w:p w14:paraId="36975C23" w14:textId="77777777" w:rsidR="008373AC" w:rsidRPr="00B026E4" w:rsidRDefault="008373AC" w:rsidP="00AF5C87">
            <w:pPr>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r w:rsidRPr="00B026E4">
              <w:rPr>
                <w:rFonts w:ascii="Times New Roman" w:eastAsia="Times New Roman" w:hAnsi="Times New Roman" w:cs="Times New Roman"/>
                <w:color w:val="000000"/>
              </w:rPr>
              <w:t>%</w:t>
            </w:r>
          </w:p>
        </w:tc>
        <w:tc>
          <w:tcPr>
            <w:tcW w:w="1356" w:type="dxa"/>
            <w:tcBorders>
              <w:top w:val="single" w:sz="18" w:space="0" w:color="auto"/>
              <w:left w:val="single" w:sz="18" w:space="0" w:color="auto"/>
              <w:right w:val="single" w:sz="18" w:space="0" w:color="auto"/>
            </w:tcBorders>
          </w:tcPr>
          <w:p w14:paraId="67B6738B" w14:textId="77777777" w:rsidR="008373AC" w:rsidRPr="00737DBD" w:rsidRDefault="008373AC" w:rsidP="00AF5C87">
            <w:pPr>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8373AC" w:rsidRPr="00537498" w14:paraId="5E83A0B4" w14:textId="77777777" w:rsidTr="00296FEB">
        <w:trPr>
          <w:trHeight w:val="300"/>
        </w:trPr>
        <w:tc>
          <w:tcPr>
            <w:tcW w:w="5971" w:type="dxa"/>
            <w:tcBorders>
              <w:right w:val="single" w:sz="18" w:space="0" w:color="auto"/>
            </w:tcBorders>
            <w:noWrap/>
            <w:hideMark/>
          </w:tcPr>
          <w:p w14:paraId="6781912F" w14:textId="77777777" w:rsidR="008373AC" w:rsidRPr="00B026E4" w:rsidRDefault="008373AC" w:rsidP="00AF5C87">
            <w:pPr>
              <w:keepLines/>
              <w:rPr>
                <w:rFonts w:ascii="Times New Roman" w:eastAsia="Times New Roman" w:hAnsi="Times New Roman" w:cs="Times New Roman"/>
                <w:color w:val="000000"/>
              </w:rPr>
            </w:pPr>
            <w:r w:rsidRPr="00B026E4">
              <w:rPr>
                <w:rFonts w:ascii="Times New Roman" w:eastAsia="Times New Roman" w:hAnsi="Times New Roman" w:cs="Times New Roman"/>
                <w:color w:val="000000"/>
              </w:rPr>
              <w:t xml:space="preserve">Professional </w:t>
            </w:r>
          </w:p>
        </w:tc>
        <w:tc>
          <w:tcPr>
            <w:tcW w:w="1356" w:type="dxa"/>
            <w:tcBorders>
              <w:left w:val="single" w:sz="18" w:space="0" w:color="auto"/>
              <w:right w:val="single" w:sz="18" w:space="0" w:color="auto"/>
            </w:tcBorders>
            <w:noWrap/>
            <w:hideMark/>
          </w:tcPr>
          <w:p w14:paraId="70ABA458"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9%</w:t>
            </w:r>
          </w:p>
        </w:tc>
        <w:tc>
          <w:tcPr>
            <w:tcW w:w="1356" w:type="dxa"/>
            <w:tcBorders>
              <w:left w:val="single" w:sz="18" w:space="0" w:color="auto"/>
              <w:right w:val="single" w:sz="18" w:space="0" w:color="auto"/>
            </w:tcBorders>
          </w:tcPr>
          <w:p w14:paraId="03CCAFDF" w14:textId="77777777" w:rsidR="008373AC" w:rsidRPr="00737DBD" w:rsidRDefault="008373AC" w:rsidP="00AF5C87">
            <w:pPr>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13%</w:t>
            </w:r>
          </w:p>
        </w:tc>
      </w:tr>
      <w:tr w:rsidR="008373AC" w:rsidRPr="00537498" w14:paraId="1FA7EDF7" w14:textId="77777777" w:rsidTr="00296FEB">
        <w:trPr>
          <w:trHeight w:val="300"/>
        </w:trPr>
        <w:tc>
          <w:tcPr>
            <w:tcW w:w="5971" w:type="dxa"/>
            <w:tcBorders>
              <w:right w:val="single" w:sz="18" w:space="0" w:color="auto"/>
            </w:tcBorders>
            <w:noWrap/>
            <w:hideMark/>
          </w:tcPr>
          <w:p w14:paraId="7AB8F70C" w14:textId="1A1C19E2" w:rsidR="008373AC" w:rsidRPr="00B026E4" w:rsidRDefault="008373AC" w:rsidP="00AF5C87">
            <w:pPr>
              <w:keepLines/>
              <w:rPr>
                <w:rFonts w:ascii="Times New Roman" w:eastAsia="Times New Roman" w:hAnsi="Times New Roman" w:cs="Times New Roman"/>
                <w:color w:val="000000"/>
              </w:rPr>
            </w:pPr>
            <w:r>
              <w:rPr>
                <w:rFonts w:ascii="Times New Roman" w:eastAsia="Times New Roman" w:hAnsi="Times New Roman" w:cs="Times New Roman"/>
                <w:color w:val="000000"/>
              </w:rPr>
              <w:t xml:space="preserve">Owner, </w:t>
            </w:r>
            <w:r w:rsidRPr="00B026E4">
              <w:rPr>
                <w:rFonts w:ascii="Times New Roman" w:eastAsia="Times New Roman" w:hAnsi="Times New Roman" w:cs="Times New Roman"/>
                <w:color w:val="000000"/>
              </w:rPr>
              <w:t xml:space="preserve">Manager, </w:t>
            </w:r>
            <w:r>
              <w:rPr>
                <w:rFonts w:ascii="Times New Roman" w:eastAsia="Times New Roman" w:hAnsi="Times New Roman" w:cs="Times New Roman"/>
                <w:color w:val="000000"/>
              </w:rPr>
              <w:t>Executive</w:t>
            </w:r>
          </w:p>
        </w:tc>
        <w:tc>
          <w:tcPr>
            <w:tcW w:w="1356" w:type="dxa"/>
            <w:tcBorders>
              <w:left w:val="single" w:sz="18" w:space="0" w:color="auto"/>
              <w:right w:val="single" w:sz="18" w:space="0" w:color="auto"/>
            </w:tcBorders>
            <w:noWrap/>
            <w:hideMark/>
          </w:tcPr>
          <w:p w14:paraId="24EA8983" w14:textId="77777777" w:rsidR="008373AC" w:rsidRPr="00B026E4" w:rsidRDefault="008373AC" w:rsidP="00AF5C87">
            <w:pPr>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1356" w:type="dxa"/>
            <w:tcBorders>
              <w:left w:val="single" w:sz="18" w:space="0" w:color="auto"/>
              <w:right w:val="single" w:sz="18" w:space="0" w:color="auto"/>
            </w:tcBorders>
          </w:tcPr>
          <w:p w14:paraId="54AA2DB2" w14:textId="77777777" w:rsidR="008373AC" w:rsidRPr="00737DBD" w:rsidRDefault="008373AC" w:rsidP="00AF5C87">
            <w:pPr>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24%</w:t>
            </w:r>
          </w:p>
        </w:tc>
      </w:tr>
      <w:tr w:rsidR="008373AC" w:rsidRPr="00537498" w14:paraId="4B310C3B" w14:textId="77777777" w:rsidTr="00296FEB">
        <w:trPr>
          <w:trHeight w:val="300"/>
        </w:trPr>
        <w:tc>
          <w:tcPr>
            <w:tcW w:w="5971" w:type="dxa"/>
            <w:tcBorders>
              <w:right w:val="single" w:sz="18" w:space="0" w:color="auto"/>
            </w:tcBorders>
            <w:noWrap/>
          </w:tcPr>
          <w:p w14:paraId="0860F094" w14:textId="77777777" w:rsidR="008373AC" w:rsidRPr="00737DBD" w:rsidRDefault="008373AC" w:rsidP="00AF5C87">
            <w:pPr>
              <w:keepLines/>
              <w:rPr>
                <w:rFonts w:ascii="Times New Roman" w:eastAsia="Times New Roman" w:hAnsi="Times New Roman" w:cs="Times New Roman"/>
                <w:color w:val="000000"/>
              </w:rPr>
            </w:pPr>
            <w:r>
              <w:rPr>
                <w:rFonts w:ascii="Times New Roman" w:eastAsia="Times New Roman" w:hAnsi="Times New Roman" w:cs="Times New Roman"/>
                <w:color w:val="000000"/>
              </w:rPr>
              <w:t>Self-Employed</w:t>
            </w:r>
          </w:p>
        </w:tc>
        <w:tc>
          <w:tcPr>
            <w:tcW w:w="1356" w:type="dxa"/>
            <w:tcBorders>
              <w:left w:val="single" w:sz="18" w:space="0" w:color="auto"/>
              <w:right w:val="single" w:sz="18" w:space="0" w:color="auto"/>
            </w:tcBorders>
            <w:noWrap/>
          </w:tcPr>
          <w:p w14:paraId="09FA1B10" w14:textId="77777777" w:rsidR="008373AC" w:rsidRPr="00737DBD" w:rsidRDefault="008373AC" w:rsidP="00AF5C87">
            <w:pPr>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1356" w:type="dxa"/>
            <w:tcBorders>
              <w:left w:val="single" w:sz="18" w:space="0" w:color="auto"/>
              <w:right w:val="single" w:sz="18" w:space="0" w:color="auto"/>
            </w:tcBorders>
          </w:tcPr>
          <w:p w14:paraId="5AECD841" w14:textId="77777777" w:rsidR="008373AC" w:rsidRDefault="008373AC" w:rsidP="00AF5C87">
            <w:pPr>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13%</w:t>
            </w:r>
          </w:p>
        </w:tc>
      </w:tr>
      <w:tr w:rsidR="008373AC" w:rsidRPr="00537498" w14:paraId="2C156B89" w14:textId="77777777" w:rsidTr="00296FEB">
        <w:trPr>
          <w:trHeight w:val="300"/>
        </w:trPr>
        <w:tc>
          <w:tcPr>
            <w:tcW w:w="5971" w:type="dxa"/>
            <w:tcBorders>
              <w:right w:val="single" w:sz="18" w:space="0" w:color="auto"/>
            </w:tcBorders>
            <w:noWrap/>
            <w:hideMark/>
          </w:tcPr>
          <w:p w14:paraId="33AF0C60" w14:textId="5D8ED8A3" w:rsidR="008373AC" w:rsidRPr="00B026E4" w:rsidRDefault="008373AC" w:rsidP="00AF5C87">
            <w:pPr>
              <w:keepLines/>
              <w:rPr>
                <w:rFonts w:ascii="Times New Roman" w:eastAsia="Times New Roman" w:hAnsi="Times New Roman" w:cs="Times New Roman"/>
                <w:color w:val="000000"/>
              </w:rPr>
            </w:pPr>
            <w:r w:rsidRPr="00B026E4">
              <w:rPr>
                <w:rFonts w:ascii="Times New Roman" w:eastAsia="Times New Roman" w:hAnsi="Times New Roman" w:cs="Times New Roman"/>
                <w:color w:val="000000"/>
              </w:rPr>
              <w:t xml:space="preserve">Other </w:t>
            </w:r>
          </w:p>
        </w:tc>
        <w:tc>
          <w:tcPr>
            <w:tcW w:w="1356" w:type="dxa"/>
            <w:tcBorders>
              <w:left w:val="single" w:sz="18" w:space="0" w:color="auto"/>
              <w:right w:val="single" w:sz="18" w:space="0" w:color="auto"/>
            </w:tcBorders>
            <w:noWrap/>
            <w:hideMark/>
          </w:tcPr>
          <w:p w14:paraId="5D7A89A7"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w:t>
            </w:r>
            <w:r>
              <w:rPr>
                <w:rFonts w:ascii="Times New Roman" w:eastAsia="Times New Roman" w:hAnsi="Times New Roman" w:cs="Times New Roman"/>
                <w:color w:val="000000"/>
              </w:rPr>
              <w:t>8</w:t>
            </w:r>
            <w:r w:rsidRPr="00B026E4">
              <w:rPr>
                <w:rFonts w:ascii="Times New Roman" w:eastAsia="Times New Roman" w:hAnsi="Times New Roman" w:cs="Times New Roman"/>
                <w:color w:val="000000"/>
              </w:rPr>
              <w:t>%</w:t>
            </w:r>
          </w:p>
        </w:tc>
        <w:tc>
          <w:tcPr>
            <w:tcW w:w="1356" w:type="dxa"/>
            <w:tcBorders>
              <w:left w:val="single" w:sz="18" w:space="0" w:color="auto"/>
              <w:right w:val="single" w:sz="18" w:space="0" w:color="auto"/>
            </w:tcBorders>
          </w:tcPr>
          <w:p w14:paraId="40FFB026" w14:textId="77777777" w:rsidR="008373AC" w:rsidRPr="00737DBD" w:rsidRDefault="008373AC" w:rsidP="00AF5C87">
            <w:pPr>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24%</w:t>
            </w:r>
          </w:p>
        </w:tc>
      </w:tr>
      <w:tr w:rsidR="008373AC" w:rsidRPr="00537498" w14:paraId="70A8C311" w14:textId="77777777" w:rsidTr="00296FEB">
        <w:trPr>
          <w:trHeight w:val="300"/>
        </w:trPr>
        <w:tc>
          <w:tcPr>
            <w:tcW w:w="5971" w:type="dxa"/>
            <w:tcBorders>
              <w:right w:val="single" w:sz="18" w:space="0" w:color="auto"/>
            </w:tcBorders>
            <w:noWrap/>
            <w:hideMark/>
          </w:tcPr>
          <w:p w14:paraId="4CCB366B" w14:textId="77777777" w:rsidR="008373AC" w:rsidRPr="00B026E4" w:rsidRDefault="008373AC" w:rsidP="00AF5C87">
            <w:pPr>
              <w:keepLines/>
              <w:rPr>
                <w:rFonts w:ascii="Times New Roman" w:eastAsia="Times New Roman" w:hAnsi="Times New Roman" w:cs="Times New Roman"/>
                <w:color w:val="000000"/>
              </w:rPr>
            </w:pPr>
            <w:r w:rsidRPr="00B026E4">
              <w:rPr>
                <w:rFonts w:ascii="Times New Roman" w:eastAsia="Times New Roman" w:hAnsi="Times New Roman" w:cs="Times New Roman"/>
                <w:color w:val="000000"/>
              </w:rPr>
              <w:t>Retired</w:t>
            </w:r>
          </w:p>
        </w:tc>
        <w:tc>
          <w:tcPr>
            <w:tcW w:w="1356" w:type="dxa"/>
            <w:tcBorders>
              <w:left w:val="single" w:sz="18" w:space="0" w:color="auto"/>
              <w:right w:val="single" w:sz="18" w:space="0" w:color="auto"/>
            </w:tcBorders>
            <w:noWrap/>
            <w:hideMark/>
          </w:tcPr>
          <w:p w14:paraId="2AF383EF" w14:textId="77777777" w:rsidR="008373AC" w:rsidRPr="00B026E4" w:rsidRDefault="008373AC" w:rsidP="00AF5C87">
            <w:pPr>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r w:rsidRPr="00B026E4">
              <w:rPr>
                <w:rFonts w:ascii="Times New Roman" w:eastAsia="Times New Roman" w:hAnsi="Times New Roman" w:cs="Times New Roman"/>
                <w:color w:val="000000"/>
              </w:rPr>
              <w:t>%</w:t>
            </w:r>
          </w:p>
        </w:tc>
        <w:tc>
          <w:tcPr>
            <w:tcW w:w="1356" w:type="dxa"/>
            <w:tcBorders>
              <w:left w:val="single" w:sz="18" w:space="0" w:color="auto"/>
              <w:right w:val="single" w:sz="18" w:space="0" w:color="auto"/>
            </w:tcBorders>
          </w:tcPr>
          <w:p w14:paraId="5B19323A" w14:textId="77777777" w:rsidR="008373AC" w:rsidRPr="00737DBD" w:rsidRDefault="008373AC" w:rsidP="00AF5C87">
            <w:pPr>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8373AC" w:rsidRPr="00537498" w14:paraId="377F2A8D" w14:textId="77777777" w:rsidTr="00296FEB">
        <w:trPr>
          <w:trHeight w:val="300"/>
        </w:trPr>
        <w:tc>
          <w:tcPr>
            <w:tcW w:w="5971" w:type="dxa"/>
            <w:tcBorders>
              <w:right w:val="single" w:sz="18" w:space="0" w:color="auto"/>
            </w:tcBorders>
            <w:noWrap/>
            <w:hideMark/>
          </w:tcPr>
          <w:p w14:paraId="155067E0" w14:textId="4C19C712" w:rsidR="008373AC" w:rsidRPr="00B026E4" w:rsidRDefault="008373AC" w:rsidP="00AF5C87">
            <w:pPr>
              <w:keepLines/>
              <w:rPr>
                <w:rFonts w:ascii="Times New Roman" w:eastAsia="Times New Roman" w:hAnsi="Times New Roman" w:cs="Times New Roman"/>
                <w:color w:val="000000"/>
              </w:rPr>
            </w:pPr>
            <w:r w:rsidRPr="00B026E4">
              <w:rPr>
                <w:rFonts w:ascii="Times New Roman" w:eastAsia="Times New Roman" w:hAnsi="Times New Roman" w:cs="Times New Roman"/>
                <w:color w:val="000000"/>
              </w:rPr>
              <w:t>Unemployed</w:t>
            </w:r>
          </w:p>
        </w:tc>
        <w:tc>
          <w:tcPr>
            <w:tcW w:w="1356" w:type="dxa"/>
            <w:tcBorders>
              <w:left w:val="single" w:sz="18" w:space="0" w:color="auto"/>
              <w:right w:val="single" w:sz="18" w:space="0" w:color="auto"/>
            </w:tcBorders>
            <w:noWrap/>
            <w:hideMark/>
          </w:tcPr>
          <w:p w14:paraId="48ADCA3A" w14:textId="77777777" w:rsidR="008373AC" w:rsidRPr="00B026E4" w:rsidRDefault="008373AC" w:rsidP="00AF5C87">
            <w:pPr>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Pr="00B026E4">
              <w:rPr>
                <w:rFonts w:ascii="Times New Roman" w:eastAsia="Times New Roman" w:hAnsi="Times New Roman" w:cs="Times New Roman"/>
                <w:color w:val="000000"/>
              </w:rPr>
              <w:t>%</w:t>
            </w:r>
          </w:p>
        </w:tc>
        <w:tc>
          <w:tcPr>
            <w:tcW w:w="1356" w:type="dxa"/>
            <w:tcBorders>
              <w:left w:val="single" w:sz="18" w:space="0" w:color="auto"/>
              <w:right w:val="single" w:sz="18" w:space="0" w:color="auto"/>
            </w:tcBorders>
          </w:tcPr>
          <w:p w14:paraId="4E33E258" w14:textId="77777777" w:rsidR="008373AC" w:rsidRPr="00737DBD" w:rsidRDefault="008373AC" w:rsidP="00AF5C87">
            <w:pPr>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8373AC" w:rsidRPr="00537498" w14:paraId="34748AE8" w14:textId="77777777" w:rsidTr="00296FEB">
        <w:trPr>
          <w:trHeight w:val="300"/>
        </w:trPr>
        <w:tc>
          <w:tcPr>
            <w:tcW w:w="5971" w:type="dxa"/>
            <w:tcBorders>
              <w:right w:val="single" w:sz="18" w:space="0" w:color="auto"/>
            </w:tcBorders>
            <w:noWrap/>
            <w:hideMark/>
          </w:tcPr>
          <w:p w14:paraId="2490423C" w14:textId="77777777" w:rsidR="008373AC" w:rsidRPr="00B026E4" w:rsidRDefault="008373AC" w:rsidP="00AF5C87">
            <w:pPr>
              <w:keepLines/>
              <w:rPr>
                <w:rFonts w:ascii="Times New Roman" w:eastAsia="Times New Roman" w:hAnsi="Times New Roman" w:cs="Times New Roman"/>
                <w:color w:val="000000"/>
              </w:rPr>
            </w:pPr>
            <w:r w:rsidRPr="00B026E4">
              <w:rPr>
                <w:rFonts w:ascii="Times New Roman" w:eastAsia="Times New Roman" w:hAnsi="Times New Roman" w:cs="Times New Roman"/>
                <w:color w:val="000000"/>
              </w:rPr>
              <w:t>Unknown</w:t>
            </w:r>
          </w:p>
        </w:tc>
        <w:tc>
          <w:tcPr>
            <w:tcW w:w="1356" w:type="dxa"/>
            <w:tcBorders>
              <w:left w:val="single" w:sz="18" w:space="0" w:color="auto"/>
              <w:right w:val="single" w:sz="18" w:space="0" w:color="auto"/>
            </w:tcBorders>
            <w:noWrap/>
            <w:hideMark/>
          </w:tcPr>
          <w:p w14:paraId="4D49B78F" w14:textId="77777777" w:rsidR="008373AC" w:rsidRPr="00B026E4" w:rsidRDefault="008373AC" w:rsidP="00AF5C87">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19%</w:t>
            </w:r>
          </w:p>
        </w:tc>
        <w:tc>
          <w:tcPr>
            <w:tcW w:w="1356" w:type="dxa"/>
            <w:tcBorders>
              <w:left w:val="single" w:sz="18" w:space="0" w:color="auto"/>
              <w:right w:val="single" w:sz="18" w:space="0" w:color="auto"/>
            </w:tcBorders>
          </w:tcPr>
          <w:p w14:paraId="2013D8E5" w14:textId="77777777" w:rsidR="008373AC" w:rsidRPr="00737DBD" w:rsidRDefault="008373AC" w:rsidP="00AF5C87">
            <w:pPr>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13%</w:t>
            </w:r>
          </w:p>
        </w:tc>
      </w:tr>
    </w:tbl>
    <w:p w14:paraId="7601A538" w14:textId="77777777" w:rsidR="008373AC" w:rsidRPr="00537498" w:rsidRDefault="008373AC" w:rsidP="008373AC">
      <w:pPr>
        <w:rPr>
          <w:rFonts w:ascii="Times New Roman" w:hAnsi="Times New Roman" w:cs="Times New Roman"/>
        </w:rPr>
      </w:pPr>
    </w:p>
    <w:p w14:paraId="382C455D" w14:textId="77777777" w:rsidR="008373AC" w:rsidRPr="00B026E4" w:rsidRDefault="008373AC" w:rsidP="008373AC">
      <w:pPr>
        <w:keepNext/>
        <w:rPr>
          <w:rFonts w:ascii="Times New Roman" w:hAnsi="Times New Roman" w:cs="Times New Roman"/>
        </w:rPr>
      </w:pPr>
    </w:p>
    <w:p w14:paraId="02FAF412" w14:textId="3ABEE66F" w:rsidR="00945334" w:rsidRDefault="008373AC" w:rsidP="008373AC">
      <w:pPr>
        <w:spacing w:line="480" w:lineRule="auto"/>
        <w:ind w:firstLine="720"/>
        <w:rPr>
          <w:rFonts w:ascii="Times New Roman" w:hAnsi="Times New Roman" w:cs="Times New Roman"/>
        </w:rPr>
      </w:pPr>
      <w:r w:rsidRPr="00B026E4">
        <w:rPr>
          <w:rFonts w:ascii="Times New Roman" w:hAnsi="Times New Roman" w:cs="Times New Roman"/>
        </w:rPr>
        <w:t xml:space="preserve">We </w:t>
      </w:r>
      <w:r w:rsidR="00DA2C25">
        <w:rPr>
          <w:rFonts w:ascii="Times New Roman" w:hAnsi="Times New Roman" w:cs="Times New Roman"/>
        </w:rPr>
        <w:t xml:space="preserve">coded how the debtor (or the first debtor in a jointly filed case) characterized his or her occupation on Schedule I. This coding is admittedly imprecise. </w:t>
      </w:r>
      <w:r w:rsidR="00945334">
        <w:rPr>
          <w:rFonts w:ascii="Times New Roman" w:hAnsi="Times New Roman" w:cs="Times New Roman"/>
        </w:rPr>
        <w:t>For example, some debtors listed their occupation as “Owner” while others stated that they were “Self-Employed.” While the two categories may overlap, the debtor who is an owner may have employees</w:t>
      </w:r>
      <w:r w:rsidR="001604F3">
        <w:rPr>
          <w:rFonts w:ascii="Times New Roman" w:hAnsi="Times New Roman" w:cs="Times New Roman"/>
        </w:rPr>
        <w:t>,</w:t>
      </w:r>
      <w:r w:rsidR="00945334">
        <w:rPr>
          <w:rFonts w:ascii="Times New Roman" w:hAnsi="Times New Roman" w:cs="Times New Roman"/>
        </w:rPr>
        <w:t xml:space="preserve"> </w:t>
      </w:r>
      <w:r w:rsidR="00A86001">
        <w:rPr>
          <w:rFonts w:ascii="Times New Roman" w:hAnsi="Times New Roman" w:cs="Times New Roman"/>
        </w:rPr>
        <w:t xml:space="preserve">and </w:t>
      </w:r>
      <w:r w:rsidR="00945334">
        <w:rPr>
          <w:rFonts w:ascii="Times New Roman" w:hAnsi="Times New Roman" w:cs="Times New Roman"/>
        </w:rPr>
        <w:t xml:space="preserve">the self-employed debtor may operate a business for which </w:t>
      </w:r>
      <w:r w:rsidR="00312499">
        <w:rPr>
          <w:rFonts w:ascii="Times New Roman" w:hAnsi="Times New Roman" w:cs="Times New Roman"/>
        </w:rPr>
        <w:t xml:space="preserve">he or </w:t>
      </w:r>
      <w:r w:rsidR="00945334">
        <w:rPr>
          <w:rFonts w:ascii="Times New Roman" w:hAnsi="Times New Roman" w:cs="Times New Roman"/>
        </w:rPr>
        <w:t xml:space="preserve">she alone works. </w:t>
      </w:r>
      <w:r w:rsidR="00DA2C25">
        <w:rPr>
          <w:rFonts w:ascii="Times New Roman" w:hAnsi="Times New Roman" w:cs="Times New Roman"/>
        </w:rPr>
        <w:t>Some debtors listed the company where they worked (or perhaps that they owned) but failed to list a position</w:t>
      </w:r>
      <w:r w:rsidR="006C66BD">
        <w:rPr>
          <w:rFonts w:ascii="Times New Roman" w:hAnsi="Times New Roman" w:cs="Times New Roman"/>
        </w:rPr>
        <w:t>.</w:t>
      </w:r>
      <w:r w:rsidR="00DA2C25">
        <w:rPr>
          <w:rFonts w:ascii="Times New Roman" w:hAnsi="Times New Roman" w:cs="Times New Roman"/>
        </w:rPr>
        <w:t xml:space="preserve"> </w:t>
      </w:r>
      <w:r w:rsidR="00945334">
        <w:rPr>
          <w:rFonts w:ascii="Times New Roman" w:hAnsi="Times New Roman" w:cs="Times New Roman"/>
        </w:rPr>
        <w:t>W</w:t>
      </w:r>
      <w:r w:rsidR="00DA2C25">
        <w:rPr>
          <w:rFonts w:ascii="Times New Roman" w:hAnsi="Times New Roman" w:cs="Times New Roman"/>
        </w:rPr>
        <w:t>e saw little benefit in distinguishing between positions such as “elementary school teacher,” “farmer,” “bartender,” “pilot,” and “IT specialist</w:t>
      </w:r>
      <w:r w:rsidR="00945334">
        <w:rPr>
          <w:rFonts w:ascii="Times New Roman" w:hAnsi="Times New Roman" w:cs="Times New Roman"/>
        </w:rPr>
        <w:t>,</w:t>
      </w:r>
      <w:r w:rsidR="00DA2C25">
        <w:rPr>
          <w:rFonts w:ascii="Times New Roman" w:hAnsi="Times New Roman" w:cs="Times New Roman"/>
        </w:rPr>
        <w:t>”</w:t>
      </w:r>
      <w:r w:rsidR="00945334">
        <w:rPr>
          <w:rFonts w:ascii="Times New Roman" w:hAnsi="Times New Roman" w:cs="Times New Roman"/>
        </w:rPr>
        <w:t xml:space="preserve"> so we created an “Other” category for these kinds of positions.</w:t>
      </w:r>
      <w:r w:rsidR="00DA2C25">
        <w:rPr>
          <w:rFonts w:ascii="Times New Roman" w:hAnsi="Times New Roman" w:cs="Times New Roman"/>
        </w:rPr>
        <w:t xml:space="preserve"> </w:t>
      </w:r>
      <w:r w:rsidR="00945334">
        <w:rPr>
          <w:rFonts w:ascii="Times New Roman" w:hAnsi="Times New Roman" w:cs="Times New Roman"/>
        </w:rPr>
        <w:t xml:space="preserve">Categorizing the wide variety of occupational responses provided on Schedule I </w:t>
      </w:r>
      <w:r w:rsidR="002512A8">
        <w:rPr>
          <w:rFonts w:ascii="Times New Roman" w:hAnsi="Times New Roman" w:cs="Times New Roman"/>
        </w:rPr>
        <w:t>was</w:t>
      </w:r>
      <w:r w:rsidR="00945334">
        <w:rPr>
          <w:rFonts w:ascii="Times New Roman" w:hAnsi="Times New Roman" w:cs="Times New Roman"/>
        </w:rPr>
        <w:t xml:space="preserve"> difficult and</w:t>
      </w:r>
      <w:r w:rsidR="003A5413">
        <w:rPr>
          <w:rFonts w:ascii="Times New Roman" w:hAnsi="Times New Roman" w:cs="Times New Roman"/>
        </w:rPr>
        <w:t xml:space="preserve"> require</w:t>
      </w:r>
      <w:r w:rsidR="002512A8">
        <w:rPr>
          <w:rFonts w:ascii="Times New Roman" w:hAnsi="Times New Roman" w:cs="Times New Roman"/>
        </w:rPr>
        <w:t>d</w:t>
      </w:r>
      <w:r w:rsidR="003A5413">
        <w:rPr>
          <w:rFonts w:ascii="Times New Roman" w:hAnsi="Times New Roman" w:cs="Times New Roman"/>
        </w:rPr>
        <w:t xml:space="preserve"> judgment calls. </w:t>
      </w:r>
      <w:r w:rsidR="001604F3">
        <w:rPr>
          <w:rFonts w:ascii="Times New Roman" w:hAnsi="Times New Roman" w:cs="Times New Roman"/>
        </w:rPr>
        <w:t xml:space="preserve">Different </w:t>
      </w:r>
      <w:r w:rsidR="00945334">
        <w:rPr>
          <w:rFonts w:ascii="Times New Roman" w:hAnsi="Times New Roman" w:cs="Times New Roman"/>
        </w:rPr>
        <w:t xml:space="preserve">researchers may draw the lines in different places. Nonetheless, </w:t>
      </w:r>
      <w:r w:rsidR="00DA2C25">
        <w:rPr>
          <w:rFonts w:ascii="Times New Roman" w:hAnsi="Times New Roman" w:cs="Times New Roman"/>
        </w:rPr>
        <w:t>our results are instructive.</w:t>
      </w:r>
      <w:r w:rsidR="006C66BD">
        <w:rPr>
          <w:rFonts w:ascii="Times New Roman" w:hAnsi="Times New Roman" w:cs="Times New Roman"/>
        </w:rPr>
        <w:t xml:space="preserve"> </w:t>
      </w:r>
      <w:r w:rsidRPr="00B026E4">
        <w:rPr>
          <w:rFonts w:ascii="Times New Roman" w:hAnsi="Times New Roman" w:cs="Times New Roman"/>
        </w:rPr>
        <w:t>A</w:t>
      </w:r>
      <w:r>
        <w:rPr>
          <w:rFonts w:ascii="Times New Roman" w:hAnsi="Times New Roman" w:cs="Times New Roman"/>
        </w:rPr>
        <w:t xml:space="preserve">pproximately half </w:t>
      </w:r>
      <w:r w:rsidRPr="00B026E4">
        <w:rPr>
          <w:rFonts w:ascii="Times New Roman" w:hAnsi="Times New Roman" w:cs="Times New Roman"/>
        </w:rPr>
        <w:t xml:space="preserve">of the debtors in our </w:t>
      </w:r>
      <w:r>
        <w:rPr>
          <w:rFonts w:ascii="Times New Roman" w:hAnsi="Times New Roman" w:cs="Times New Roman"/>
        </w:rPr>
        <w:t xml:space="preserve">random </w:t>
      </w:r>
      <w:r w:rsidRPr="00B026E4">
        <w:rPr>
          <w:rFonts w:ascii="Times New Roman" w:hAnsi="Times New Roman" w:cs="Times New Roman"/>
        </w:rPr>
        <w:t xml:space="preserve">sample </w:t>
      </w:r>
      <w:r w:rsidR="00945334">
        <w:rPr>
          <w:rFonts w:ascii="Times New Roman" w:hAnsi="Times New Roman" w:cs="Times New Roman"/>
        </w:rPr>
        <w:t xml:space="preserve">(1) </w:t>
      </w:r>
      <w:r w:rsidR="002512A8">
        <w:rPr>
          <w:rFonts w:ascii="Times New Roman" w:hAnsi="Times New Roman" w:cs="Times New Roman"/>
        </w:rPr>
        <w:t>were</w:t>
      </w:r>
      <w:r w:rsidR="00F13F19">
        <w:rPr>
          <w:rFonts w:ascii="Times New Roman" w:hAnsi="Times New Roman" w:cs="Times New Roman"/>
        </w:rPr>
        <w:t xml:space="preserve"> professionals </w:t>
      </w:r>
      <w:r w:rsidR="001604F3">
        <w:rPr>
          <w:rFonts w:ascii="Times New Roman" w:hAnsi="Times New Roman" w:cs="Times New Roman"/>
        </w:rPr>
        <w:t xml:space="preserve">in fields that are often highly </w:t>
      </w:r>
      <w:r w:rsidR="00F13F19">
        <w:rPr>
          <w:rFonts w:ascii="Times New Roman" w:hAnsi="Times New Roman" w:cs="Times New Roman"/>
        </w:rPr>
        <w:t>compensated</w:t>
      </w:r>
      <w:r w:rsidRPr="00B026E4">
        <w:rPr>
          <w:rFonts w:ascii="Times New Roman" w:hAnsi="Times New Roman" w:cs="Times New Roman"/>
        </w:rPr>
        <w:t xml:space="preserve"> (attorney, </w:t>
      </w:r>
      <w:r w:rsidR="00F13F19">
        <w:rPr>
          <w:rFonts w:ascii="Times New Roman" w:hAnsi="Times New Roman" w:cs="Times New Roman"/>
        </w:rPr>
        <w:t xml:space="preserve">chiropractor, dentist, engineer, pharmacist, </w:t>
      </w:r>
      <w:r w:rsidRPr="00B026E4">
        <w:rPr>
          <w:rFonts w:ascii="Times New Roman" w:hAnsi="Times New Roman" w:cs="Times New Roman"/>
        </w:rPr>
        <w:t xml:space="preserve">physician, </w:t>
      </w:r>
      <w:r w:rsidR="00F13F19">
        <w:rPr>
          <w:rFonts w:ascii="Times New Roman" w:hAnsi="Times New Roman" w:cs="Times New Roman"/>
        </w:rPr>
        <w:t xml:space="preserve">and </w:t>
      </w:r>
      <w:r w:rsidRPr="00B026E4">
        <w:rPr>
          <w:rFonts w:ascii="Times New Roman" w:hAnsi="Times New Roman" w:cs="Times New Roman"/>
        </w:rPr>
        <w:t xml:space="preserve">psychiatrist), </w:t>
      </w:r>
      <w:r w:rsidR="00945334">
        <w:rPr>
          <w:rFonts w:ascii="Times New Roman" w:hAnsi="Times New Roman" w:cs="Times New Roman"/>
        </w:rPr>
        <w:t xml:space="preserve">(2) </w:t>
      </w:r>
      <w:r w:rsidRPr="00B026E4">
        <w:rPr>
          <w:rFonts w:ascii="Times New Roman" w:hAnsi="Times New Roman" w:cs="Times New Roman"/>
        </w:rPr>
        <w:t>ran a business (</w:t>
      </w:r>
      <w:r w:rsidR="00A86001">
        <w:rPr>
          <w:rFonts w:ascii="Times New Roman" w:hAnsi="Times New Roman" w:cs="Times New Roman"/>
        </w:rPr>
        <w:t>president, CEO or o</w:t>
      </w:r>
      <w:r w:rsidRPr="00B026E4">
        <w:rPr>
          <w:rFonts w:ascii="Times New Roman" w:hAnsi="Times New Roman" w:cs="Times New Roman"/>
        </w:rPr>
        <w:t xml:space="preserve">wner), or </w:t>
      </w:r>
      <w:r w:rsidR="00945334">
        <w:rPr>
          <w:rFonts w:ascii="Times New Roman" w:hAnsi="Times New Roman" w:cs="Times New Roman"/>
        </w:rPr>
        <w:t xml:space="preserve">(3) </w:t>
      </w:r>
      <w:r w:rsidRPr="00B026E4">
        <w:rPr>
          <w:rFonts w:ascii="Times New Roman" w:hAnsi="Times New Roman" w:cs="Times New Roman"/>
        </w:rPr>
        <w:t>were self-employed. We suspect that other debtors</w:t>
      </w:r>
      <w:r w:rsidR="003A5413">
        <w:rPr>
          <w:rFonts w:ascii="Times New Roman" w:hAnsi="Times New Roman" w:cs="Times New Roman"/>
        </w:rPr>
        <w:t>,</w:t>
      </w:r>
      <w:r w:rsidR="003A5413" w:rsidRPr="00B026E4">
        <w:rPr>
          <w:rFonts w:ascii="Times New Roman" w:hAnsi="Times New Roman" w:cs="Times New Roman"/>
        </w:rPr>
        <w:t xml:space="preserve"> </w:t>
      </w:r>
      <w:r w:rsidRPr="00B026E4">
        <w:rPr>
          <w:rFonts w:ascii="Times New Roman" w:hAnsi="Times New Roman" w:cs="Times New Roman"/>
        </w:rPr>
        <w:t xml:space="preserve">such as realtors and mortgage brokers, as well as </w:t>
      </w:r>
      <w:r w:rsidR="00F13F19">
        <w:rPr>
          <w:rFonts w:ascii="Times New Roman" w:hAnsi="Times New Roman" w:cs="Times New Roman"/>
        </w:rPr>
        <w:t xml:space="preserve">some of the </w:t>
      </w:r>
      <w:r w:rsidRPr="00B026E4">
        <w:rPr>
          <w:rFonts w:ascii="Times New Roman" w:hAnsi="Times New Roman" w:cs="Times New Roman"/>
        </w:rPr>
        <w:t>debtors in the “other” category—</w:t>
      </w:r>
      <w:r w:rsidR="00FA08FD">
        <w:rPr>
          <w:rFonts w:ascii="Times New Roman" w:hAnsi="Times New Roman" w:cs="Times New Roman"/>
        </w:rPr>
        <w:t xml:space="preserve">farmer, investment advisor, </w:t>
      </w:r>
      <w:r w:rsidR="00F13F19">
        <w:rPr>
          <w:rFonts w:ascii="Times New Roman" w:hAnsi="Times New Roman" w:cs="Times New Roman"/>
        </w:rPr>
        <w:t xml:space="preserve">photo journalist, </w:t>
      </w:r>
      <w:r w:rsidR="003A5413">
        <w:rPr>
          <w:rFonts w:ascii="Times New Roman" w:hAnsi="Times New Roman" w:cs="Times New Roman"/>
        </w:rPr>
        <w:t xml:space="preserve">and </w:t>
      </w:r>
      <w:r w:rsidR="00F13F19">
        <w:rPr>
          <w:rFonts w:ascii="Times New Roman" w:hAnsi="Times New Roman" w:cs="Times New Roman"/>
        </w:rPr>
        <w:t>professional truck driver</w:t>
      </w:r>
      <w:r w:rsidR="001604F3">
        <w:rPr>
          <w:rFonts w:ascii="Times New Roman" w:hAnsi="Times New Roman" w:cs="Times New Roman"/>
        </w:rPr>
        <w:t>—</w:t>
      </w:r>
      <w:r w:rsidR="004B55C9">
        <w:rPr>
          <w:rFonts w:ascii="Times New Roman" w:hAnsi="Times New Roman" w:cs="Times New Roman"/>
        </w:rPr>
        <w:t>also were self-employed</w:t>
      </w:r>
      <w:r w:rsidRPr="00B026E4">
        <w:rPr>
          <w:rFonts w:ascii="Times New Roman" w:hAnsi="Times New Roman" w:cs="Times New Roman"/>
        </w:rPr>
        <w:t xml:space="preserve">.  </w:t>
      </w:r>
    </w:p>
    <w:p w14:paraId="156DC98B" w14:textId="40B9E755" w:rsidR="008373AC" w:rsidRPr="00B026E4" w:rsidRDefault="008D6DE8" w:rsidP="008373AC">
      <w:pPr>
        <w:spacing w:line="480" w:lineRule="auto"/>
        <w:ind w:firstLine="720"/>
        <w:rPr>
          <w:rFonts w:ascii="Times New Roman" w:hAnsi="Times New Roman" w:cs="Times New Roman"/>
        </w:rPr>
      </w:pPr>
      <w:r>
        <w:rPr>
          <w:rFonts w:ascii="Times New Roman" w:hAnsi="Times New Roman" w:cs="Times New Roman"/>
        </w:rPr>
        <w:t>We make two observations from t</w:t>
      </w:r>
      <w:r w:rsidR="008373AC" w:rsidRPr="00B026E4">
        <w:rPr>
          <w:rFonts w:ascii="Times New Roman" w:hAnsi="Times New Roman" w:cs="Times New Roman"/>
        </w:rPr>
        <w:t xml:space="preserve">his </w:t>
      </w:r>
      <w:r w:rsidR="008373AC">
        <w:rPr>
          <w:rFonts w:ascii="Times New Roman" w:hAnsi="Times New Roman" w:cs="Times New Roman"/>
        </w:rPr>
        <w:t>data on debtor occupation</w:t>
      </w:r>
      <w:r w:rsidR="006E5A7D">
        <w:rPr>
          <w:rFonts w:ascii="Times New Roman" w:hAnsi="Times New Roman" w:cs="Times New Roman"/>
        </w:rPr>
        <w:t>.</w:t>
      </w:r>
      <w:r>
        <w:rPr>
          <w:rFonts w:ascii="Times New Roman" w:hAnsi="Times New Roman" w:cs="Times New Roman"/>
        </w:rPr>
        <w:t xml:space="preserve"> F</w:t>
      </w:r>
      <w:r w:rsidR="003A5413">
        <w:rPr>
          <w:rFonts w:ascii="Times New Roman" w:hAnsi="Times New Roman" w:cs="Times New Roman"/>
        </w:rPr>
        <w:t>irst,</w:t>
      </w:r>
      <w:r w:rsidR="008373AC" w:rsidRPr="00B026E4">
        <w:rPr>
          <w:rFonts w:ascii="Times New Roman" w:hAnsi="Times New Roman" w:cs="Times New Roman"/>
        </w:rPr>
        <w:t xml:space="preserve"> a very large proportion of </w:t>
      </w:r>
      <w:r w:rsidR="008373AC">
        <w:rPr>
          <w:rFonts w:ascii="Times New Roman" w:hAnsi="Times New Roman" w:cs="Times New Roman"/>
        </w:rPr>
        <w:t xml:space="preserve">individual </w:t>
      </w:r>
      <w:r w:rsidR="00AA091B">
        <w:rPr>
          <w:rFonts w:ascii="Times New Roman" w:hAnsi="Times New Roman" w:cs="Times New Roman"/>
        </w:rPr>
        <w:t>chapter</w:t>
      </w:r>
      <w:r w:rsidR="008373AC" w:rsidRPr="00B026E4">
        <w:rPr>
          <w:rFonts w:ascii="Times New Roman" w:hAnsi="Times New Roman" w:cs="Times New Roman"/>
        </w:rPr>
        <w:t xml:space="preserve"> 11 debtors operat</w:t>
      </w:r>
      <w:r>
        <w:rPr>
          <w:rFonts w:ascii="Times New Roman" w:hAnsi="Times New Roman" w:cs="Times New Roman"/>
        </w:rPr>
        <w:t>e</w:t>
      </w:r>
      <w:r w:rsidR="002512A8">
        <w:rPr>
          <w:rFonts w:ascii="Times New Roman" w:hAnsi="Times New Roman" w:cs="Times New Roman"/>
        </w:rPr>
        <w:t>d</w:t>
      </w:r>
      <w:r w:rsidR="008373AC" w:rsidRPr="00B026E4">
        <w:rPr>
          <w:rFonts w:ascii="Times New Roman" w:hAnsi="Times New Roman" w:cs="Times New Roman"/>
        </w:rPr>
        <w:t xml:space="preserve"> businesses as their primary occupations. Second,</w:t>
      </w:r>
      <w:r w:rsidR="00945334">
        <w:rPr>
          <w:rFonts w:ascii="Times New Roman" w:hAnsi="Times New Roman" w:cs="Times New Roman"/>
        </w:rPr>
        <w:t xml:space="preserve"> the data</w:t>
      </w:r>
      <w:r w:rsidR="008373AC" w:rsidRPr="00B026E4">
        <w:rPr>
          <w:rFonts w:ascii="Times New Roman" w:hAnsi="Times New Roman" w:cs="Times New Roman"/>
        </w:rPr>
        <w:t xml:space="preserve"> may say something about whether </w:t>
      </w:r>
      <w:r w:rsidR="001604F3">
        <w:rPr>
          <w:rFonts w:ascii="Times New Roman" w:hAnsi="Times New Roman" w:cs="Times New Roman"/>
        </w:rPr>
        <w:t xml:space="preserve">individual chapter 11 </w:t>
      </w:r>
      <w:r w:rsidR="008373AC" w:rsidRPr="00B026E4">
        <w:rPr>
          <w:rFonts w:ascii="Times New Roman" w:hAnsi="Times New Roman" w:cs="Times New Roman"/>
        </w:rPr>
        <w:t xml:space="preserve">debtors are “middle-class,” </w:t>
      </w:r>
      <w:r>
        <w:rPr>
          <w:rFonts w:ascii="Times New Roman" w:hAnsi="Times New Roman" w:cs="Times New Roman"/>
        </w:rPr>
        <w:t>al</w:t>
      </w:r>
      <w:r w:rsidR="008373AC" w:rsidRPr="00B026E4">
        <w:rPr>
          <w:rFonts w:ascii="Times New Roman" w:hAnsi="Times New Roman" w:cs="Times New Roman"/>
        </w:rPr>
        <w:t xml:space="preserve">though this term can </w:t>
      </w:r>
      <w:r w:rsidR="00945334">
        <w:rPr>
          <w:rFonts w:ascii="Times New Roman" w:hAnsi="Times New Roman" w:cs="Times New Roman"/>
        </w:rPr>
        <w:t>have</w:t>
      </w:r>
      <w:r w:rsidR="008373AC" w:rsidRPr="00B026E4">
        <w:rPr>
          <w:rFonts w:ascii="Times New Roman" w:hAnsi="Times New Roman" w:cs="Times New Roman"/>
        </w:rPr>
        <w:t xml:space="preserve"> an extremely expansive meaning</w:t>
      </w:r>
      <w:r w:rsidR="008373AC">
        <w:rPr>
          <w:rFonts w:ascii="Times New Roman" w:hAnsi="Times New Roman" w:cs="Times New Roman"/>
        </w:rPr>
        <w:t>. N</w:t>
      </w:r>
      <w:r w:rsidR="008373AC" w:rsidRPr="00B026E4">
        <w:rPr>
          <w:rFonts w:ascii="Times New Roman" w:hAnsi="Times New Roman" w:cs="Times New Roman"/>
        </w:rPr>
        <w:t xml:space="preserve">either self-employment nor even the ownership of a small business necessarily indicates what one </w:t>
      </w:r>
      <w:r w:rsidR="003A5413">
        <w:rPr>
          <w:rFonts w:ascii="Times New Roman" w:hAnsi="Times New Roman" w:cs="Times New Roman"/>
        </w:rPr>
        <w:t xml:space="preserve">might call high </w:t>
      </w:r>
      <w:r w:rsidR="008373AC" w:rsidRPr="00B026E4">
        <w:rPr>
          <w:rFonts w:ascii="Times New Roman" w:hAnsi="Times New Roman" w:cs="Times New Roman"/>
        </w:rPr>
        <w:t xml:space="preserve">living. </w:t>
      </w:r>
      <w:r w:rsidR="001604F3">
        <w:rPr>
          <w:rFonts w:ascii="Times New Roman" w:hAnsi="Times New Roman" w:cs="Times New Roman"/>
        </w:rPr>
        <w:t>In a moment</w:t>
      </w:r>
      <w:r w:rsidR="008373AC">
        <w:rPr>
          <w:rFonts w:ascii="Times New Roman" w:hAnsi="Times New Roman" w:cs="Times New Roman"/>
        </w:rPr>
        <w:t>,</w:t>
      </w:r>
      <w:r w:rsidR="008373AC" w:rsidRPr="00B026E4">
        <w:rPr>
          <w:rFonts w:ascii="Times New Roman" w:hAnsi="Times New Roman" w:cs="Times New Roman"/>
        </w:rPr>
        <w:t xml:space="preserve"> therefore</w:t>
      </w:r>
      <w:r w:rsidR="008373AC">
        <w:rPr>
          <w:rFonts w:ascii="Times New Roman" w:hAnsi="Times New Roman" w:cs="Times New Roman"/>
        </w:rPr>
        <w:t>,</w:t>
      </w:r>
      <w:r w:rsidR="008373AC" w:rsidRPr="00B026E4">
        <w:rPr>
          <w:rFonts w:ascii="Times New Roman" w:hAnsi="Times New Roman" w:cs="Times New Roman"/>
        </w:rPr>
        <w:t xml:space="preserve"> </w:t>
      </w:r>
      <w:r w:rsidR="001604F3">
        <w:rPr>
          <w:rFonts w:ascii="Times New Roman" w:hAnsi="Times New Roman" w:cs="Times New Roman"/>
        </w:rPr>
        <w:t xml:space="preserve">we turn </w:t>
      </w:r>
      <w:r w:rsidR="008373AC" w:rsidRPr="00B026E4">
        <w:rPr>
          <w:rFonts w:ascii="Times New Roman" w:hAnsi="Times New Roman" w:cs="Times New Roman"/>
        </w:rPr>
        <w:t>to the debtors’ income and expenses.</w:t>
      </w:r>
    </w:p>
    <w:p w14:paraId="5608127E" w14:textId="5A7047D7" w:rsidR="008373AC" w:rsidRDefault="008373AC" w:rsidP="006C66BD">
      <w:pPr>
        <w:spacing w:line="480" w:lineRule="auto"/>
        <w:ind w:firstLine="720"/>
        <w:rPr>
          <w:rFonts w:ascii="Times New Roman" w:hAnsi="Times New Roman" w:cs="Times New Roman"/>
          <w:b/>
        </w:rPr>
      </w:pPr>
      <w:r w:rsidRPr="00B026E4">
        <w:rPr>
          <w:rFonts w:ascii="Times New Roman" w:hAnsi="Times New Roman" w:cs="Times New Roman"/>
        </w:rPr>
        <w:t>Before doing so, however, we note the very long job tenure claimed by the individual</w:t>
      </w:r>
      <w:r>
        <w:rPr>
          <w:rFonts w:ascii="Times New Roman" w:hAnsi="Times New Roman" w:cs="Times New Roman"/>
        </w:rPr>
        <w:t xml:space="preserve"> </w:t>
      </w:r>
      <w:r w:rsidR="00AA091B">
        <w:rPr>
          <w:rFonts w:ascii="Times New Roman" w:hAnsi="Times New Roman" w:cs="Times New Roman"/>
        </w:rPr>
        <w:t>chapter</w:t>
      </w:r>
      <w:r>
        <w:rPr>
          <w:rFonts w:ascii="Times New Roman" w:hAnsi="Times New Roman" w:cs="Times New Roman"/>
        </w:rPr>
        <w:t xml:space="preserve"> 11 debtors in our sample. </w:t>
      </w:r>
      <w:r w:rsidR="00945334">
        <w:rPr>
          <w:rFonts w:ascii="Times New Roman" w:hAnsi="Times New Roman" w:cs="Times New Roman"/>
        </w:rPr>
        <w:t>The data in Table 2</w:t>
      </w:r>
      <w:r w:rsidR="00296FEB">
        <w:rPr>
          <w:rFonts w:ascii="Times New Roman" w:hAnsi="Times New Roman" w:cs="Times New Roman"/>
        </w:rPr>
        <w:t>4</w:t>
      </w:r>
      <w:r w:rsidR="00945334">
        <w:rPr>
          <w:rFonts w:ascii="Times New Roman" w:hAnsi="Times New Roman" w:cs="Times New Roman"/>
        </w:rPr>
        <w:t xml:space="preserve"> </w:t>
      </w:r>
      <w:r w:rsidR="00FD7990">
        <w:rPr>
          <w:rFonts w:ascii="Times New Roman" w:hAnsi="Times New Roman" w:cs="Times New Roman"/>
        </w:rPr>
        <w:t>are</w:t>
      </w:r>
      <w:r w:rsidR="00945334">
        <w:rPr>
          <w:rFonts w:ascii="Times New Roman" w:hAnsi="Times New Roman" w:cs="Times New Roman"/>
        </w:rPr>
        <w:t xml:space="preserve"> based on the responses of one debtor</w:t>
      </w:r>
      <w:r w:rsidR="003A5413">
        <w:rPr>
          <w:rFonts w:ascii="Times New Roman" w:hAnsi="Times New Roman" w:cs="Times New Roman"/>
        </w:rPr>
        <w:t xml:space="preserve"> for each case</w:t>
      </w:r>
      <w:r w:rsidR="00945334">
        <w:rPr>
          <w:rFonts w:ascii="Times New Roman" w:hAnsi="Times New Roman" w:cs="Times New Roman"/>
        </w:rPr>
        <w:t xml:space="preserve">; thus, for joint cases, we used the </w:t>
      </w:r>
      <w:r w:rsidR="004F27BD">
        <w:rPr>
          <w:rFonts w:ascii="Times New Roman" w:hAnsi="Times New Roman" w:cs="Times New Roman"/>
        </w:rPr>
        <w:t>period</w:t>
      </w:r>
      <w:r w:rsidR="00945334">
        <w:rPr>
          <w:rFonts w:ascii="Times New Roman" w:hAnsi="Times New Roman" w:cs="Times New Roman"/>
        </w:rPr>
        <w:t xml:space="preserve"> provided for the first debtor listed on Schedule I. </w:t>
      </w:r>
      <w:r w:rsidRPr="00B026E4">
        <w:rPr>
          <w:rFonts w:ascii="Times New Roman" w:hAnsi="Times New Roman" w:cs="Times New Roman"/>
        </w:rPr>
        <w:t>Several of our debtors did not respond to Schedule I’s inquiry “How long emp</w:t>
      </w:r>
      <w:r w:rsidR="003A5413">
        <w:rPr>
          <w:rFonts w:ascii="Times New Roman" w:hAnsi="Times New Roman" w:cs="Times New Roman"/>
        </w:rPr>
        <w:t xml:space="preserve">loyed.” Those </w:t>
      </w:r>
      <w:r w:rsidR="008D6DE8">
        <w:rPr>
          <w:rFonts w:ascii="Times New Roman" w:hAnsi="Times New Roman" w:cs="Times New Roman"/>
        </w:rPr>
        <w:t>who</w:t>
      </w:r>
      <w:r w:rsidR="003A5413">
        <w:rPr>
          <w:rFonts w:ascii="Times New Roman" w:hAnsi="Times New Roman" w:cs="Times New Roman"/>
        </w:rPr>
        <w:t xml:space="preserve"> did</w:t>
      </w:r>
      <w:r w:rsidRPr="00B026E4">
        <w:rPr>
          <w:rFonts w:ascii="Times New Roman" w:hAnsi="Times New Roman" w:cs="Times New Roman"/>
        </w:rPr>
        <w:t xml:space="preserve"> </w:t>
      </w:r>
      <w:r w:rsidR="008D6DE8">
        <w:rPr>
          <w:rFonts w:ascii="Times New Roman" w:hAnsi="Times New Roman" w:cs="Times New Roman"/>
        </w:rPr>
        <w:t xml:space="preserve">respond </w:t>
      </w:r>
      <w:r>
        <w:rPr>
          <w:rFonts w:ascii="Times New Roman" w:hAnsi="Times New Roman" w:cs="Times New Roman"/>
        </w:rPr>
        <w:t>reported</w:t>
      </w:r>
      <w:r w:rsidRPr="00B026E4">
        <w:rPr>
          <w:rFonts w:ascii="Times New Roman" w:hAnsi="Times New Roman" w:cs="Times New Roman"/>
        </w:rPr>
        <w:t xml:space="preserve"> median employment tenure </w:t>
      </w:r>
      <w:r>
        <w:rPr>
          <w:rFonts w:ascii="Times New Roman" w:hAnsi="Times New Roman" w:cs="Times New Roman"/>
        </w:rPr>
        <w:t>of seven-and-a-half years and nine years in 2010 and 2013, respectively.</w:t>
      </w:r>
      <w:r w:rsidRPr="00B026E4">
        <w:rPr>
          <w:rFonts w:ascii="Times New Roman" w:hAnsi="Times New Roman" w:cs="Times New Roman"/>
        </w:rPr>
        <w:t xml:space="preserve"> By contrast, in their study of debtors who filed </w:t>
      </w:r>
      <w:r>
        <w:rPr>
          <w:rFonts w:ascii="Times New Roman" w:hAnsi="Times New Roman" w:cs="Times New Roman"/>
        </w:rPr>
        <w:t xml:space="preserve">for relief under </w:t>
      </w:r>
      <w:r w:rsidR="00AA091B">
        <w:rPr>
          <w:rFonts w:ascii="Times New Roman" w:hAnsi="Times New Roman" w:cs="Times New Roman"/>
        </w:rPr>
        <w:t>chapter</w:t>
      </w:r>
      <w:r w:rsidRPr="00B026E4">
        <w:rPr>
          <w:rFonts w:ascii="Times New Roman" w:hAnsi="Times New Roman" w:cs="Times New Roman"/>
        </w:rPr>
        <w:t>s 7 or 13 in the early 1980s, Sullivan, Warren and Westbrook found that the median job tenure was just eighteen months.</w:t>
      </w:r>
      <w:r w:rsidRPr="00B026E4">
        <w:rPr>
          <w:rStyle w:val="FootnoteReference"/>
          <w:rFonts w:ascii="Times New Roman" w:hAnsi="Times New Roman" w:cs="Times New Roman"/>
        </w:rPr>
        <w:footnoteReference w:id="149"/>
      </w:r>
      <w:r w:rsidRPr="00B026E4">
        <w:rPr>
          <w:rFonts w:ascii="Times New Roman" w:hAnsi="Times New Roman" w:cs="Times New Roman"/>
        </w:rPr>
        <w:t xml:space="preserve"> We suspect that the </w:t>
      </w:r>
      <w:r>
        <w:rPr>
          <w:rFonts w:ascii="Times New Roman" w:hAnsi="Times New Roman" w:cs="Times New Roman"/>
        </w:rPr>
        <w:t xml:space="preserve">difference in findings may be </w:t>
      </w:r>
      <w:r w:rsidRPr="00B026E4">
        <w:rPr>
          <w:rFonts w:ascii="Times New Roman" w:hAnsi="Times New Roman" w:cs="Times New Roman"/>
        </w:rPr>
        <w:t xml:space="preserve">due to the fact that many of our debtors </w:t>
      </w:r>
      <w:r w:rsidR="002512A8">
        <w:rPr>
          <w:rFonts w:ascii="Times New Roman" w:hAnsi="Times New Roman" w:cs="Times New Roman"/>
        </w:rPr>
        <w:t>were</w:t>
      </w:r>
      <w:r w:rsidRPr="00B026E4">
        <w:rPr>
          <w:rFonts w:ascii="Times New Roman" w:hAnsi="Times New Roman" w:cs="Times New Roman"/>
        </w:rPr>
        <w:t xml:space="preserve"> self-employed and </w:t>
      </w:r>
      <w:r w:rsidR="002512A8">
        <w:rPr>
          <w:rFonts w:ascii="Times New Roman" w:hAnsi="Times New Roman" w:cs="Times New Roman"/>
        </w:rPr>
        <w:t>were</w:t>
      </w:r>
      <w:r w:rsidRPr="00B026E4">
        <w:rPr>
          <w:rFonts w:ascii="Times New Roman" w:hAnsi="Times New Roman" w:cs="Times New Roman"/>
        </w:rPr>
        <w:t xml:space="preserve"> simply reporting how long they have been in </w:t>
      </w:r>
      <w:r w:rsidR="00C07CD2">
        <w:rPr>
          <w:rFonts w:ascii="Times New Roman" w:hAnsi="Times New Roman" w:cs="Times New Roman"/>
        </w:rPr>
        <w:t>a particular</w:t>
      </w:r>
      <w:r w:rsidRPr="00B026E4">
        <w:rPr>
          <w:rFonts w:ascii="Times New Roman" w:hAnsi="Times New Roman" w:cs="Times New Roman"/>
        </w:rPr>
        <w:t xml:space="preserve"> line of work</w:t>
      </w:r>
      <w:r w:rsidR="00C07CD2">
        <w:rPr>
          <w:rFonts w:ascii="Times New Roman" w:hAnsi="Times New Roman" w:cs="Times New Roman"/>
        </w:rPr>
        <w:t xml:space="preserve"> rather than how long they ha</w:t>
      </w:r>
      <w:r w:rsidR="002512A8">
        <w:rPr>
          <w:rFonts w:ascii="Times New Roman" w:hAnsi="Times New Roman" w:cs="Times New Roman"/>
        </w:rPr>
        <w:t>d</w:t>
      </w:r>
      <w:r w:rsidR="00C07CD2">
        <w:rPr>
          <w:rFonts w:ascii="Times New Roman" w:hAnsi="Times New Roman" w:cs="Times New Roman"/>
        </w:rPr>
        <w:t xml:space="preserve"> worked at their most recent position</w:t>
      </w:r>
      <w:r w:rsidRPr="00B026E4">
        <w:rPr>
          <w:rFonts w:ascii="Times New Roman" w:hAnsi="Times New Roman" w:cs="Times New Roman"/>
        </w:rPr>
        <w:t>.</w:t>
      </w:r>
    </w:p>
    <w:p w14:paraId="0EBA5B32" w14:textId="76342AB1" w:rsidR="008373AC" w:rsidRPr="00B026E4" w:rsidRDefault="008373AC" w:rsidP="001604F3">
      <w:pPr>
        <w:keepNext/>
        <w:keepLines/>
        <w:spacing w:line="480" w:lineRule="auto"/>
        <w:ind w:firstLine="720"/>
        <w:jc w:val="center"/>
        <w:rPr>
          <w:rFonts w:ascii="Times New Roman" w:hAnsi="Times New Roman" w:cs="Times New Roman"/>
          <w:b/>
        </w:rPr>
      </w:pPr>
      <w:r w:rsidRPr="00B026E4">
        <w:rPr>
          <w:rFonts w:ascii="Times New Roman" w:hAnsi="Times New Roman" w:cs="Times New Roman"/>
          <w:b/>
        </w:rPr>
        <w:t>Table 2</w:t>
      </w:r>
      <w:r w:rsidR="00296FEB">
        <w:rPr>
          <w:rFonts w:ascii="Times New Roman" w:hAnsi="Times New Roman" w:cs="Times New Roman"/>
          <w:b/>
        </w:rPr>
        <w:t>4</w:t>
      </w:r>
      <w:r w:rsidRPr="00B026E4">
        <w:rPr>
          <w:rFonts w:ascii="Times New Roman" w:hAnsi="Times New Roman" w:cs="Times New Roman"/>
          <w:b/>
        </w:rPr>
        <w:t>: Employment Duration</w:t>
      </w:r>
      <w:r w:rsidR="00945334">
        <w:rPr>
          <w:rFonts w:ascii="Times New Roman" w:hAnsi="Times New Roman" w:cs="Times New Roman"/>
          <w:b/>
        </w:rPr>
        <w:t xml:space="preserve"> in</w:t>
      </w:r>
      <w:r w:rsidR="00776687">
        <w:rPr>
          <w:rFonts w:ascii="Times New Roman" w:hAnsi="Times New Roman" w:cs="Times New Roman"/>
          <w:b/>
        </w:rPr>
        <w:t xml:space="preserve"> Years</w:t>
      </w:r>
    </w:p>
    <w:tbl>
      <w:tblPr>
        <w:tblStyle w:val="TableGrid"/>
        <w:tblW w:w="7938" w:type="dxa"/>
        <w:tblLook w:val="04A0" w:firstRow="1" w:lastRow="0" w:firstColumn="1" w:lastColumn="0" w:noHBand="0" w:noVBand="1"/>
      </w:tblPr>
      <w:tblGrid>
        <w:gridCol w:w="3168"/>
        <w:gridCol w:w="2520"/>
        <w:gridCol w:w="2250"/>
      </w:tblGrid>
      <w:tr w:rsidR="008373AC" w:rsidRPr="00537498" w14:paraId="477B9925" w14:textId="77777777" w:rsidTr="00296FEB">
        <w:trPr>
          <w:trHeight w:val="300"/>
        </w:trPr>
        <w:tc>
          <w:tcPr>
            <w:tcW w:w="3168" w:type="dxa"/>
            <w:tcBorders>
              <w:top w:val="nil"/>
              <w:left w:val="nil"/>
              <w:bottom w:val="single" w:sz="18" w:space="0" w:color="auto"/>
              <w:right w:val="single" w:sz="18" w:space="0" w:color="auto"/>
            </w:tcBorders>
            <w:noWrap/>
            <w:hideMark/>
          </w:tcPr>
          <w:p w14:paraId="1E494477" w14:textId="77777777" w:rsidR="008373AC" w:rsidRPr="00B026E4" w:rsidRDefault="008373AC" w:rsidP="001604F3">
            <w:pPr>
              <w:keepNext/>
              <w:keepLines/>
              <w:rPr>
                <w:rFonts w:ascii="Times New Roman" w:eastAsia="Times New Roman" w:hAnsi="Times New Roman" w:cs="Times New Roman"/>
                <w:color w:val="000000"/>
              </w:rPr>
            </w:pPr>
          </w:p>
        </w:tc>
        <w:tc>
          <w:tcPr>
            <w:tcW w:w="2520" w:type="dxa"/>
            <w:tcBorders>
              <w:top w:val="single" w:sz="18" w:space="0" w:color="auto"/>
              <w:left w:val="single" w:sz="18" w:space="0" w:color="auto"/>
              <w:bottom w:val="single" w:sz="18" w:space="0" w:color="auto"/>
              <w:right w:val="single" w:sz="18" w:space="0" w:color="auto"/>
            </w:tcBorders>
            <w:noWrap/>
            <w:hideMark/>
          </w:tcPr>
          <w:p w14:paraId="7BD43EA7" w14:textId="77777777" w:rsidR="008373AC" w:rsidRPr="00B026E4" w:rsidRDefault="008373AC" w:rsidP="001604F3">
            <w:pPr>
              <w:keepNext/>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2010</w:t>
            </w:r>
          </w:p>
        </w:tc>
        <w:tc>
          <w:tcPr>
            <w:tcW w:w="2250" w:type="dxa"/>
            <w:tcBorders>
              <w:top w:val="single" w:sz="18" w:space="0" w:color="auto"/>
              <w:left w:val="single" w:sz="18" w:space="0" w:color="auto"/>
              <w:bottom w:val="single" w:sz="18" w:space="0" w:color="auto"/>
              <w:right w:val="single" w:sz="18" w:space="0" w:color="auto"/>
            </w:tcBorders>
            <w:noWrap/>
            <w:hideMark/>
          </w:tcPr>
          <w:p w14:paraId="18747A11" w14:textId="77777777" w:rsidR="008373AC" w:rsidRPr="00B026E4" w:rsidRDefault="008373AC" w:rsidP="001604F3">
            <w:pPr>
              <w:keepNext/>
              <w:keepLines/>
              <w:jc w:val="center"/>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b/>
                <w:bCs/>
                <w:color w:val="000000"/>
              </w:rPr>
              <w:t>2013</w:t>
            </w:r>
          </w:p>
        </w:tc>
      </w:tr>
      <w:tr w:rsidR="008373AC" w:rsidRPr="00537498" w14:paraId="7B0769CE" w14:textId="77777777" w:rsidTr="00296FEB">
        <w:trPr>
          <w:trHeight w:val="300"/>
        </w:trPr>
        <w:tc>
          <w:tcPr>
            <w:tcW w:w="3168" w:type="dxa"/>
            <w:tcBorders>
              <w:top w:val="single" w:sz="18" w:space="0" w:color="auto"/>
              <w:right w:val="single" w:sz="18" w:space="0" w:color="auto"/>
            </w:tcBorders>
            <w:noWrap/>
            <w:hideMark/>
          </w:tcPr>
          <w:p w14:paraId="6BAEF868" w14:textId="77777777" w:rsidR="008373AC" w:rsidRPr="00B026E4" w:rsidRDefault="008373AC" w:rsidP="001604F3">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Over 25 Years</w:t>
            </w:r>
          </w:p>
        </w:tc>
        <w:tc>
          <w:tcPr>
            <w:tcW w:w="2520" w:type="dxa"/>
            <w:tcBorders>
              <w:top w:val="single" w:sz="18" w:space="0" w:color="auto"/>
              <w:left w:val="single" w:sz="18" w:space="0" w:color="auto"/>
              <w:right w:val="single" w:sz="18" w:space="0" w:color="auto"/>
            </w:tcBorders>
            <w:noWrap/>
            <w:hideMark/>
          </w:tcPr>
          <w:p w14:paraId="327C9110" w14:textId="77777777" w:rsidR="008373AC" w:rsidRPr="00B026E4" w:rsidRDefault="008373AC" w:rsidP="001604F3">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7.3%</w:t>
            </w:r>
          </w:p>
        </w:tc>
        <w:tc>
          <w:tcPr>
            <w:tcW w:w="2250" w:type="dxa"/>
            <w:tcBorders>
              <w:top w:val="single" w:sz="18" w:space="0" w:color="auto"/>
              <w:left w:val="single" w:sz="18" w:space="0" w:color="auto"/>
              <w:right w:val="single" w:sz="18" w:space="0" w:color="auto"/>
            </w:tcBorders>
            <w:noWrap/>
            <w:hideMark/>
          </w:tcPr>
          <w:p w14:paraId="6FD5E036" w14:textId="77777777" w:rsidR="008373AC" w:rsidRPr="00B026E4" w:rsidRDefault="008373AC" w:rsidP="001604F3">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12.3%</w:t>
            </w:r>
          </w:p>
        </w:tc>
      </w:tr>
      <w:tr w:rsidR="008373AC" w:rsidRPr="00537498" w14:paraId="3CABB708" w14:textId="77777777" w:rsidTr="00296FEB">
        <w:trPr>
          <w:trHeight w:val="300"/>
        </w:trPr>
        <w:tc>
          <w:tcPr>
            <w:tcW w:w="3168" w:type="dxa"/>
            <w:tcBorders>
              <w:right w:val="single" w:sz="18" w:space="0" w:color="auto"/>
            </w:tcBorders>
            <w:noWrap/>
            <w:hideMark/>
          </w:tcPr>
          <w:p w14:paraId="6672FD25" w14:textId="77777777" w:rsidR="008373AC" w:rsidRPr="00B026E4" w:rsidRDefault="008373AC" w:rsidP="001604F3">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10 to 25 Years</w:t>
            </w:r>
          </w:p>
        </w:tc>
        <w:tc>
          <w:tcPr>
            <w:tcW w:w="2520" w:type="dxa"/>
            <w:tcBorders>
              <w:left w:val="single" w:sz="18" w:space="0" w:color="auto"/>
              <w:right w:val="single" w:sz="18" w:space="0" w:color="auto"/>
            </w:tcBorders>
            <w:noWrap/>
            <w:hideMark/>
          </w:tcPr>
          <w:p w14:paraId="64665147" w14:textId="77777777" w:rsidR="008373AC" w:rsidRPr="00B026E4" w:rsidRDefault="008373AC" w:rsidP="001604F3">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17.4%</w:t>
            </w:r>
          </w:p>
        </w:tc>
        <w:tc>
          <w:tcPr>
            <w:tcW w:w="2250" w:type="dxa"/>
            <w:tcBorders>
              <w:left w:val="single" w:sz="18" w:space="0" w:color="auto"/>
              <w:right w:val="single" w:sz="18" w:space="0" w:color="auto"/>
            </w:tcBorders>
            <w:noWrap/>
            <w:hideMark/>
          </w:tcPr>
          <w:p w14:paraId="4448ECA8" w14:textId="77777777" w:rsidR="008373AC" w:rsidRPr="00B026E4" w:rsidRDefault="008373AC" w:rsidP="001604F3">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18.4%</w:t>
            </w:r>
          </w:p>
        </w:tc>
      </w:tr>
      <w:tr w:rsidR="008373AC" w:rsidRPr="00537498" w14:paraId="6011339A" w14:textId="77777777" w:rsidTr="00296FEB">
        <w:trPr>
          <w:trHeight w:val="300"/>
        </w:trPr>
        <w:tc>
          <w:tcPr>
            <w:tcW w:w="3168" w:type="dxa"/>
            <w:tcBorders>
              <w:right w:val="single" w:sz="18" w:space="0" w:color="auto"/>
            </w:tcBorders>
            <w:noWrap/>
            <w:hideMark/>
          </w:tcPr>
          <w:p w14:paraId="22998B1F" w14:textId="77777777" w:rsidR="008373AC" w:rsidRPr="00B026E4" w:rsidRDefault="008373AC" w:rsidP="001604F3">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5 to 10 Years</w:t>
            </w:r>
          </w:p>
        </w:tc>
        <w:tc>
          <w:tcPr>
            <w:tcW w:w="2520" w:type="dxa"/>
            <w:tcBorders>
              <w:left w:val="single" w:sz="18" w:space="0" w:color="auto"/>
              <w:right w:val="single" w:sz="18" w:space="0" w:color="auto"/>
            </w:tcBorders>
            <w:noWrap/>
            <w:hideMark/>
          </w:tcPr>
          <w:p w14:paraId="777AD63C" w14:textId="77777777" w:rsidR="008373AC" w:rsidRPr="00B026E4" w:rsidRDefault="008373AC" w:rsidP="001604F3">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18.3%</w:t>
            </w:r>
          </w:p>
        </w:tc>
        <w:tc>
          <w:tcPr>
            <w:tcW w:w="2250" w:type="dxa"/>
            <w:tcBorders>
              <w:left w:val="single" w:sz="18" w:space="0" w:color="auto"/>
              <w:right w:val="single" w:sz="18" w:space="0" w:color="auto"/>
            </w:tcBorders>
            <w:noWrap/>
            <w:hideMark/>
          </w:tcPr>
          <w:p w14:paraId="3E79C1EB" w14:textId="77777777" w:rsidR="008373AC" w:rsidRPr="00B026E4" w:rsidRDefault="008373AC" w:rsidP="001604F3">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15.8%</w:t>
            </w:r>
          </w:p>
        </w:tc>
      </w:tr>
      <w:tr w:rsidR="008373AC" w:rsidRPr="00537498" w14:paraId="46EF555A" w14:textId="77777777" w:rsidTr="00296FEB">
        <w:trPr>
          <w:trHeight w:val="300"/>
        </w:trPr>
        <w:tc>
          <w:tcPr>
            <w:tcW w:w="3168" w:type="dxa"/>
            <w:tcBorders>
              <w:right w:val="single" w:sz="18" w:space="0" w:color="auto"/>
            </w:tcBorders>
            <w:noWrap/>
            <w:hideMark/>
          </w:tcPr>
          <w:p w14:paraId="0EF595FB" w14:textId="77777777" w:rsidR="008373AC" w:rsidRPr="00B026E4" w:rsidRDefault="008373AC" w:rsidP="001604F3">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 to 5 Years</w:t>
            </w:r>
          </w:p>
        </w:tc>
        <w:tc>
          <w:tcPr>
            <w:tcW w:w="2520" w:type="dxa"/>
            <w:tcBorders>
              <w:left w:val="single" w:sz="18" w:space="0" w:color="auto"/>
              <w:right w:val="single" w:sz="18" w:space="0" w:color="auto"/>
            </w:tcBorders>
            <w:noWrap/>
            <w:hideMark/>
          </w:tcPr>
          <w:p w14:paraId="7E877B66" w14:textId="77777777" w:rsidR="008373AC" w:rsidRPr="00B026E4" w:rsidRDefault="008373AC" w:rsidP="001604F3">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9.2%</w:t>
            </w:r>
          </w:p>
        </w:tc>
        <w:tc>
          <w:tcPr>
            <w:tcW w:w="2250" w:type="dxa"/>
            <w:tcBorders>
              <w:left w:val="single" w:sz="18" w:space="0" w:color="auto"/>
              <w:right w:val="single" w:sz="18" w:space="0" w:color="auto"/>
            </w:tcBorders>
            <w:noWrap/>
            <w:hideMark/>
          </w:tcPr>
          <w:p w14:paraId="2E95E141" w14:textId="77777777" w:rsidR="008373AC" w:rsidRPr="00B026E4" w:rsidRDefault="008373AC" w:rsidP="001604F3">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10.5%</w:t>
            </w:r>
          </w:p>
        </w:tc>
      </w:tr>
      <w:tr w:rsidR="008373AC" w:rsidRPr="00537498" w14:paraId="4CBD05D4" w14:textId="77777777" w:rsidTr="00296FEB">
        <w:trPr>
          <w:trHeight w:val="300"/>
        </w:trPr>
        <w:tc>
          <w:tcPr>
            <w:tcW w:w="3168" w:type="dxa"/>
            <w:tcBorders>
              <w:right w:val="single" w:sz="18" w:space="0" w:color="auto"/>
            </w:tcBorders>
            <w:noWrap/>
            <w:hideMark/>
          </w:tcPr>
          <w:p w14:paraId="66AA3642" w14:textId="77777777" w:rsidR="008373AC" w:rsidRPr="00B026E4" w:rsidRDefault="008373AC" w:rsidP="001604F3">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1 to 2 Years</w:t>
            </w:r>
          </w:p>
        </w:tc>
        <w:tc>
          <w:tcPr>
            <w:tcW w:w="2520" w:type="dxa"/>
            <w:tcBorders>
              <w:left w:val="single" w:sz="18" w:space="0" w:color="auto"/>
              <w:right w:val="single" w:sz="18" w:space="0" w:color="auto"/>
            </w:tcBorders>
            <w:noWrap/>
            <w:hideMark/>
          </w:tcPr>
          <w:p w14:paraId="2AF076A4" w14:textId="77777777" w:rsidR="008373AC" w:rsidRPr="00B026E4" w:rsidRDefault="008373AC" w:rsidP="001604F3">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2.8%</w:t>
            </w:r>
          </w:p>
        </w:tc>
        <w:tc>
          <w:tcPr>
            <w:tcW w:w="2250" w:type="dxa"/>
            <w:tcBorders>
              <w:left w:val="single" w:sz="18" w:space="0" w:color="auto"/>
              <w:right w:val="single" w:sz="18" w:space="0" w:color="auto"/>
            </w:tcBorders>
            <w:noWrap/>
            <w:hideMark/>
          </w:tcPr>
          <w:p w14:paraId="6604444C" w14:textId="77777777" w:rsidR="008373AC" w:rsidRPr="00B026E4" w:rsidRDefault="008373AC" w:rsidP="001604F3">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11.4%</w:t>
            </w:r>
          </w:p>
        </w:tc>
      </w:tr>
      <w:tr w:rsidR="008373AC" w:rsidRPr="00537498" w14:paraId="067F86F5" w14:textId="77777777" w:rsidTr="00296FEB">
        <w:trPr>
          <w:trHeight w:val="300"/>
        </w:trPr>
        <w:tc>
          <w:tcPr>
            <w:tcW w:w="3168" w:type="dxa"/>
            <w:tcBorders>
              <w:right w:val="single" w:sz="18" w:space="0" w:color="auto"/>
            </w:tcBorders>
            <w:noWrap/>
            <w:hideMark/>
          </w:tcPr>
          <w:p w14:paraId="0A957747" w14:textId="77777777" w:rsidR="008373AC" w:rsidRPr="00B026E4" w:rsidRDefault="008373AC" w:rsidP="001604F3">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0.5 to 1 Year</w:t>
            </w:r>
          </w:p>
        </w:tc>
        <w:tc>
          <w:tcPr>
            <w:tcW w:w="2520" w:type="dxa"/>
            <w:tcBorders>
              <w:left w:val="single" w:sz="18" w:space="0" w:color="auto"/>
              <w:right w:val="single" w:sz="18" w:space="0" w:color="auto"/>
            </w:tcBorders>
            <w:noWrap/>
            <w:hideMark/>
          </w:tcPr>
          <w:p w14:paraId="230D896E" w14:textId="77777777" w:rsidR="008373AC" w:rsidRPr="00B026E4" w:rsidRDefault="008373AC" w:rsidP="001604F3">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2.8%</w:t>
            </w:r>
          </w:p>
        </w:tc>
        <w:tc>
          <w:tcPr>
            <w:tcW w:w="2250" w:type="dxa"/>
            <w:tcBorders>
              <w:left w:val="single" w:sz="18" w:space="0" w:color="auto"/>
              <w:right w:val="single" w:sz="18" w:space="0" w:color="auto"/>
            </w:tcBorders>
            <w:noWrap/>
            <w:hideMark/>
          </w:tcPr>
          <w:p w14:paraId="595E01FF" w14:textId="77777777" w:rsidR="008373AC" w:rsidRPr="00B026E4" w:rsidRDefault="008373AC" w:rsidP="001604F3">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3.5%</w:t>
            </w:r>
          </w:p>
        </w:tc>
      </w:tr>
      <w:tr w:rsidR="008373AC" w:rsidRPr="00537498" w14:paraId="5D46CEC2" w14:textId="77777777" w:rsidTr="00296FEB">
        <w:trPr>
          <w:trHeight w:val="300"/>
        </w:trPr>
        <w:tc>
          <w:tcPr>
            <w:tcW w:w="3168" w:type="dxa"/>
            <w:tcBorders>
              <w:right w:val="single" w:sz="18" w:space="0" w:color="auto"/>
            </w:tcBorders>
            <w:noWrap/>
            <w:hideMark/>
          </w:tcPr>
          <w:p w14:paraId="65690705" w14:textId="77777777" w:rsidR="008373AC" w:rsidRPr="00B026E4" w:rsidRDefault="008373AC" w:rsidP="001604F3">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3 to 6 Months</w:t>
            </w:r>
          </w:p>
        </w:tc>
        <w:tc>
          <w:tcPr>
            <w:tcW w:w="2520" w:type="dxa"/>
            <w:tcBorders>
              <w:left w:val="single" w:sz="18" w:space="0" w:color="auto"/>
              <w:right w:val="single" w:sz="18" w:space="0" w:color="auto"/>
            </w:tcBorders>
            <w:noWrap/>
            <w:hideMark/>
          </w:tcPr>
          <w:p w14:paraId="093F367E" w14:textId="77777777" w:rsidR="008373AC" w:rsidRPr="00B026E4" w:rsidRDefault="008373AC" w:rsidP="001604F3">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3.7%</w:t>
            </w:r>
          </w:p>
        </w:tc>
        <w:tc>
          <w:tcPr>
            <w:tcW w:w="2250" w:type="dxa"/>
            <w:tcBorders>
              <w:left w:val="single" w:sz="18" w:space="0" w:color="auto"/>
              <w:right w:val="single" w:sz="18" w:space="0" w:color="auto"/>
            </w:tcBorders>
            <w:noWrap/>
            <w:hideMark/>
          </w:tcPr>
          <w:p w14:paraId="591A33EC" w14:textId="77777777" w:rsidR="008373AC" w:rsidRPr="00B026E4" w:rsidRDefault="008373AC" w:rsidP="001604F3">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0.0%</w:t>
            </w:r>
          </w:p>
        </w:tc>
      </w:tr>
      <w:tr w:rsidR="008373AC" w:rsidRPr="00537498" w14:paraId="3958CCE1" w14:textId="77777777" w:rsidTr="00296FEB">
        <w:trPr>
          <w:trHeight w:val="300"/>
        </w:trPr>
        <w:tc>
          <w:tcPr>
            <w:tcW w:w="3168" w:type="dxa"/>
            <w:tcBorders>
              <w:right w:val="single" w:sz="18" w:space="0" w:color="auto"/>
            </w:tcBorders>
            <w:noWrap/>
            <w:hideMark/>
          </w:tcPr>
          <w:p w14:paraId="0076C325" w14:textId="77777777" w:rsidR="008373AC" w:rsidRPr="00B026E4" w:rsidRDefault="008373AC" w:rsidP="001604F3">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Fewer than 3 Months</w:t>
            </w:r>
          </w:p>
        </w:tc>
        <w:tc>
          <w:tcPr>
            <w:tcW w:w="2520" w:type="dxa"/>
            <w:tcBorders>
              <w:left w:val="single" w:sz="18" w:space="0" w:color="auto"/>
              <w:right w:val="single" w:sz="18" w:space="0" w:color="auto"/>
            </w:tcBorders>
            <w:noWrap/>
            <w:hideMark/>
          </w:tcPr>
          <w:p w14:paraId="67290DAC" w14:textId="77777777" w:rsidR="008373AC" w:rsidRPr="00B026E4" w:rsidRDefault="008373AC" w:rsidP="001604F3">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4.6%</w:t>
            </w:r>
          </w:p>
        </w:tc>
        <w:tc>
          <w:tcPr>
            <w:tcW w:w="2250" w:type="dxa"/>
            <w:tcBorders>
              <w:left w:val="single" w:sz="18" w:space="0" w:color="auto"/>
              <w:right w:val="single" w:sz="18" w:space="0" w:color="auto"/>
            </w:tcBorders>
            <w:noWrap/>
            <w:hideMark/>
          </w:tcPr>
          <w:p w14:paraId="2CFE7845" w14:textId="77777777" w:rsidR="008373AC" w:rsidRPr="00B026E4" w:rsidRDefault="008373AC" w:rsidP="001604F3">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2.6%</w:t>
            </w:r>
          </w:p>
        </w:tc>
      </w:tr>
      <w:tr w:rsidR="008373AC" w:rsidRPr="00537498" w14:paraId="5AF242A9" w14:textId="77777777" w:rsidTr="00296FEB">
        <w:trPr>
          <w:trHeight w:val="300"/>
        </w:trPr>
        <w:tc>
          <w:tcPr>
            <w:tcW w:w="3168" w:type="dxa"/>
            <w:tcBorders>
              <w:bottom w:val="triple" w:sz="4" w:space="0" w:color="auto"/>
              <w:right w:val="single" w:sz="18" w:space="0" w:color="auto"/>
            </w:tcBorders>
            <w:noWrap/>
            <w:hideMark/>
          </w:tcPr>
          <w:p w14:paraId="1EB8971A" w14:textId="0CFECB32" w:rsidR="008373AC" w:rsidRPr="00B026E4" w:rsidRDefault="00945334" w:rsidP="001604F3">
            <w:pPr>
              <w:keepNext/>
              <w:keepLines/>
              <w:rPr>
                <w:rFonts w:ascii="Times New Roman" w:eastAsia="Times New Roman" w:hAnsi="Times New Roman" w:cs="Times New Roman"/>
                <w:b/>
                <w:bCs/>
                <w:color w:val="000000"/>
              </w:rPr>
            </w:pPr>
            <w:r>
              <w:rPr>
                <w:rFonts w:ascii="Times New Roman" w:eastAsia="Times New Roman" w:hAnsi="Times New Roman" w:cs="Times New Roman"/>
                <w:b/>
                <w:bCs/>
                <w:color w:val="000000"/>
              </w:rPr>
              <w:t>N/A</w:t>
            </w:r>
          </w:p>
        </w:tc>
        <w:tc>
          <w:tcPr>
            <w:tcW w:w="2520" w:type="dxa"/>
            <w:tcBorders>
              <w:left w:val="single" w:sz="18" w:space="0" w:color="auto"/>
              <w:bottom w:val="triple" w:sz="4" w:space="0" w:color="auto"/>
              <w:right w:val="single" w:sz="18" w:space="0" w:color="auto"/>
            </w:tcBorders>
            <w:noWrap/>
            <w:hideMark/>
          </w:tcPr>
          <w:p w14:paraId="2A897F3D" w14:textId="77777777" w:rsidR="008373AC" w:rsidRPr="00B026E4" w:rsidRDefault="008373AC" w:rsidP="001604F3">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33.9%</w:t>
            </w:r>
          </w:p>
        </w:tc>
        <w:tc>
          <w:tcPr>
            <w:tcW w:w="2250" w:type="dxa"/>
            <w:tcBorders>
              <w:left w:val="single" w:sz="18" w:space="0" w:color="auto"/>
              <w:bottom w:val="triple" w:sz="4" w:space="0" w:color="auto"/>
              <w:right w:val="single" w:sz="18" w:space="0" w:color="auto"/>
            </w:tcBorders>
            <w:noWrap/>
            <w:hideMark/>
          </w:tcPr>
          <w:p w14:paraId="77E302E0" w14:textId="77777777" w:rsidR="008373AC" w:rsidRPr="00B026E4" w:rsidRDefault="008373AC" w:rsidP="001604F3">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25.4%</w:t>
            </w:r>
          </w:p>
        </w:tc>
      </w:tr>
      <w:tr w:rsidR="008373AC" w:rsidRPr="00537498" w14:paraId="6F765A8F" w14:textId="77777777" w:rsidTr="00296FEB">
        <w:trPr>
          <w:trHeight w:val="300"/>
        </w:trPr>
        <w:tc>
          <w:tcPr>
            <w:tcW w:w="3168" w:type="dxa"/>
            <w:tcBorders>
              <w:top w:val="triple" w:sz="4" w:space="0" w:color="auto"/>
              <w:right w:val="single" w:sz="18" w:space="0" w:color="auto"/>
            </w:tcBorders>
            <w:noWrap/>
            <w:hideMark/>
          </w:tcPr>
          <w:p w14:paraId="4A3B8327" w14:textId="77777777" w:rsidR="008373AC" w:rsidRPr="00B026E4" w:rsidRDefault="008373AC" w:rsidP="001604F3">
            <w:pPr>
              <w:keepNext/>
              <w:keepLines/>
              <w:rPr>
                <w:rFonts w:ascii="Times New Roman" w:eastAsia="Times New Roman" w:hAnsi="Times New Roman" w:cs="Times New Roman"/>
                <w:b/>
                <w:bCs/>
                <w:color w:val="000000"/>
              </w:rPr>
            </w:pPr>
            <w:r>
              <w:rPr>
                <w:rFonts w:ascii="Times New Roman" w:eastAsia="Times New Roman" w:hAnsi="Times New Roman" w:cs="Times New Roman"/>
                <w:b/>
                <w:bCs/>
                <w:color w:val="000000"/>
              </w:rPr>
              <w:t>Longest Time Employed</w:t>
            </w:r>
          </w:p>
        </w:tc>
        <w:tc>
          <w:tcPr>
            <w:tcW w:w="2520" w:type="dxa"/>
            <w:tcBorders>
              <w:top w:val="triple" w:sz="4" w:space="0" w:color="auto"/>
              <w:left w:val="single" w:sz="18" w:space="0" w:color="auto"/>
              <w:right w:val="single" w:sz="18" w:space="0" w:color="auto"/>
            </w:tcBorders>
            <w:noWrap/>
            <w:hideMark/>
          </w:tcPr>
          <w:p w14:paraId="68235751" w14:textId="77777777" w:rsidR="008373AC" w:rsidRPr="00B026E4" w:rsidRDefault="008373AC" w:rsidP="001604F3">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40.00</w:t>
            </w:r>
          </w:p>
        </w:tc>
        <w:tc>
          <w:tcPr>
            <w:tcW w:w="2250" w:type="dxa"/>
            <w:tcBorders>
              <w:top w:val="triple" w:sz="4" w:space="0" w:color="auto"/>
              <w:left w:val="single" w:sz="18" w:space="0" w:color="auto"/>
              <w:right w:val="single" w:sz="18" w:space="0" w:color="auto"/>
            </w:tcBorders>
            <w:noWrap/>
            <w:hideMark/>
          </w:tcPr>
          <w:p w14:paraId="2ED9AAB3" w14:textId="77777777" w:rsidR="008373AC" w:rsidRPr="00B026E4" w:rsidRDefault="008373AC" w:rsidP="001604F3">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55.00</w:t>
            </w:r>
          </w:p>
        </w:tc>
      </w:tr>
      <w:tr w:rsidR="008373AC" w:rsidRPr="00537498" w14:paraId="4B6290D5" w14:textId="77777777" w:rsidTr="00296FEB">
        <w:trPr>
          <w:trHeight w:val="300"/>
        </w:trPr>
        <w:tc>
          <w:tcPr>
            <w:tcW w:w="3168" w:type="dxa"/>
            <w:tcBorders>
              <w:right w:val="single" w:sz="18" w:space="0" w:color="auto"/>
            </w:tcBorders>
            <w:noWrap/>
          </w:tcPr>
          <w:p w14:paraId="2A7D0F5F" w14:textId="77777777" w:rsidR="008373AC" w:rsidRPr="00D97058" w:rsidRDefault="008373AC" w:rsidP="001604F3">
            <w:pPr>
              <w:keepNext/>
              <w:keepLines/>
              <w:rPr>
                <w:rFonts w:ascii="Times New Roman" w:eastAsia="Times New Roman" w:hAnsi="Times New Roman" w:cs="Times New Roman"/>
                <w:b/>
                <w:bCs/>
                <w:color w:val="000000"/>
              </w:rPr>
            </w:pPr>
            <w:r w:rsidRPr="00783E8F">
              <w:rPr>
                <w:rFonts w:ascii="Times New Roman" w:eastAsia="Times New Roman" w:hAnsi="Times New Roman" w:cs="Times New Roman"/>
                <w:b/>
                <w:bCs/>
                <w:color w:val="000000"/>
              </w:rPr>
              <w:t>Av</w:t>
            </w:r>
            <w:r>
              <w:rPr>
                <w:rFonts w:ascii="Times New Roman" w:eastAsia="Times New Roman" w:hAnsi="Times New Roman" w:cs="Times New Roman"/>
                <w:b/>
                <w:bCs/>
                <w:color w:val="000000"/>
              </w:rPr>
              <w:t>era</w:t>
            </w:r>
            <w:r w:rsidRPr="00783E8F">
              <w:rPr>
                <w:rFonts w:ascii="Times New Roman" w:eastAsia="Times New Roman" w:hAnsi="Times New Roman" w:cs="Times New Roman"/>
                <w:b/>
                <w:bCs/>
                <w:color w:val="000000"/>
              </w:rPr>
              <w:t>g</w:t>
            </w:r>
            <w:r>
              <w:rPr>
                <w:rFonts w:ascii="Times New Roman" w:eastAsia="Times New Roman" w:hAnsi="Times New Roman" w:cs="Times New Roman"/>
                <w:b/>
                <w:bCs/>
                <w:color w:val="000000"/>
              </w:rPr>
              <w:t>e Duration</w:t>
            </w:r>
          </w:p>
        </w:tc>
        <w:tc>
          <w:tcPr>
            <w:tcW w:w="2520" w:type="dxa"/>
            <w:tcBorders>
              <w:left w:val="single" w:sz="18" w:space="0" w:color="auto"/>
              <w:right w:val="single" w:sz="18" w:space="0" w:color="auto"/>
            </w:tcBorders>
            <w:noWrap/>
          </w:tcPr>
          <w:p w14:paraId="1AC366E3" w14:textId="77777777" w:rsidR="008373AC" w:rsidRPr="00D97058" w:rsidRDefault="008373AC" w:rsidP="001604F3">
            <w:pPr>
              <w:keepNext/>
              <w:keepLines/>
              <w:jc w:val="right"/>
              <w:rPr>
                <w:rFonts w:ascii="Times New Roman" w:eastAsia="Times New Roman" w:hAnsi="Times New Roman" w:cs="Times New Roman"/>
                <w:b/>
                <w:bCs/>
                <w:color w:val="000000"/>
                <w:sz w:val="26"/>
                <w:szCs w:val="26"/>
              </w:rPr>
            </w:pPr>
            <w:r w:rsidRPr="00783E8F">
              <w:rPr>
                <w:rFonts w:ascii="Times New Roman" w:eastAsia="Times New Roman" w:hAnsi="Times New Roman" w:cs="Times New Roman"/>
                <w:color w:val="000000"/>
              </w:rPr>
              <w:t>10.75</w:t>
            </w:r>
          </w:p>
        </w:tc>
        <w:tc>
          <w:tcPr>
            <w:tcW w:w="2250" w:type="dxa"/>
            <w:tcBorders>
              <w:left w:val="single" w:sz="18" w:space="0" w:color="auto"/>
              <w:right w:val="single" w:sz="18" w:space="0" w:color="auto"/>
            </w:tcBorders>
            <w:noWrap/>
          </w:tcPr>
          <w:p w14:paraId="554ECEDB" w14:textId="77777777" w:rsidR="008373AC" w:rsidRPr="00D97058" w:rsidRDefault="008373AC" w:rsidP="001604F3">
            <w:pPr>
              <w:keepNext/>
              <w:keepLines/>
              <w:jc w:val="right"/>
              <w:rPr>
                <w:rFonts w:ascii="Times New Roman" w:eastAsia="Times New Roman" w:hAnsi="Times New Roman" w:cs="Times New Roman"/>
                <w:b/>
                <w:bCs/>
                <w:color w:val="000000"/>
              </w:rPr>
            </w:pPr>
            <w:r w:rsidRPr="00783E8F">
              <w:rPr>
                <w:rFonts w:ascii="Times New Roman" w:eastAsia="Times New Roman" w:hAnsi="Times New Roman" w:cs="Times New Roman"/>
                <w:color w:val="000000"/>
              </w:rPr>
              <w:t>12.85</w:t>
            </w:r>
          </w:p>
        </w:tc>
      </w:tr>
      <w:tr w:rsidR="008373AC" w:rsidRPr="00537498" w14:paraId="12FD4AFD" w14:textId="77777777" w:rsidTr="00296FEB">
        <w:trPr>
          <w:trHeight w:val="300"/>
        </w:trPr>
        <w:tc>
          <w:tcPr>
            <w:tcW w:w="3168" w:type="dxa"/>
            <w:tcBorders>
              <w:right w:val="single" w:sz="18" w:space="0" w:color="auto"/>
            </w:tcBorders>
            <w:noWrap/>
            <w:hideMark/>
          </w:tcPr>
          <w:p w14:paraId="1F5B1D16" w14:textId="77777777" w:rsidR="008373AC" w:rsidRPr="00B026E4" w:rsidRDefault="008373AC" w:rsidP="001604F3">
            <w:pPr>
              <w:keepNext/>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Median</w:t>
            </w:r>
            <w:r>
              <w:rPr>
                <w:rFonts w:ascii="Times New Roman" w:eastAsia="Times New Roman" w:hAnsi="Times New Roman" w:cs="Times New Roman"/>
                <w:b/>
                <w:bCs/>
                <w:color w:val="000000"/>
              </w:rPr>
              <w:t xml:space="preserve"> Duration</w:t>
            </w:r>
          </w:p>
        </w:tc>
        <w:tc>
          <w:tcPr>
            <w:tcW w:w="2520" w:type="dxa"/>
            <w:tcBorders>
              <w:left w:val="single" w:sz="18" w:space="0" w:color="auto"/>
              <w:right w:val="single" w:sz="18" w:space="0" w:color="auto"/>
            </w:tcBorders>
            <w:noWrap/>
            <w:hideMark/>
          </w:tcPr>
          <w:p w14:paraId="0577A971" w14:textId="77777777" w:rsidR="008373AC" w:rsidRPr="00B026E4" w:rsidRDefault="008373AC" w:rsidP="001604F3">
            <w:pPr>
              <w:keepNext/>
              <w:keepLines/>
              <w:jc w:val="right"/>
              <w:rPr>
                <w:rFonts w:ascii="Times New Roman" w:eastAsia="Times New Roman" w:hAnsi="Times New Roman" w:cs="Times New Roman"/>
                <w:b/>
                <w:bCs/>
                <w:color w:val="000000"/>
              </w:rPr>
            </w:pPr>
            <w:r w:rsidRPr="00B026E4">
              <w:rPr>
                <w:rFonts w:ascii="Times New Roman" w:eastAsia="Times New Roman" w:hAnsi="Times New Roman" w:cs="Times New Roman"/>
                <w:color w:val="000000"/>
              </w:rPr>
              <w:t>7.50</w:t>
            </w:r>
          </w:p>
        </w:tc>
        <w:tc>
          <w:tcPr>
            <w:tcW w:w="2250" w:type="dxa"/>
            <w:tcBorders>
              <w:left w:val="single" w:sz="18" w:space="0" w:color="auto"/>
              <w:right w:val="single" w:sz="18" w:space="0" w:color="auto"/>
            </w:tcBorders>
            <w:noWrap/>
            <w:hideMark/>
          </w:tcPr>
          <w:p w14:paraId="5AABFC5C" w14:textId="77777777" w:rsidR="008373AC" w:rsidRPr="00B026E4" w:rsidRDefault="008373AC" w:rsidP="001604F3">
            <w:pPr>
              <w:keepNext/>
              <w:keepLines/>
              <w:jc w:val="right"/>
              <w:rPr>
                <w:rFonts w:ascii="Times New Roman" w:eastAsia="Times New Roman" w:hAnsi="Times New Roman" w:cs="Times New Roman"/>
                <w:b/>
                <w:bCs/>
                <w:color w:val="000000"/>
                <w:sz w:val="26"/>
                <w:szCs w:val="26"/>
              </w:rPr>
            </w:pPr>
            <w:r w:rsidRPr="00B026E4">
              <w:rPr>
                <w:rFonts w:ascii="Times New Roman" w:eastAsia="Times New Roman" w:hAnsi="Times New Roman" w:cs="Times New Roman"/>
                <w:color w:val="000000"/>
              </w:rPr>
              <w:t>9.00</w:t>
            </w:r>
          </w:p>
        </w:tc>
      </w:tr>
    </w:tbl>
    <w:p w14:paraId="1A327F2A" w14:textId="77777777" w:rsidR="008373AC" w:rsidRPr="00B026E4" w:rsidRDefault="008373AC" w:rsidP="008373AC">
      <w:pPr>
        <w:spacing w:line="480" w:lineRule="auto"/>
        <w:rPr>
          <w:rFonts w:ascii="Times New Roman" w:hAnsi="Times New Roman" w:cs="Times New Roman"/>
        </w:rPr>
      </w:pPr>
    </w:p>
    <w:p w14:paraId="5E906AEE" w14:textId="27C89D6A" w:rsidR="008373AC" w:rsidRPr="00537498" w:rsidRDefault="008373AC" w:rsidP="005F2307">
      <w:pPr>
        <w:spacing w:line="480" w:lineRule="auto"/>
        <w:ind w:firstLine="720"/>
        <w:rPr>
          <w:rFonts w:ascii="Times New Roman" w:hAnsi="Times New Roman" w:cs="Times New Roman"/>
        </w:rPr>
      </w:pPr>
      <w:r w:rsidRPr="00B026E4">
        <w:rPr>
          <w:rFonts w:ascii="Times New Roman" w:hAnsi="Times New Roman" w:cs="Times New Roman"/>
        </w:rPr>
        <w:t xml:space="preserve">In their study of consumers who filed for bankruptcy in 2007, Lawless </w:t>
      </w:r>
      <w:r w:rsidR="001604F3">
        <w:rPr>
          <w:rFonts w:ascii="Times New Roman" w:hAnsi="Times New Roman" w:cs="Times New Roman"/>
        </w:rPr>
        <w:t>and his co-authors</w:t>
      </w:r>
      <w:r w:rsidRPr="00B026E4">
        <w:rPr>
          <w:rFonts w:ascii="Times New Roman" w:hAnsi="Times New Roman" w:cs="Times New Roman"/>
        </w:rPr>
        <w:t xml:space="preserve"> found a median income for </w:t>
      </w:r>
      <w:r w:rsidR="00AA091B">
        <w:rPr>
          <w:rFonts w:ascii="Times New Roman" w:hAnsi="Times New Roman" w:cs="Times New Roman"/>
        </w:rPr>
        <w:t>chapter</w:t>
      </w:r>
      <w:r w:rsidRPr="00B026E4">
        <w:rPr>
          <w:rFonts w:ascii="Times New Roman" w:hAnsi="Times New Roman" w:cs="Times New Roman"/>
        </w:rPr>
        <w:t xml:space="preserve"> 13 filers of $35,688 per year, or about $37,532 in 2010 dollars.</w:t>
      </w:r>
      <w:r w:rsidR="00FD7990">
        <w:rPr>
          <w:rStyle w:val="FootnoteReference"/>
          <w:rFonts w:ascii="Times New Roman" w:hAnsi="Times New Roman" w:cs="Times New Roman"/>
        </w:rPr>
        <w:footnoteReference w:id="150"/>
      </w:r>
      <w:r w:rsidRPr="00B026E4">
        <w:rPr>
          <w:rFonts w:ascii="Times New Roman" w:hAnsi="Times New Roman" w:cs="Times New Roman"/>
        </w:rPr>
        <w:t xml:space="preserve"> </w:t>
      </w:r>
      <w:r>
        <w:rPr>
          <w:rFonts w:ascii="Times New Roman" w:hAnsi="Times New Roman" w:cs="Times New Roman"/>
        </w:rPr>
        <w:t>The income</w:t>
      </w:r>
      <w:r w:rsidR="00320D25">
        <w:rPr>
          <w:rFonts w:ascii="Times New Roman" w:hAnsi="Times New Roman" w:cs="Times New Roman"/>
        </w:rPr>
        <w:t xml:space="preserve"> levels</w:t>
      </w:r>
      <w:r>
        <w:rPr>
          <w:rFonts w:ascii="Times New Roman" w:hAnsi="Times New Roman" w:cs="Times New Roman"/>
        </w:rPr>
        <w:t xml:space="preserve"> of the </w:t>
      </w:r>
      <w:r w:rsidRPr="00B026E4">
        <w:rPr>
          <w:rFonts w:ascii="Times New Roman" w:hAnsi="Times New Roman" w:cs="Times New Roman"/>
        </w:rPr>
        <w:t xml:space="preserve">individual </w:t>
      </w:r>
      <w:r w:rsidR="00AA091B">
        <w:rPr>
          <w:rFonts w:ascii="Times New Roman" w:hAnsi="Times New Roman" w:cs="Times New Roman"/>
        </w:rPr>
        <w:t>chapter</w:t>
      </w:r>
      <w:r w:rsidRPr="00B026E4">
        <w:rPr>
          <w:rFonts w:ascii="Times New Roman" w:hAnsi="Times New Roman" w:cs="Times New Roman"/>
        </w:rPr>
        <w:t xml:space="preserve"> 1</w:t>
      </w:r>
      <w:r>
        <w:rPr>
          <w:rFonts w:ascii="Times New Roman" w:hAnsi="Times New Roman" w:cs="Times New Roman"/>
        </w:rPr>
        <w:t>1</w:t>
      </w:r>
      <w:r w:rsidRPr="00B026E4">
        <w:rPr>
          <w:rFonts w:ascii="Times New Roman" w:hAnsi="Times New Roman" w:cs="Times New Roman"/>
        </w:rPr>
        <w:t xml:space="preserve"> debtors </w:t>
      </w:r>
      <w:r>
        <w:rPr>
          <w:rFonts w:ascii="Times New Roman" w:hAnsi="Times New Roman" w:cs="Times New Roman"/>
        </w:rPr>
        <w:t xml:space="preserve">in our small sample </w:t>
      </w:r>
      <w:r w:rsidR="00320D25">
        <w:rPr>
          <w:rFonts w:ascii="Times New Roman" w:hAnsi="Times New Roman" w:cs="Times New Roman"/>
        </w:rPr>
        <w:t xml:space="preserve">were </w:t>
      </w:r>
      <w:r w:rsidRPr="00B026E4">
        <w:rPr>
          <w:rFonts w:ascii="Times New Roman" w:hAnsi="Times New Roman" w:cs="Times New Roman"/>
        </w:rPr>
        <w:t>dramatically higher.</w:t>
      </w:r>
      <w:r w:rsidR="00DE6DBE">
        <w:rPr>
          <w:rFonts w:ascii="Times New Roman" w:hAnsi="Times New Roman" w:cs="Times New Roman"/>
        </w:rPr>
        <w:t xml:space="preserve"> </w:t>
      </w:r>
      <w:r w:rsidRPr="00B026E4">
        <w:rPr>
          <w:rFonts w:ascii="Times New Roman" w:hAnsi="Times New Roman" w:cs="Times New Roman"/>
        </w:rPr>
        <w:t xml:space="preserve">Table </w:t>
      </w:r>
      <w:r>
        <w:rPr>
          <w:rFonts w:ascii="Times New Roman" w:hAnsi="Times New Roman" w:cs="Times New Roman"/>
        </w:rPr>
        <w:t>2</w:t>
      </w:r>
      <w:r w:rsidR="00296FEB">
        <w:rPr>
          <w:rFonts w:ascii="Times New Roman" w:hAnsi="Times New Roman" w:cs="Times New Roman"/>
        </w:rPr>
        <w:t>5</w:t>
      </w:r>
      <w:r w:rsidRPr="00B026E4">
        <w:rPr>
          <w:rFonts w:ascii="Times New Roman" w:hAnsi="Times New Roman" w:cs="Times New Roman"/>
        </w:rPr>
        <w:t xml:space="preserve"> presents </w:t>
      </w:r>
      <w:r>
        <w:rPr>
          <w:rFonts w:ascii="Times New Roman" w:hAnsi="Times New Roman" w:cs="Times New Roman"/>
        </w:rPr>
        <w:t xml:space="preserve">data on </w:t>
      </w:r>
      <w:r w:rsidR="002512A8">
        <w:rPr>
          <w:rFonts w:ascii="Times New Roman" w:hAnsi="Times New Roman" w:cs="Times New Roman"/>
        </w:rPr>
        <w:t xml:space="preserve">the </w:t>
      </w:r>
      <w:r>
        <w:rPr>
          <w:rFonts w:ascii="Times New Roman" w:hAnsi="Times New Roman" w:cs="Times New Roman"/>
        </w:rPr>
        <w:t xml:space="preserve">debtors’ </w:t>
      </w:r>
      <w:r w:rsidRPr="00B026E4">
        <w:rPr>
          <w:rFonts w:ascii="Times New Roman" w:hAnsi="Times New Roman" w:cs="Times New Roman"/>
        </w:rPr>
        <w:t>current monthly income</w:t>
      </w:r>
      <w:r>
        <w:rPr>
          <w:rFonts w:ascii="Times New Roman" w:hAnsi="Times New Roman" w:cs="Times New Roman"/>
        </w:rPr>
        <w:t xml:space="preserve">, as disclosed on the </w:t>
      </w:r>
      <w:r w:rsidR="00F8187B">
        <w:rPr>
          <w:rFonts w:ascii="Times New Roman" w:hAnsi="Times New Roman" w:cs="Times New Roman"/>
        </w:rPr>
        <w:t>Statement of Current Monthly Income</w:t>
      </w:r>
      <w:r w:rsidR="00453981">
        <w:rPr>
          <w:rFonts w:ascii="Times New Roman" w:hAnsi="Times New Roman" w:cs="Times New Roman"/>
        </w:rPr>
        <w:t>,</w:t>
      </w:r>
      <w:r>
        <w:rPr>
          <w:rFonts w:ascii="Times New Roman" w:hAnsi="Times New Roman" w:cs="Times New Roman"/>
        </w:rPr>
        <w:t xml:space="preserve"> </w:t>
      </w:r>
      <w:r w:rsidRPr="00B026E4">
        <w:rPr>
          <w:rFonts w:ascii="Times New Roman" w:hAnsi="Times New Roman" w:cs="Times New Roman"/>
        </w:rPr>
        <w:t xml:space="preserve">and </w:t>
      </w:r>
      <w:r w:rsidR="002512A8">
        <w:rPr>
          <w:rFonts w:ascii="Times New Roman" w:hAnsi="Times New Roman" w:cs="Times New Roman"/>
        </w:rPr>
        <w:t>the</w:t>
      </w:r>
      <w:r w:rsidR="00320D25">
        <w:rPr>
          <w:rFonts w:ascii="Times New Roman" w:hAnsi="Times New Roman" w:cs="Times New Roman"/>
        </w:rPr>
        <w:t>ir</w:t>
      </w:r>
      <w:r w:rsidR="002512A8">
        <w:rPr>
          <w:rFonts w:ascii="Times New Roman" w:hAnsi="Times New Roman" w:cs="Times New Roman"/>
        </w:rPr>
        <w:t xml:space="preserve"> </w:t>
      </w:r>
      <w:r>
        <w:rPr>
          <w:rFonts w:ascii="Times New Roman" w:hAnsi="Times New Roman" w:cs="Times New Roman"/>
        </w:rPr>
        <w:t>combined average monthly income from Line 16 of Schedule I.</w:t>
      </w:r>
      <w:r w:rsidR="005B31A2">
        <w:rPr>
          <w:rFonts w:ascii="Times New Roman" w:hAnsi="Times New Roman" w:cs="Times New Roman"/>
        </w:rPr>
        <w:t xml:space="preserve"> H</w:t>
      </w:r>
      <w:r>
        <w:rPr>
          <w:rFonts w:ascii="Times New Roman" w:hAnsi="Times New Roman" w:cs="Times New Roman"/>
        </w:rPr>
        <w:t>alf the debtors in our 2013 random sample reported combined monthly income of $8</w:t>
      </w:r>
      <w:r w:rsidR="00FA08FD">
        <w:rPr>
          <w:rFonts w:ascii="Times New Roman" w:hAnsi="Times New Roman" w:cs="Times New Roman"/>
        </w:rPr>
        <w:t>,</w:t>
      </w:r>
      <w:r w:rsidR="005B31A2">
        <w:rPr>
          <w:rFonts w:ascii="Times New Roman" w:hAnsi="Times New Roman" w:cs="Times New Roman"/>
        </w:rPr>
        <w:t>624</w:t>
      </w:r>
      <w:r>
        <w:rPr>
          <w:rFonts w:ascii="Times New Roman" w:hAnsi="Times New Roman" w:cs="Times New Roman"/>
        </w:rPr>
        <w:t xml:space="preserve"> or more, which annualizes to a figure in excess of $100,000. Our findings are </w:t>
      </w:r>
      <w:r w:rsidR="005B31A2">
        <w:rPr>
          <w:rFonts w:ascii="Times New Roman" w:hAnsi="Times New Roman" w:cs="Times New Roman"/>
        </w:rPr>
        <w:t xml:space="preserve">roughly </w:t>
      </w:r>
      <w:r>
        <w:rPr>
          <w:rFonts w:ascii="Times New Roman" w:hAnsi="Times New Roman" w:cs="Times New Roman"/>
        </w:rPr>
        <w:t xml:space="preserve">consistent with those in the </w:t>
      </w:r>
      <w:r w:rsidRPr="00B026E4">
        <w:rPr>
          <w:rFonts w:ascii="Times New Roman" w:hAnsi="Times New Roman" w:cs="Times New Roman"/>
        </w:rPr>
        <w:t>BAPCPA reports prepared by the A</w:t>
      </w:r>
      <w:r w:rsidR="001604F3">
        <w:rPr>
          <w:rFonts w:ascii="Times New Roman" w:hAnsi="Times New Roman" w:cs="Times New Roman"/>
        </w:rPr>
        <w:t>O</w:t>
      </w:r>
      <w:r w:rsidR="00FD7990">
        <w:rPr>
          <w:rFonts w:ascii="Times New Roman" w:hAnsi="Times New Roman" w:cs="Times New Roman"/>
        </w:rPr>
        <w:t>,</w:t>
      </w:r>
      <w:r>
        <w:rPr>
          <w:rFonts w:ascii="Times New Roman" w:hAnsi="Times New Roman" w:cs="Times New Roman"/>
        </w:rPr>
        <w:t xml:space="preserve"> </w:t>
      </w:r>
      <w:r w:rsidRPr="00B026E4">
        <w:rPr>
          <w:rFonts w:ascii="Times New Roman" w:hAnsi="Times New Roman" w:cs="Times New Roman"/>
        </w:rPr>
        <w:t xml:space="preserve">which show median current and </w:t>
      </w:r>
      <w:r w:rsidR="005B31A2">
        <w:rPr>
          <w:rFonts w:ascii="Times New Roman" w:hAnsi="Times New Roman" w:cs="Times New Roman"/>
        </w:rPr>
        <w:t xml:space="preserve">average </w:t>
      </w:r>
      <w:r w:rsidRPr="00B026E4">
        <w:rPr>
          <w:rFonts w:ascii="Times New Roman" w:hAnsi="Times New Roman" w:cs="Times New Roman"/>
        </w:rPr>
        <w:t>monthly</w:t>
      </w:r>
      <w:r w:rsidR="005B31A2">
        <w:rPr>
          <w:rFonts w:ascii="Times New Roman" w:hAnsi="Times New Roman" w:cs="Times New Roman"/>
        </w:rPr>
        <w:t xml:space="preserve"> income</w:t>
      </w:r>
      <w:r w:rsidRPr="00B026E4">
        <w:rPr>
          <w:rFonts w:ascii="Times New Roman" w:hAnsi="Times New Roman" w:cs="Times New Roman"/>
        </w:rPr>
        <w:t xml:space="preserve"> of $7,935 and $9,212</w:t>
      </w:r>
      <w:r w:rsidR="00FD7990">
        <w:rPr>
          <w:rFonts w:ascii="Times New Roman" w:hAnsi="Times New Roman" w:cs="Times New Roman"/>
        </w:rPr>
        <w:t>, respectively,</w:t>
      </w:r>
      <w:r w:rsidRPr="00B026E4">
        <w:rPr>
          <w:rFonts w:ascii="Times New Roman" w:hAnsi="Times New Roman" w:cs="Times New Roman"/>
        </w:rPr>
        <w:t xml:space="preserve"> in 2010 and $</w:t>
      </w:r>
      <w:r w:rsidRPr="00537498">
        <w:rPr>
          <w:rFonts w:ascii="Times New Roman" w:hAnsi="Times New Roman" w:cs="Times New Roman"/>
        </w:rPr>
        <w:t>7,518 and $9,481</w:t>
      </w:r>
      <w:r w:rsidR="00FD7990">
        <w:rPr>
          <w:rFonts w:ascii="Times New Roman" w:hAnsi="Times New Roman" w:cs="Times New Roman"/>
        </w:rPr>
        <w:t>, respectively,</w:t>
      </w:r>
      <w:r w:rsidRPr="00537498">
        <w:rPr>
          <w:rFonts w:ascii="Times New Roman" w:hAnsi="Times New Roman" w:cs="Times New Roman"/>
        </w:rPr>
        <w:t xml:space="preserve"> in 2013.</w:t>
      </w:r>
      <w:r w:rsidR="00FA08FD">
        <w:rPr>
          <w:rStyle w:val="FootnoteReference"/>
          <w:rFonts w:ascii="Times New Roman" w:hAnsi="Times New Roman" w:cs="Times New Roman"/>
        </w:rPr>
        <w:footnoteReference w:id="151"/>
      </w:r>
      <w:r w:rsidRPr="00537498">
        <w:rPr>
          <w:rFonts w:ascii="Times New Roman" w:hAnsi="Times New Roman" w:cs="Times New Roman"/>
        </w:rPr>
        <w:t xml:space="preserve"> </w:t>
      </w:r>
      <w:r w:rsidR="00453981">
        <w:rPr>
          <w:rFonts w:ascii="Times New Roman" w:hAnsi="Times New Roman" w:cs="Times New Roman"/>
        </w:rPr>
        <w:t>T</w:t>
      </w:r>
      <w:r w:rsidRPr="00537498">
        <w:rPr>
          <w:rFonts w:ascii="Times New Roman" w:hAnsi="Times New Roman" w:cs="Times New Roman"/>
        </w:rPr>
        <w:t>hese numbers are not directly comparable to our</w:t>
      </w:r>
      <w:r w:rsidR="00FD7990">
        <w:rPr>
          <w:rFonts w:ascii="Times New Roman" w:hAnsi="Times New Roman" w:cs="Times New Roman"/>
        </w:rPr>
        <w:t xml:space="preserve"> figur</w:t>
      </w:r>
      <w:r w:rsidR="001604F3">
        <w:rPr>
          <w:rFonts w:ascii="Times New Roman" w:hAnsi="Times New Roman" w:cs="Times New Roman"/>
        </w:rPr>
        <w:t>es</w:t>
      </w:r>
      <w:r w:rsidR="00FD7990">
        <w:rPr>
          <w:rFonts w:ascii="Times New Roman" w:hAnsi="Times New Roman" w:cs="Times New Roman"/>
        </w:rPr>
        <w:t xml:space="preserve"> because </w:t>
      </w:r>
      <w:r w:rsidRPr="00537498">
        <w:rPr>
          <w:rFonts w:ascii="Times New Roman" w:hAnsi="Times New Roman" w:cs="Times New Roman"/>
        </w:rPr>
        <w:t xml:space="preserve">we </w:t>
      </w:r>
      <w:r w:rsidR="00FD7990">
        <w:rPr>
          <w:rFonts w:ascii="Times New Roman" w:hAnsi="Times New Roman" w:cs="Times New Roman"/>
        </w:rPr>
        <w:t xml:space="preserve">coded for </w:t>
      </w:r>
      <w:r w:rsidR="005B31A2">
        <w:rPr>
          <w:rFonts w:ascii="Times New Roman" w:hAnsi="Times New Roman" w:cs="Times New Roman"/>
        </w:rPr>
        <w:t xml:space="preserve">all individual </w:t>
      </w:r>
      <w:r w:rsidR="00AA091B">
        <w:rPr>
          <w:rFonts w:ascii="Times New Roman" w:hAnsi="Times New Roman" w:cs="Times New Roman"/>
        </w:rPr>
        <w:t>chapter</w:t>
      </w:r>
      <w:r w:rsidR="005B31A2">
        <w:rPr>
          <w:rFonts w:ascii="Times New Roman" w:hAnsi="Times New Roman" w:cs="Times New Roman"/>
        </w:rPr>
        <w:t xml:space="preserve"> 11 bankruptcies while </w:t>
      </w:r>
      <w:r w:rsidR="00FD7990">
        <w:rPr>
          <w:rFonts w:ascii="Times New Roman" w:hAnsi="Times New Roman" w:cs="Times New Roman"/>
        </w:rPr>
        <w:t xml:space="preserve">the AO </w:t>
      </w:r>
      <w:r w:rsidR="005B31A2">
        <w:rPr>
          <w:rFonts w:ascii="Times New Roman" w:hAnsi="Times New Roman" w:cs="Times New Roman"/>
        </w:rPr>
        <w:t>focus</w:t>
      </w:r>
      <w:r w:rsidR="00FD7990">
        <w:rPr>
          <w:rFonts w:ascii="Times New Roman" w:hAnsi="Times New Roman" w:cs="Times New Roman"/>
        </w:rPr>
        <w:t>ed</w:t>
      </w:r>
      <w:r w:rsidR="005B31A2">
        <w:rPr>
          <w:rFonts w:ascii="Times New Roman" w:hAnsi="Times New Roman" w:cs="Times New Roman"/>
        </w:rPr>
        <w:t xml:space="preserve"> only on </w:t>
      </w:r>
      <w:r w:rsidR="00AA091B">
        <w:rPr>
          <w:rFonts w:ascii="Times New Roman" w:hAnsi="Times New Roman" w:cs="Times New Roman"/>
        </w:rPr>
        <w:t>chapter</w:t>
      </w:r>
      <w:r w:rsidR="00FD7990">
        <w:rPr>
          <w:rFonts w:ascii="Times New Roman" w:hAnsi="Times New Roman" w:cs="Times New Roman"/>
        </w:rPr>
        <w:t xml:space="preserve"> 11 debtors </w:t>
      </w:r>
      <w:r w:rsidR="005B31A2">
        <w:rPr>
          <w:rFonts w:ascii="Times New Roman" w:hAnsi="Times New Roman" w:cs="Times New Roman"/>
        </w:rPr>
        <w:t>with primarily non-business debts</w:t>
      </w:r>
      <w:r w:rsidRPr="00537498">
        <w:rPr>
          <w:rFonts w:ascii="Times New Roman" w:hAnsi="Times New Roman" w:cs="Times New Roman"/>
        </w:rPr>
        <w:t xml:space="preserve">. </w:t>
      </w:r>
    </w:p>
    <w:p w14:paraId="235653C4" w14:textId="6030F37E" w:rsidR="004F4A87" w:rsidRDefault="008373AC" w:rsidP="008373AC">
      <w:pPr>
        <w:spacing w:line="480" w:lineRule="auto"/>
        <w:rPr>
          <w:rFonts w:ascii="Times New Roman" w:hAnsi="Times New Roman" w:cs="Times New Roman"/>
        </w:rPr>
      </w:pPr>
      <w:r w:rsidRPr="00537498">
        <w:rPr>
          <w:rFonts w:ascii="Times New Roman" w:hAnsi="Times New Roman" w:cs="Times New Roman"/>
        </w:rPr>
        <w:tab/>
      </w:r>
      <w:r>
        <w:rPr>
          <w:rFonts w:ascii="Times New Roman" w:hAnsi="Times New Roman" w:cs="Times New Roman"/>
        </w:rPr>
        <w:t xml:space="preserve">The data in </w:t>
      </w:r>
      <w:r w:rsidRPr="00537498">
        <w:rPr>
          <w:rFonts w:ascii="Times New Roman" w:hAnsi="Times New Roman" w:cs="Times New Roman"/>
        </w:rPr>
        <w:t xml:space="preserve">Table </w:t>
      </w:r>
      <w:r>
        <w:rPr>
          <w:rFonts w:ascii="Times New Roman" w:hAnsi="Times New Roman" w:cs="Times New Roman"/>
        </w:rPr>
        <w:t>2</w:t>
      </w:r>
      <w:r w:rsidR="00296FEB">
        <w:rPr>
          <w:rFonts w:ascii="Times New Roman" w:hAnsi="Times New Roman" w:cs="Times New Roman"/>
        </w:rPr>
        <w:t>5</w:t>
      </w:r>
      <w:r w:rsidRPr="00537498">
        <w:rPr>
          <w:rFonts w:ascii="Times New Roman" w:hAnsi="Times New Roman" w:cs="Times New Roman"/>
        </w:rPr>
        <w:t xml:space="preserve"> also show </w:t>
      </w:r>
      <w:r>
        <w:rPr>
          <w:rFonts w:ascii="Times New Roman" w:hAnsi="Times New Roman" w:cs="Times New Roman"/>
        </w:rPr>
        <w:t xml:space="preserve">that the debtors in our sample </w:t>
      </w:r>
      <w:r w:rsidR="002512A8">
        <w:rPr>
          <w:rFonts w:ascii="Times New Roman" w:hAnsi="Times New Roman" w:cs="Times New Roman"/>
        </w:rPr>
        <w:t>were</w:t>
      </w:r>
      <w:r>
        <w:rPr>
          <w:rFonts w:ascii="Times New Roman" w:hAnsi="Times New Roman" w:cs="Times New Roman"/>
        </w:rPr>
        <w:t xml:space="preserve"> over-represented among the top income categories. </w:t>
      </w:r>
      <w:r w:rsidR="002512A8">
        <w:rPr>
          <w:rFonts w:ascii="Times New Roman" w:hAnsi="Times New Roman" w:cs="Times New Roman"/>
        </w:rPr>
        <w:t xml:space="preserve">Approximately 36% </w:t>
      </w:r>
      <w:r w:rsidRPr="00537498">
        <w:rPr>
          <w:rFonts w:ascii="Times New Roman" w:hAnsi="Times New Roman" w:cs="Times New Roman"/>
        </w:rPr>
        <w:t xml:space="preserve">of our debtors </w:t>
      </w:r>
      <w:r>
        <w:rPr>
          <w:rFonts w:ascii="Times New Roman" w:hAnsi="Times New Roman" w:cs="Times New Roman"/>
        </w:rPr>
        <w:t>had monthly incomes that placed them in the top 20</w:t>
      </w:r>
      <w:r w:rsidR="00042036">
        <w:rPr>
          <w:rFonts w:ascii="Times New Roman" w:hAnsi="Times New Roman" w:cs="Times New Roman"/>
        </w:rPr>
        <w:t>%</w:t>
      </w:r>
      <w:r>
        <w:rPr>
          <w:rFonts w:ascii="Times New Roman" w:hAnsi="Times New Roman" w:cs="Times New Roman"/>
        </w:rPr>
        <w:t xml:space="preserve"> of household incomes nationally.</w:t>
      </w:r>
      <w:r w:rsidR="00FA08FD">
        <w:rPr>
          <w:rStyle w:val="FootnoteReference"/>
          <w:rFonts w:ascii="Times New Roman" w:hAnsi="Times New Roman" w:cs="Times New Roman"/>
        </w:rPr>
        <w:footnoteReference w:id="152"/>
      </w:r>
      <w:r>
        <w:rPr>
          <w:rFonts w:ascii="Times New Roman" w:hAnsi="Times New Roman" w:cs="Times New Roman"/>
        </w:rPr>
        <w:t xml:space="preserve"> Approximately 14</w:t>
      </w:r>
      <w:r w:rsidR="00042036">
        <w:rPr>
          <w:rFonts w:ascii="Times New Roman" w:hAnsi="Times New Roman" w:cs="Times New Roman"/>
        </w:rPr>
        <w:t>%</w:t>
      </w:r>
      <w:r>
        <w:rPr>
          <w:rFonts w:ascii="Times New Roman" w:hAnsi="Times New Roman" w:cs="Times New Roman"/>
        </w:rPr>
        <w:t xml:space="preserve"> had annual incomes in excess of $200,200 in 2010 and $225,333 in 2013, which placed them among the top 5</w:t>
      </w:r>
      <w:r w:rsidR="00042036">
        <w:rPr>
          <w:rFonts w:ascii="Times New Roman" w:hAnsi="Times New Roman" w:cs="Times New Roman"/>
        </w:rPr>
        <w:t>%</w:t>
      </w:r>
      <w:r>
        <w:rPr>
          <w:rFonts w:ascii="Times New Roman" w:hAnsi="Times New Roman" w:cs="Times New Roman"/>
        </w:rPr>
        <w:t xml:space="preserve"> of American households nationally. No</w:t>
      </w:r>
      <w:r w:rsidR="00453981">
        <w:rPr>
          <w:rFonts w:ascii="Times New Roman" w:hAnsi="Times New Roman" w:cs="Times New Roman"/>
        </w:rPr>
        <w:t>t all the debtors in our sample</w:t>
      </w:r>
      <w:r>
        <w:rPr>
          <w:rFonts w:ascii="Times New Roman" w:hAnsi="Times New Roman" w:cs="Times New Roman"/>
        </w:rPr>
        <w:t xml:space="preserve"> were high earners</w:t>
      </w:r>
      <w:r w:rsidR="00453981">
        <w:rPr>
          <w:rFonts w:ascii="Times New Roman" w:hAnsi="Times New Roman" w:cs="Times New Roman"/>
        </w:rPr>
        <w:t>, however</w:t>
      </w:r>
      <w:r w:rsidR="000B3B15">
        <w:rPr>
          <w:rFonts w:ascii="Times New Roman" w:hAnsi="Times New Roman" w:cs="Times New Roman"/>
        </w:rPr>
        <w:t>.</w:t>
      </w:r>
      <w:r>
        <w:rPr>
          <w:rFonts w:ascii="Times New Roman" w:hAnsi="Times New Roman" w:cs="Times New Roman"/>
        </w:rPr>
        <w:t xml:space="preserve"> Between 12</w:t>
      </w:r>
      <w:r w:rsidR="00042036">
        <w:rPr>
          <w:rFonts w:ascii="Times New Roman" w:hAnsi="Times New Roman" w:cs="Times New Roman"/>
        </w:rPr>
        <w:t>%</w:t>
      </w:r>
      <w:r>
        <w:rPr>
          <w:rFonts w:ascii="Times New Roman" w:hAnsi="Times New Roman" w:cs="Times New Roman"/>
        </w:rPr>
        <w:t xml:space="preserve"> and 18</w:t>
      </w:r>
      <w:r w:rsidR="00042036">
        <w:rPr>
          <w:rFonts w:ascii="Times New Roman" w:hAnsi="Times New Roman" w:cs="Times New Roman"/>
        </w:rPr>
        <w:t>%</w:t>
      </w:r>
      <w:r>
        <w:rPr>
          <w:rFonts w:ascii="Times New Roman" w:hAnsi="Times New Roman" w:cs="Times New Roman"/>
        </w:rPr>
        <w:t xml:space="preserve"> of the debtors had incomes that placed them in the bottom 40</w:t>
      </w:r>
      <w:r w:rsidR="00042036">
        <w:rPr>
          <w:rFonts w:ascii="Times New Roman" w:hAnsi="Times New Roman" w:cs="Times New Roman"/>
        </w:rPr>
        <w:t>%</w:t>
      </w:r>
      <w:r>
        <w:rPr>
          <w:rFonts w:ascii="Times New Roman" w:hAnsi="Times New Roman" w:cs="Times New Roman"/>
        </w:rPr>
        <w:t xml:space="preserve"> of household incomes nationally. </w:t>
      </w:r>
      <w:r w:rsidR="00453981">
        <w:rPr>
          <w:rFonts w:ascii="Times New Roman" w:hAnsi="Times New Roman" w:cs="Times New Roman"/>
        </w:rPr>
        <w:t>But as the data demonstrate</w:t>
      </w:r>
      <w:r>
        <w:rPr>
          <w:rFonts w:ascii="Times New Roman" w:hAnsi="Times New Roman" w:cs="Times New Roman"/>
        </w:rPr>
        <w:t xml:space="preserve">, lower-income debtors comprised a smaller </w:t>
      </w:r>
      <w:r w:rsidR="004E4A32">
        <w:rPr>
          <w:rFonts w:ascii="Times New Roman" w:hAnsi="Times New Roman" w:cs="Times New Roman"/>
        </w:rPr>
        <w:t xml:space="preserve">percentage </w:t>
      </w:r>
      <w:r>
        <w:rPr>
          <w:rFonts w:ascii="Times New Roman" w:hAnsi="Times New Roman" w:cs="Times New Roman"/>
        </w:rPr>
        <w:t>of our sample compared with their representation in the American population at large.</w:t>
      </w:r>
    </w:p>
    <w:p w14:paraId="0D00E29D" w14:textId="0F34A875" w:rsidR="00C66E67" w:rsidRPr="00B026E4" w:rsidRDefault="00C66E67" w:rsidP="00085430">
      <w:pPr>
        <w:keepLines/>
        <w:spacing w:line="480" w:lineRule="auto"/>
        <w:jc w:val="center"/>
        <w:rPr>
          <w:rFonts w:ascii="Times New Roman" w:hAnsi="Times New Roman" w:cs="Times New Roman"/>
          <w:b/>
        </w:rPr>
      </w:pPr>
      <w:r w:rsidRPr="00B026E4">
        <w:rPr>
          <w:rFonts w:ascii="Times New Roman" w:hAnsi="Times New Roman" w:cs="Times New Roman"/>
          <w:b/>
        </w:rPr>
        <w:t>Table 2</w:t>
      </w:r>
      <w:r w:rsidR="00296FEB">
        <w:rPr>
          <w:rFonts w:ascii="Times New Roman" w:hAnsi="Times New Roman" w:cs="Times New Roman"/>
          <w:b/>
        </w:rPr>
        <w:t>5</w:t>
      </w:r>
      <w:r w:rsidRPr="00B026E4">
        <w:rPr>
          <w:rFonts w:ascii="Times New Roman" w:hAnsi="Times New Roman" w:cs="Times New Roman"/>
          <w:b/>
        </w:rPr>
        <w:t xml:space="preserve">: Debtors’ Monthly Income </w:t>
      </w:r>
    </w:p>
    <w:tbl>
      <w:tblPr>
        <w:tblStyle w:val="TableGrid"/>
        <w:tblW w:w="8856" w:type="dxa"/>
        <w:tblLook w:val="04A0" w:firstRow="1" w:lastRow="0" w:firstColumn="1" w:lastColumn="0" w:noHBand="0" w:noVBand="1"/>
      </w:tblPr>
      <w:tblGrid>
        <w:gridCol w:w="3482"/>
        <w:gridCol w:w="1484"/>
        <w:gridCol w:w="1484"/>
        <w:gridCol w:w="1219"/>
        <w:gridCol w:w="1187"/>
      </w:tblGrid>
      <w:tr w:rsidR="00C66E67" w:rsidRPr="00537498" w14:paraId="077DAE4B" w14:textId="77777777" w:rsidTr="00296FEB">
        <w:trPr>
          <w:trHeight w:val="300"/>
        </w:trPr>
        <w:tc>
          <w:tcPr>
            <w:tcW w:w="3482" w:type="dxa"/>
            <w:tcBorders>
              <w:top w:val="nil"/>
              <w:left w:val="nil"/>
              <w:bottom w:val="single" w:sz="18" w:space="0" w:color="auto"/>
              <w:right w:val="single" w:sz="18" w:space="0" w:color="auto"/>
            </w:tcBorders>
            <w:noWrap/>
            <w:hideMark/>
          </w:tcPr>
          <w:p w14:paraId="76025615" w14:textId="77777777" w:rsidR="00C66E67" w:rsidRPr="00B026E4" w:rsidRDefault="00C66E67" w:rsidP="00085430">
            <w:pPr>
              <w:keepLines/>
              <w:rPr>
                <w:rFonts w:ascii="Times New Roman" w:eastAsia="Times New Roman" w:hAnsi="Times New Roman" w:cs="Times New Roman"/>
                <w:color w:val="000000"/>
              </w:rPr>
            </w:pPr>
          </w:p>
        </w:tc>
        <w:tc>
          <w:tcPr>
            <w:tcW w:w="2968" w:type="dxa"/>
            <w:gridSpan w:val="2"/>
            <w:tcBorders>
              <w:top w:val="single" w:sz="18" w:space="0" w:color="auto"/>
              <w:left w:val="single" w:sz="18" w:space="0" w:color="auto"/>
              <w:bottom w:val="single" w:sz="18" w:space="0" w:color="auto"/>
              <w:right w:val="single" w:sz="18" w:space="0" w:color="auto"/>
            </w:tcBorders>
            <w:noWrap/>
            <w:hideMark/>
          </w:tcPr>
          <w:p w14:paraId="52AD548C" w14:textId="0FF22AB6" w:rsidR="00C66E67" w:rsidRPr="00B026E4" w:rsidRDefault="00A86001" w:rsidP="00085430">
            <w:pPr>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Combined Monthly Income—</w:t>
            </w:r>
            <w:r w:rsidR="00C66E67">
              <w:rPr>
                <w:rFonts w:ascii="Times New Roman" w:eastAsia="Times New Roman" w:hAnsi="Times New Roman" w:cs="Times New Roman"/>
                <w:b/>
                <w:bCs/>
                <w:color w:val="000000"/>
              </w:rPr>
              <w:t xml:space="preserve">Schedule I </w:t>
            </w:r>
          </w:p>
        </w:tc>
        <w:tc>
          <w:tcPr>
            <w:tcW w:w="2406" w:type="dxa"/>
            <w:gridSpan w:val="2"/>
            <w:tcBorders>
              <w:top w:val="single" w:sz="18" w:space="0" w:color="auto"/>
              <w:left w:val="single" w:sz="18" w:space="0" w:color="auto"/>
              <w:bottom w:val="single" w:sz="18" w:space="0" w:color="auto"/>
              <w:right w:val="single" w:sz="18" w:space="0" w:color="auto"/>
            </w:tcBorders>
            <w:noWrap/>
            <w:hideMark/>
          </w:tcPr>
          <w:p w14:paraId="5E914E82" w14:textId="77777777" w:rsidR="00C66E67" w:rsidRPr="00B026E4" w:rsidRDefault="00C66E67" w:rsidP="00085430">
            <w:pPr>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Current Monthly Income </w:t>
            </w:r>
          </w:p>
        </w:tc>
      </w:tr>
      <w:tr w:rsidR="00C66E67" w:rsidRPr="00537498" w14:paraId="08AE5485" w14:textId="77777777" w:rsidTr="00296FEB">
        <w:trPr>
          <w:trHeight w:val="300"/>
        </w:trPr>
        <w:tc>
          <w:tcPr>
            <w:tcW w:w="3482" w:type="dxa"/>
            <w:tcBorders>
              <w:top w:val="single" w:sz="18" w:space="0" w:color="auto"/>
              <w:right w:val="single" w:sz="18" w:space="0" w:color="auto"/>
            </w:tcBorders>
            <w:noWrap/>
            <w:hideMark/>
          </w:tcPr>
          <w:p w14:paraId="7B941749" w14:textId="77777777" w:rsidR="00C66E67" w:rsidRPr="00B026E4" w:rsidRDefault="00C66E67" w:rsidP="00085430">
            <w:pPr>
              <w:keepLines/>
              <w:rPr>
                <w:rFonts w:ascii="Times New Roman" w:eastAsia="Times New Roman" w:hAnsi="Times New Roman" w:cs="Times New Roman"/>
                <w:color w:val="000000"/>
              </w:rPr>
            </w:pPr>
          </w:p>
        </w:tc>
        <w:tc>
          <w:tcPr>
            <w:tcW w:w="1484" w:type="dxa"/>
            <w:tcBorders>
              <w:top w:val="single" w:sz="18" w:space="0" w:color="auto"/>
              <w:left w:val="single" w:sz="18" w:space="0" w:color="auto"/>
            </w:tcBorders>
            <w:noWrap/>
            <w:hideMark/>
          </w:tcPr>
          <w:p w14:paraId="7B4E3384" w14:textId="77777777" w:rsidR="00C66E67" w:rsidRPr="00B026E4" w:rsidRDefault="00C66E67" w:rsidP="00085430">
            <w:pPr>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2010</w:t>
            </w:r>
          </w:p>
        </w:tc>
        <w:tc>
          <w:tcPr>
            <w:tcW w:w="1484" w:type="dxa"/>
            <w:tcBorders>
              <w:top w:val="single" w:sz="18" w:space="0" w:color="auto"/>
              <w:right w:val="single" w:sz="18" w:space="0" w:color="auto"/>
            </w:tcBorders>
            <w:noWrap/>
            <w:hideMark/>
          </w:tcPr>
          <w:p w14:paraId="021B53A8" w14:textId="77777777" w:rsidR="00C66E67" w:rsidRPr="00B026E4" w:rsidRDefault="00C66E67" w:rsidP="00085430">
            <w:pPr>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2013</w:t>
            </w:r>
          </w:p>
        </w:tc>
        <w:tc>
          <w:tcPr>
            <w:tcW w:w="1219" w:type="dxa"/>
            <w:tcBorders>
              <w:top w:val="single" w:sz="18" w:space="0" w:color="auto"/>
              <w:left w:val="single" w:sz="18" w:space="0" w:color="auto"/>
            </w:tcBorders>
            <w:noWrap/>
            <w:hideMark/>
          </w:tcPr>
          <w:p w14:paraId="6D64FB84" w14:textId="77777777" w:rsidR="00C66E67" w:rsidRPr="00B026E4" w:rsidRDefault="00C66E67" w:rsidP="00085430">
            <w:pPr>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2010</w:t>
            </w:r>
          </w:p>
        </w:tc>
        <w:tc>
          <w:tcPr>
            <w:tcW w:w="1187" w:type="dxa"/>
            <w:tcBorders>
              <w:top w:val="single" w:sz="18" w:space="0" w:color="auto"/>
              <w:right w:val="single" w:sz="18" w:space="0" w:color="auto"/>
            </w:tcBorders>
            <w:noWrap/>
            <w:hideMark/>
          </w:tcPr>
          <w:p w14:paraId="5611EC98" w14:textId="77777777" w:rsidR="00C66E67" w:rsidRPr="00B026E4" w:rsidRDefault="00C66E67" w:rsidP="00085430">
            <w:pPr>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2013</w:t>
            </w:r>
          </w:p>
        </w:tc>
      </w:tr>
      <w:tr w:rsidR="00C66E67" w:rsidRPr="00537498" w14:paraId="0A909109" w14:textId="77777777" w:rsidTr="00296FEB">
        <w:trPr>
          <w:trHeight w:val="300"/>
        </w:trPr>
        <w:tc>
          <w:tcPr>
            <w:tcW w:w="3482" w:type="dxa"/>
            <w:tcBorders>
              <w:right w:val="single" w:sz="18" w:space="0" w:color="auto"/>
            </w:tcBorders>
            <w:noWrap/>
            <w:hideMark/>
          </w:tcPr>
          <w:p w14:paraId="22ED28DE" w14:textId="77777777" w:rsidR="00C66E67" w:rsidRPr="00B026E4" w:rsidRDefault="00C66E67" w:rsidP="00085430">
            <w:pPr>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Top 5%</w:t>
            </w:r>
          </w:p>
        </w:tc>
        <w:tc>
          <w:tcPr>
            <w:tcW w:w="1484" w:type="dxa"/>
            <w:tcBorders>
              <w:left w:val="single" w:sz="18" w:space="0" w:color="auto"/>
            </w:tcBorders>
            <w:noWrap/>
            <w:hideMark/>
          </w:tcPr>
          <w:p w14:paraId="7F45891D" w14:textId="77777777" w:rsidR="00C66E67" w:rsidRPr="00B026E4" w:rsidRDefault="00C66E67" w:rsidP="00085430">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13.8%</w:t>
            </w:r>
          </w:p>
        </w:tc>
        <w:tc>
          <w:tcPr>
            <w:tcW w:w="1484" w:type="dxa"/>
            <w:tcBorders>
              <w:right w:val="single" w:sz="18" w:space="0" w:color="auto"/>
            </w:tcBorders>
            <w:noWrap/>
            <w:hideMark/>
          </w:tcPr>
          <w:p w14:paraId="29AA0DC8" w14:textId="77777777" w:rsidR="00C66E67" w:rsidRPr="00B026E4" w:rsidRDefault="00C66E67" w:rsidP="00085430">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14.0%</w:t>
            </w:r>
          </w:p>
        </w:tc>
        <w:tc>
          <w:tcPr>
            <w:tcW w:w="1219" w:type="dxa"/>
            <w:tcBorders>
              <w:left w:val="single" w:sz="18" w:space="0" w:color="auto"/>
            </w:tcBorders>
            <w:noWrap/>
            <w:vAlign w:val="bottom"/>
            <w:hideMark/>
          </w:tcPr>
          <w:p w14:paraId="7BDF6906" w14:textId="77777777" w:rsidR="00C66E67" w:rsidRPr="005B31A2" w:rsidRDefault="00C66E67" w:rsidP="00085430">
            <w:pPr>
              <w:keepLines/>
              <w:jc w:val="right"/>
              <w:rPr>
                <w:rFonts w:ascii="Times New Roman" w:eastAsia="Times New Roman" w:hAnsi="Times New Roman" w:cs="Times New Roman"/>
                <w:color w:val="000000"/>
              </w:rPr>
            </w:pPr>
            <w:r w:rsidRPr="00FD7990">
              <w:rPr>
                <w:rFonts w:ascii="Times New Roman" w:eastAsia="Times New Roman" w:hAnsi="Times New Roman" w:cs="Times New Roman"/>
                <w:color w:val="000000"/>
              </w:rPr>
              <w:t>13.8%</w:t>
            </w:r>
          </w:p>
        </w:tc>
        <w:tc>
          <w:tcPr>
            <w:tcW w:w="1187" w:type="dxa"/>
            <w:tcBorders>
              <w:right w:val="single" w:sz="18" w:space="0" w:color="auto"/>
            </w:tcBorders>
            <w:noWrap/>
            <w:vAlign w:val="bottom"/>
            <w:hideMark/>
          </w:tcPr>
          <w:p w14:paraId="44CD144C" w14:textId="77777777" w:rsidR="00C66E67" w:rsidRPr="005B31A2" w:rsidRDefault="00C66E67" w:rsidP="00085430">
            <w:pPr>
              <w:keepLines/>
              <w:jc w:val="right"/>
              <w:rPr>
                <w:rFonts w:ascii="Times New Roman" w:eastAsia="Times New Roman" w:hAnsi="Times New Roman" w:cs="Times New Roman"/>
                <w:color w:val="000000"/>
              </w:rPr>
            </w:pPr>
            <w:r w:rsidRPr="00FD7990">
              <w:rPr>
                <w:rFonts w:ascii="Times New Roman" w:eastAsia="Times New Roman" w:hAnsi="Times New Roman" w:cs="Times New Roman"/>
                <w:color w:val="000000"/>
              </w:rPr>
              <w:t>14.0%</w:t>
            </w:r>
          </w:p>
        </w:tc>
      </w:tr>
      <w:tr w:rsidR="00C66E67" w:rsidRPr="00537498" w14:paraId="02B83CC2" w14:textId="77777777" w:rsidTr="00296FEB">
        <w:trPr>
          <w:trHeight w:val="300"/>
        </w:trPr>
        <w:tc>
          <w:tcPr>
            <w:tcW w:w="3482" w:type="dxa"/>
            <w:tcBorders>
              <w:right w:val="single" w:sz="18" w:space="0" w:color="auto"/>
            </w:tcBorders>
            <w:noWrap/>
            <w:hideMark/>
          </w:tcPr>
          <w:p w14:paraId="6718CF8C" w14:textId="77777777" w:rsidR="00C66E67" w:rsidRPr="00B026E4" w:rsidRDefault="00C66E67" w:rsidP="00085430">
            <w:pPr>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5th Quintile (includes top 5%)</w:t>
            </w:r>
          </w:p>
        </w:tc>
        <w:tc>
          <w:tcPr>
            <w:tcW w:w="1484" w:type="dxa"/>
            <w:tcBorders>
              <w:left w:val="single" w:sz="18" w:space="0" w:color="auto"/>
            </w:tcBorders>
            <w:noWrap/>
            <w:hideMark/>
          </w:tcPr>
          <w:p w14:paraId="3DDF206D" w14:textId="77777777" w:rsidR="00C66E67" w:rsidRPr="00B026E4" w:rsidRDefault="00C66E67" w:rsidP="00085430">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36.7%</w:t>
            </w:r>
          </w:p>
        </w:tc>
        <w:tc>
          <w:tcPr>
            <w:tcW w:w="1484" w:type="dxa"/>
            <w:tcBorders>
              <w:right w:val="single" w:sz="18" w:space="0" w:color="auto"/>
            </w:tcBorders>
            <w:noWrap/>
            <w:hideMark/>
          </w:tcPr>
          <w:p w14:paraId="33EBC506" w14:textId="77777777" w:rsidR="00C66E67" w:rsidRPr="00B026E4" w:rsidRDefault="00C66E67" w:rsidP="00085430">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36.0%</w:t>
            </w:r>
          </w:p>
        </w:tc>
        <w:tc>
          <w:tcPr>
            <w:tcW w:w="1219" w:type="dxa"/>
            <w:tcBorders>
              <w:left w:val="single" w:sz="18" w:space="0" w:color="auto"/>
            </w:tcBorders>
            <w:noWrap/>
            <w:vAlign w:val="bottom"/>
            <w:hideMark/>
          </w:tcPr>
          <w:p w14:paraId="76F23F55" w14:textId="77777777" w:rsidR="00C66E67" w:rsidRPr="005B31A2" w:rsidRDefault="00C66E67" w:rsidP="00085430">
            <w:pPr>
              <w:keepLines/>
              <w:jc w:val="right"/>
              <w:rPr>
                <w:rFonts w:ascii="Times New Roman" w:eastAsia="Times New Roman" w:hAnsi="Times New Roman" w:cs="Times New Roman"/>
                <w:color w:val="000000"/>
              </w:rPr>
            </w:pPr>
            <w:r w:rsidRPr="00FD7990">
              <w:rPr>
                <w:rFonts w:ascii="Times New Roman" w:eastAsia="Times New Roman" w:hAnsi="Times New Roman" w:cs="Times New Roman"/>
                <w:color w:val="000000"/>
              </w:rPr>
              <w:t>35.8%</w:t>
            </w:r>
          </w:p>
        </w:tc>
        <w:tc>
          <w:tcPr>
            <w:tcW w:w="1187" w:type="dxa"/>
            <w:tcBorders>
              <w:right w:val="single" w:sz="18" w:space="0" w:color="auto"/>
            </w:tcBorders>
            <w:noWrap/>
            <w:vAlign w:val="bottom"/>
            <w:hideMark/>
          </w:tcPr>
          <w:p w14:paraId="46749D02" w14:textId="77777777" w:rsidR="00C66E67" w:rsidRPr="005B31A2" w:rsidRDefault="00C66E67" w:rsidP="00085430">
            <w:pPr>
              <w:keepLines/>
              <w:jc w:val="right"/>
              <w:rPr>
                <w:rFonts w:ascii="Times New Roman" w:eastAsia="Times New Roman" w:hAnsi="Times New Roman" w:cs="Times New Roman"/>
                <w:color w:val="000000"/>
              </w:rPr>
            </w:pPr>
            <w:r w:rsidRPr="00FD7990">
              <w:rPr>
                <w:rFonts w:ascii="Times New Roman" w:eastAsia="Times New Roman" w:hAnsi="Times New Roman" w:cs="Times New Roman"/>
                <w:color w:val="000000"/>
              </w:rPr>
              <w:t>36.0%</w:t>
            </w:r>
          </w:p>
        </w:tc>
      </w:tr>
      <w:tr w:rsidR="00C66E67" w:rsidRPr="00537498" w14:paraId="6B92C6D6" w14:textId="77777777" w:rsidTr="00296FEB">
        <w:trPr>
          <w:trHeight w:val="300"/>
        </w:trPr>
        <w:tc>
          <w:tcPr>
            <w:tcW w:w="3482" w:type="dxa"/>
            <w:tcBorders>
              <w:right w:val="single" w:sz="18" w:space="0" w:color="auto"/>
            </w:tcBorders>
            <w:noWrap/>
            <w:hideMark/>
          </w:tcPr>
          <w:p w14:paraId="70FF8895" w14:textId="77777777" w:rsidR="00C66E67" w:rsidRPr="00B026E4" w:rsidRDefault="00C66E67" w:rsidP="00085430">
            <w:pPr>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4th Quintile</w:t>
            </w:r>
          </w:p>
        </w:tc>
        <w:tc>
          <w:tcPr>
            <w:tcW w:w="1484" w:type="dxa"/>
            <w:tcBorders>
              <w:left w:val="single" w:sz="18" w:space="0" w:color="auto"/>
            </w:tcBorders>
            <w:noWrap/>
            <w:hideMark/>
          </w:tcPr>
          <w:p w14:paraId="1627BF7C" w14:textId="77777777" w:rsidR="00C66E67" w:rsidRPr="00B026E4" w:rsidRDefault="00C66E67" w:rsidP="00085430">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29.4%</w:t>
            </w:r>
          </w:p>
        </w:tc>
        <w:tc>
          <w:tcPr>
            <w:tcW w:w="1484" w:type="dxa"/>
            <w:tcBorders>
              <w:right w:val="single" w:sz="18" w:space="0" w:color="auto"/>
            </w:tcBorders>
            <w:noWrap/>
            <w:hideMark/>
          </w:tcPr>
          <w:p w14:paraId="0DE9AC20" w14:textId="77777777" w:rsidR="00C66E67" w:rsidRPr="00B026E4" w:rsidRDefault="00C66E67" w:rsidP="00085430">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26.3%</w:t>
            </w:r>
          </w:p>
        </w:tc>
        <w:tc>
          <w:tcPr>
            <w:tcW w:w="1219" w:type="dxa"/>
            <w:tcBorders>
              <w:left w:val="single" w:sz="18" w:space="0" w:color="auto"/>
            </w:tcBorders>
            <w:noWrap/>
            <w:vAlign w:val="bottom"/>
            <w:hideMark/>
          </w:tcPr>
          <w:p w14:paraId="587D0451" w14:textId="77777777" w:rsidR="00C66E67" w:rsidRPr="005B31A2" w:rsidRDefault="00C66E67" w:rsidP="00085430">
            <w:pPr>
              <w:keepLines/>
              <w:jc w:val="right"/>
              <w:rPr>
                <w:rFonts w:ascii="Times New Roman" w:eastAsia="Times New Roman" w:hAnsi="Times New Roman" w:cs="Times New Roman"/>
                <w:color w:val="000000"/>
              </w:rPr>
            </w:pPr>
            <w:r w:rsidRPr="00FD7990">
              <w:rPr>
                <w:rFonts w:ascii="Times New Roman" w:eastAsia="Times New Roman" w:hAnsi="Times New Roman" w:cs="Times New Roman"/>
                <w:color w:val="000000"/>
              </w:rPr>
              <w:t>11.0%</w:t>
            </w:r>
          </w:p>
        </w:tc>
        <w:tc>
          <w:tcPr>
            <w:tcW w:w="1187" w:type="dxa"/>
            <w:tcBorders>
              <w:right w:val="single" w:sz="18" w:space="0" w:color="auto"/>
            </w:tcBorders>
            <w:noWrap/>
            <w:vAlign w:val="bottom"/>
            <w:hideMark/>
          </w:tcPr>
          <w:p w14:paraId="4F1B7636" w14:textId="77777777" w:rsidR="00C66E67" w:rsidRPr="005B31A2" w:rsidRDefault="00C66E67" w:rsidP="00085430">
            <w:pPr>
              <w:keepLines/>
              <w:jc w:val="right"/>
              <w:rPr>
                <w:rFonts w:ascii="Times New Roman" w:eastAsia="Times New Roman" w:hAnsi="Times New Roman" w:cs="Times New Roman"/>
                <w:color w:val="000000"/>
              </w:rPr>
            </w:pPr>
            <w:r w:rsidRPr="00FD7990">
              <w:rPr>
                <w:rFonts w:ascii="Times New Roman" w:eastAsia="Times New Roman" w:hAnsi="Times New Roman" w:cs="Times New Roman"/>
                <w:color w:val="000000"/>
              </w:rPr>
              <w:t>22.8%</w:t>
            </w:r>
          </w:p>
        </w:tc>
      </w:tr>
      <w:tr w:rsidR="00C66E67" w:rsidRPr="00537498" w14:paraId="391C307B" w14:textId="77777777" w:rsidTr="00296FEB">
        <w:trPr>
          <w:trHeight w:val="300"/>
        </w:trPr>
        <w:tc>
          <w:tcPr>
            <w:tcW w:w="3482" w:type="dxa"/>
            <w:tcBorders>
              <w:right w:val="single" w:sz="18" w:space="0" w:color="auto"/>
            </w:tcBorders>
            <w:noWrap/>
            <w:hideMark/>
          </w:tcPr>
          <w:p w14:paraId="78E2FC0C" w14:textId="77777777" w:rsidR="00C66E67" w:rsidRPr="00B026E4" w:rsidRDefault="00C66E67" w:rsidP="00085430">
            <w:pPr>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3rd Quintile</w:t>
            </w:r>
          </w:p>
        </w:tc>
        <w:tc>
          <w:tcPr>
            <w:tcW w:w="1484" w:type="dxa"/>
            <w:tcBorders>
              <w:left w:val="single" w:sz="18" w:space="0" w:color="auto"/>
            </w:tcBorders>
            <w:noWrap/>
            <w:hideMark/>
          </w:tcPr>
          <w:p w14:paraId="36EC3F63" w14:textId="77777777" w:rsidR="00C66E67" w:rsidRPr="00B026E4" w:rsidRDefault="00C66E67" w:rsidP="00085430">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7.3%</w:t>
            </w:r>
          </w:p>
        </w:tc>
        <w:tc>
          <w:tcPr>
            <w:tcW w:w="1484" w:type="dxa"/>
            <w:tcBorders>
              <w:right w:val="single" w:sz="18" w:space="0" w:color="auto"/>
            </w:tcBorders>
            <w:noWrap/>
            <w:hideMark/>
          </w:tcPr>
          <w:p w14:paraId="20488984" w14:textId="77777777" w:rsidR="00C66E67" w:rsidRPr="00B026E4" w:rsidRDefault="00C66E67" w:rsidP="00085430">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19.3%</w:t>
            </w:r>
          </w:p>
        </w:tc>
        <w:tc>
          <w:tcPr>
            <w:tcW w:w="1219" w:type="dxa"/>
            <w:tcBorders>
              <w:left w:val="single" w:sz="18" w:space="0" w:color="auto"/>
            </w:tcBorders>
            <w:noWrap/>
            <w:vAlign w:val="bottom"/>
            <w:hideMark/>
          </w:tcPr>
          <w:p w14:paraId="19D04A8C" w14:textId="77777777" w:rsidR="00C66E67" w:rsidRPr="005B31A2" w:rsidRDefault="00C66E67" w:rsidP="00085430">
            <w:pPr>
              <w:keepLines/>
              <w:jc w:val="right"/>
              <w:rPr>
                <w:rFonts w:ascii="Times New Roman" w:eastAsia="Times New Roman" w:hAnsi="Times New Roman" w:cs="Times New Roman"/>
                <w:color w:val="000000"/>
              </w:rPr>
            </w:pPr>
            <w:r w:rsidRPr="00FD7990">
              <w:rPr>
                <w:rFonts w:ascii="Times New Roman" w:eastAsia="Times New Roman" w:hAnsi="Times New Roman" w:cs="Times New Roman"/>
                <w:color w:val="000000"/>
              </w:rPr>
              <w:t>1</w:t>
            </w:r>
            <w:r>
              <w:rPr>
                <w:rFonts w:ascii="Times New Roman" w:eastAsia="Times New Roman" w:hAnsi="Times New Roman" w:cs="Times New Roman"/>
                <w:color w:val="000000"/>
              </w:rPr>
              <w:t>4</w:t>
            </w:r>
            <w:r w:rsidRPr="00FD7990">
              <w:rPr>
                <w:rFonts w:ascii="Times New Roman" w:eastAsia="Times New Roman" w:hAnsi="Times New Roman" w:cs="Times New Roman"/>
                <w:color w:val="000000"/>
              </w:rPr>
              <w:t>.</w:t>
            </w:r>
            <w:r>
              <w:rPr>
                <w:rFonts w:ascii="Times New Roman" w:eastAsia="Times New Roman" w:hAnsi="Times New Roman" w:cs="Times New Roman"/>
                <w:color w:val="000000"/>
              </w:rPr>
              <w:t>7</w:t>
            </w:r>
            <w:r w:rsidRPr="00FD7990">
              <w:rPr>
                <w:rFonts w:ascii="Times New Roman" w:eastAsia="Times New Roman" w:hAnsi="Times New Roman" w:cs="Times New Roman"/>
                <w:color w:val="000000"/>
              </w:rPr>
              <w:t>%</w:t>
            </w:r>
          </w:p>
        </w:tc>
        <w:tc>
          <w:tcPr>
            <w:tcW w:w="1187" w:type="dxa"/>
            <w:tcBorders>
              <w:right w:val="single" w:sz="18" w:space="0" w:color="auto"/>
            </w:tcBorders>
            <w:noWrap/>
            <w:vAlign w:val="bottom"/>
            <w:hideMark/>
          </w:tcPr>
          <w:p w14:paraId="66C89C2C" w14:textId="77777777" w:rsidR="00C66E67" w:rsidRPr="005B31A2" w:rsidRDefault="00C66E67" w:rsidP="00085430">
            <w:pPr>
              <w:keepLines/>
              <w:jc w:val="right"/>
              <w:rPr>
                <w:rFonts w:ascii="Times New Roman" w:eastAsia="Times New Roman" w:hAnsi="Times New Roman" w:cs="Times New Roman"/>
                <w:color w:val="000000"/>
              </w:rPr>
            </w:pPr>
            <w:r w:rsidRPr="00FD7990">
              <w:rPr>
                <w:rFonts w:ascii="Times New Roman" w:eastAsia="Times New Roman" w:hAnsi="Times New Roman" w:cs="Times New Roman"/>
                <w:color w:val="000000"/>
              </w:rPr>
              <w:t>21.9%</w:t>
            </w:r>
          </w:p>
        </w:tc>
      </w:tr>
      <w:tr w:rsidR="00C66E67" w:rsidRPr="00537498" w14:paraId="719B4862" w14:textId="77777777" w:rsidTr="00296FEB">
        <w:trPr>
          <w:trHeight w:val="300"/>
        </w:trPr>
        <w:tc>
          <w:tcPr>
            <w:tcW w:w="3482" w:type="dxa"/>
            <w:tcBorders>
              <w:right w:val="single" w:sz="18" w:space="0" w:color="auto"/>
            </w:tcBorders>
            <w:noWrap/>
            <w:hideMark/>
          </w:tcPr>
          <w:p w14:paraId="097CB920" w14:textId="77777777" w:rsidR="00C66E67" w:rsidRPr="00B026E4" w:rsidRDefault="00C66E67" w:rsidP="00085430">
            <w:pPr>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2nd Quintile</w:t>
            </w:r>
          </w:p>
        </w:tc>
        <w:tc>
          <w:tcPr>
            <w:tcW w:w="1484" w:type="dxa"/>
            <w:tcBorders>
              <w:left w:val="single" w:sz="18" w:space="0" w:color="auto"/>
            </w:tcBorders>
            <w:noWrap/>
            <w:hideMark/>
          </w:tcPr>
          <w:p w14:paraId="10D6BD52" w14:textId="77777777" w:rsidR="00C66E67" w:rsidRPr="00B026E4" w:rsidRDefault="00C66E67" w:rsidP="00085430">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11.0%</w:t>
            </w:r>
          </w:p>
        </w:tc>
        <w:tc>
          <w:tcPr>
            <w:tcW w:w="1484" w:type="dxa"/>
            <w:tcBorders>
              <w:right w:val="single" w:sz="18" w:space="0" w:color="auto"/>
            </w:tcBorders>
            <w:noWrap/>
            <w:hideMark/>
          </w:tcPr>
          <w:p w14:paraId="1929AB36" w14:textId="77777777" w:rsidR="00C66E67" w:rsidRPr="00B026E4" w:rsidRDefault="00C66E67" w:rsidP="00085430">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6.1%</w:t>
            </w:r>
          </w:p>
        </w:tc>
        <w:tc>
          <w:tcPr>
            <w:tcW w:w="1219" w:type="dxa"/>
            <w:tcBorders>
              <w:left w:val="single" w:sz="18" w:space="0" w:color="auto"/>
            </w:tcBorders>
            <w:noWrap/>
            <w:vAlign w:val="bottom"/>
            <w:hideMark/>
          </w:tcPr>
          <w:p w14:paraId="6E9A07D6" w14:textId="77777777" w:rsidR="00C66E67" w:rsidRPr="005B31A2" w:rsidRDefault="00C66E67" w:rsidP="00085430">
            <w:pPr>
              <w:keepLines/>
              <w:jc w:val="right"/>
              <w:rPr>
                <w:rFonts w:ascii="Times New Roman" w:eastAsia="Times New Roman" w:hAnsi="Times New Roman" w:cs="Times New Roman"/>
                <w:color w:val="000000"/>
              </w:rPr>
            </w:pPr>
            <w:r w:rsidRPr="00FD7990">
              <w:rPr>
                <w:rFonts w:ascii="Times New Roman" w:eastAsia="Times New Roman" w:hAnsi="Times New Roman" w:cs="Times New Roman"/>
                <w:color w:val="000000"/>
              </w:rPr>
              <w:t>11.9%</w:t>
            </w:r>
          </w:p>
        </w:tc>
        <w:tc>
          <w:tcPr>
            <w:tcW w:w="1187" w:type="dxa"/>
            <w:tcBorders>
              <w:right w:val="single" w:sz="18" w:space="0" w:color="auto"/>
            </w:tcBorders>
            <w:noWrap/>
            <w:vAlign w:val="bottom"/>
            <w:hideMark/>
          </w:tcPr>
          <w:p w14:paraId="262B990D" w14:textId="77777777" w:rsidR="00C66E67" w:rsidRPr="005B31A2" w:rsidRDefault="00C66E67" w:rsidP="00085430">
            <w:pPr>
              <w:keepLines/>
              <w:jc w:val="right"/>
              <w:rPr>
                <w:rFonts w:ascii="Times New Roman" w:eastAsia="Times New Roman" w:hAnsi="Times New Roman" w:cs="Times New Roman"/>
                <w:color w:val="000000"/>
              </w:rPr>
            </w:pPr>
            <w:r w:rsidRPr="00FD7990">
              <w:rPr>
                <w:rFonts w:ascii="Times New Roman" w:eastAsia="Times New Roman" w:hAnsi="Times New Roman" w:cs="Times New Roman"/>
                <w:color w:val="000000"/>
              </w:rPr>
              <w:t>5.3%</w:t>
            </w:r>
          </w:p>
        </w:tc>
      </w:tr>
      <w:tr w:rsidR="00C66E67" w:rsidRPr="00537498" w14:paraId="78665A59" w14:textId="77777777" w:rsidTr="00296FEB">
        <w:trPr>
          <w:trHeight w:val="300"/>
        </w:trPr>
        <w:tc>
          <w:tcPr>
            <w:tcW w:w="3482" w:type="dxa"/>
            <w:tcBorders>
              <w:right w:val="single" w:sz="18" w:space="0" w:color="auto"/>
            </w:tcBorders>
            <w:noWrap/>
            <w:hideMark/>
          </w:tcPr>
          <w:p w14:paraId="6D34CE6F" w14:textId="77777777" w:rsidR="00C66E67" w:rsidRPr="00B026E4" w:rsidRDefault="00C66E67" w:rsidP="00085430">
            <w:pPr>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1st Quintile (includes 0)</w:t>
            </w:r>
          </w:p>
        </w:tc>
        <w:tc>
          <w:tcPr>
            <w:tcW w:w="1484" w:type="dxa"/>
            <w:tcBorders>
              <w:left w:val="single" w:sz="18" w:space="0" w:color="auto"/>
            </w:tcBorders>
            <w:noWrap/>
            <w:hideMark/>
          </w:tcPr>
          <w:p w14:paraId="1DE07BD3" w14:textId="77777777" w:rsidR="00C66E67" w:rsidRPr="00B026E4" w:rsidRDefault="00C66E67" w:rsidP="00085430">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7.3%</w:t>
            </w:r>
          </w:p>
        </w:tc>
        <w:tc>
          <w:tcPr>
            <w:tcW w:w="1484" w:type="dxa"/>
            <w:tcBorders>
              <w:right w:val="single" w:sz="18" w:space="0" w:color="auto"/>
            </w:tcBorders>
            <w:noWrap/>
            <w:hideMark/>
          </w:tcPr>
          <w:p w14:paraId="47FB1F19" w14:textId="77777777" w:rsidR="00C66E67" w:rsidRPr="00B026E4" w:rsidRDefault="00C66E67" w:rsidP="00085430">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6.1%</w:t>
            </w:r>
          </w:p>
        </w:tc>
        <w:tc>
          <w:tcPr>
            <w:tcW w:w="1219" w:type="dxa"/>
            <w:tcBorders>
              <w:left w:val="single" w:sz="18" w:space="0" w:color="auto"/>
            </w:tcBorders>
            <w:noWrap/>
            <w:vAlign w:val="bottom"/>
            <w:hideMark/>
          </w:tcPr>
          <w:p w14:paraId="07E4ECEF" w14:textId="77777777" w:rsidR="00C66E67" w:rsidRPr="005B31A2" w:rsidRDefault="00C66E67" w:rsidP="00085430">
            <w:pPr>
              <w:keepLines/>
              <w:jc w:val="right"/>
              <w:rPr>
                <w:rFonts w:ascii="Times New Roman" w:eastAsia="Times New Roman" w:hAnsi="Times New Roman" w:cs="Times New Roman"/>
                <w:color w:val="000000"/>
              </w:rPr>
            </w:pPr>
            <w:r w:rsidRPr="00FD7990">
              <w:rPr>
                <w:rFonts w:ascii="Times New Roman" w:eastAsia="Times New Roman" w:hAnsi="Times New Roman" w:cs="Times New Roman"/>
                <w:color w:val="000000"/>
              </w:rPr>
              <w:t>15.6%</w:t>
            </w:r>
          </w:p>
        </w:tc>
        <w:tc>
          <w:tcPr>
            <w:tcW w:w="1187" w:type="dxa"/>
            <w:tcBorders>
              <w:right w:val="single" w:sz="18" w:space="0" w:color="auto"/>
            </w:tcBorders>
            <w:noWrap/>
            <w:vAlign w:val="bottom"/>
            <w:hideMark/>
          </w:tcPr>
          <w:p w14:paraId="7462410C" w14:textId="77777777" w:rsidR="00C66E67" w:rsidRPr="005B31A2" w:rsidRDefault="00C66E67" w:rsidP="00085430">
            <w:pPr>
              <w:keepLines/>
              <w:jc w:val="right"/>
              <w:rPr>
                <w:rFonts w:ascii="Times New Roman" w:eastAsia="Times New Roman" w:hAnsi="Times New Roman" w:cs="Times New Roman"/>
                <w:color w:val="000000"/>
              </w:rPr>
            </w:pPr>
            <w:r w:rsidRPr="00FD7990">
              <w:rPr>
                <w:rFonts w:ascii="Times New Roman" w:eastAsia="Times New Roman" w:hAnsi="Times New Roman" w:cs="Times New Roman"/>
                <w:color w:val="000000"/>
              </w:rPr>
              <w:t>6.1%</w:t>
            </w:r>
          </w:p>
        </w:tc>
      </w:tr>
      <w:tr w:rsidR="00C66E67" w:rsidRPr="00537498" w14:paraId="2894CF53" w14:textId="77777777" w:rsidTr="00296FEB">
        <w:trPr>
          <w:trHeight w:val="300"/>
        </w:trPr>
        <w:tc>
          <w:tcPr>
            <w:tcW w:w="3482" w:type="dxa"/>
            <w:tcBorders>
              <w:right w:val="single" w:sz="18" w:space="0" w:color="auto"/>
            </w:tcBorders>
            <w:noWrap/>
            <w:hideMark/>
          </w:tcPr>
          <w:p w14:paraId="09A5053E" w14:textId="77777777" w:rsidR="00C66E67" w:rsidRPr="00B026E4" w:rsidRDefault="00C66E67" w:rsidP="00085430">
            <w:pPr>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0</w:t>
            </w:r>
          </w:p>
        </w:tc>
        <w:tc>
          <w:tcPr>
            <w:tcW w:w="1484" w:type="dxa"/>
            <w:tcBorders>
              <w:left w:val="single" w:sz="18" w:space="0" w:color="auto"/>
            </w:tcBorders>
            <w:noWrap/>
            <w:hideMark/>
          </w:tcPr>
          <w:p w14:paraId="1AC6C736" w14:textId="77777777" w:rsidR="00C66E67" w:rsidRPr="00B026E4" w:rsidRDefault="00C66E67" w:rsidP="00085430">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1.8%</w:t>
            </w:r>
          </w:p>
        </w:tc>
        <w:tc>
          <w:tcPr>
            <w:tcW w:w="1484" w:type="dxa"/>
            <w:tcBorders>
              <w:right w:val="single" w:sz="18" w:space="0" w:color="auto"/>
            </w:tcBorders>
            <w:noWrap/>
            <w:hideMark/>
          </w:tcPr>
          <w:p w14:paraId="56D5121F" w14:textId="77777777" w:rsidR="00C66E67" w:rsidRPr="00B026E4" w:rsidRDefault="00C66E67" w:rsidP="00085430">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3.5%</w:t>
            </w:r>
          </w:p>
        </w:tc>
        <w:tc>
          <w:tcPr>
            <w:tcW w:w="1219" w:type="dxa"/>
            <w:tcBorders>
              <w:left w:val="single" w:sz="18" w:space="0" w:color="auto"/>
            </w:tcBorders>
            <w:noWrap/>
            <w:vAlign w:val="bottom"/>
            <w:hideMark/>
          </w:tcPr>
          <w:p w14:paraId="47250F3F" w14:textId="77777777" w:rsidR="00C66E67" w:rsidRPr="005B31A2" w:rsidRDefault="00C66E67" w:rsidP="00085430">
            <w:pPr>
              <w:keepLines/>
              <w:jc w:val="right"/>
              <w:rPr>
                <w:rFonts w:ascii="Times New Roman" w:eastAsia="Times New Roman" w:hAnsi="Times New Roman" w:cs="Times New Roman"/>
                <w:color w:val="000000"/>
              </w:rPr>
            </w:pPr>
            <w:r w:rsidRPr="00FD7990">
              <w:rPr>
                <w:rFonts w:ascii="Times New Roman" w:eastAsia="Times New Roman" w:hAnsi="Times New Roman" w:cs="Times New Roman"/>
                <w:color w:val="000000"/>
              </w:rPr>
              <w:t>9.2%</w:t>
            </w:r>
          </w:p>
        </w:tc>
        <w:tc>
          <w:tcPr>
            <w:tcW w:w="1187" w:type="dxa"/>
            <w:tcBorders>
              <w:right w:val="single" w:sz="18" w:space="0" w:color="auto"/>
            </w:tcBorders>
            <w:noWrap/>
            <w:vAlign w:val="bottom"/>
            <w:hideMark/>
          </w:tcPr>
          <w:p w14:paraId="73C6B182" w14:textId="77777777" w:rsidR="00C66E67" w:rsidRPr="005B31A2" w:rsidRDefault="00C66E67" w:rsidP="00085430">
            <w:pPr>
              <w:keepLines/>
              <w:jc w:val="right"/>
              <w:rPr>
                <w:rFonts w:ascii="Times New Roman" w:eastAsia="Times New Roman" w:hAnsi="Times New Roman" w:cs="Times New Roman"/>
                <w:color w:val="000000"/>
              </w:rPr>
            </w:pPr>
            <w:r w:rsidRPr="00FD7990">
              <w:rPr>
                <w:rFonts w:ascii="Times New Roman" w:eastAsia="Times New Roman" w:hAnsi="Times New Roman" w:cs="Times New Roman"/>
                <w:color w:val="000000"/>
              </w:rPr>
              <w:t>3.5%</w:t>
            </w:r>
          </w:p>
        </w:tc>
      </w:tr>
      <w:tr w:rsidR="00C66E67" w:rsidRPr="00537498" w14:paraId="58CDEC82" w14:textId="77777777" w:rsidTr="00296FEB">
        <w:trPr>
          <w:trHeight w:val="300"/>
        </w:trPr>
        <w:tc>
          <w:tcPr>
            <w:tcW w:w="3482" w:type="dxa"/>
            <w:tcBorders>
              <w:bottom w:val="triple" w:sz="4" w:space="0" w:color="auto"/>
              <w:right w:val="single" w:sz="18" w:space="0" w:color="auto"/>
            </w:tcBorders>
            <w:noWrap/>
            <w:hideMark/>
          </w:tcPr>
          <w:p w14:paraId="6FE269CF" w14:textId="77777777" w:rsidR="00C66E67" w:rsidRPr="00B026E4" w:rsidRDefault="00C66E67" w:rsidP="00085430">
            <w:pPr>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Unknown</w:t>
            </w:r>
          </w:p>
        </w:tc>
        <w:tc>
          <w:tcPr>
            <w:tcW w:w="1484" w:type="dxa"/>
            <w:tcBorders>
              <w:left w:val="single" w:sz="18" w:space="0" w:color="auto"/>
              <w:bottom w:val="triple" w:sz="4" w:space="0" w:color="auto"/>
            </w:tcBorders>
            <w:noWrap/>
            <w:hideMark/>
          </w:tcPr>
          <w:p w14:paraId="5C020F0D" w14:textId="77777777" w:rsidR="00C66E67" w:rsidRPr="00B026E4" w:rsidRDefault="00C66E67" w:rsidP="00085430">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8.3%</w:t>
            </w:r>
          </w:p>
        </w:tc>
        <w:tc>
          <w:tcPr>
            <w:tcW w:w="1484" w:type="dxa"/>
            <w:tcBorders>
              <w:bottom w:val="triple" w:sz="4" w:space="0" w:color="auto"/>
              <w:right w:val="single" w:sz="18" w:space="0" w:color="auto"/>
            </w:tcBorders>
            <w:noWrap/>
            <w:hideMark/>
          </w:tcPr>
          <w:p w14:paraId="56085271" w14:textId="77777777" w:rsidR="00C66E67" w:rsidRPr="00B026E4" w:rsidRDefault="00C66E67" w:rsidP="00085430">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6.1%</w:t>
            </w:r>
          </w:p>
        </w:tc>
        <w:tc>
          <w:tcPr>
            <w:tcW w:w="1219" w:type="dxa"/>
            <w:tcBorders>
              <w:left w:val="single" w:sz="18" w:space="0" w:color="auto"/>
              <w:bottom w:val="triple" w:sz="4" w:space="0" w:color="auto"/>
            </w:tcBorders>
            <w:noWrap/>
            <w:vAlign w:val="bottom"/>
            <w:hideMark/>
          </w:tcPr>
          <w:p w14:paraId="184FA866" w14:textId="77777777" w:rsidR="00C66E67" w:rsidRPr="005B31A2" w:rsidRDefault="00C66E67" w:rsidP="00085430">
            <w:pPr>
              <w:keepLines/>
              <w:jc w:val="right"/>
              <w:rPr>
                <w:rFonts w:ascii="Times New Roman" w:eastAsia="Times New Roman" w:hAnsi="Times New Roman" w:cs="Times New Roman"/>
                <w:color w:val="000000"/>
              </w:rPr>
            </w:pPr>
            <w:r w:rsidRPr="00FD7990">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FD7990">
              <w:rPr>
                <w:rFonts w:ascii="Times New Roman" w:eastAsia="Times New Roman" w:hAnsi="Times New Roman" w:cs="Times New Roman"/>
                <w:color w:val="000000"/>
              </w:rPr>
              <w:t>.</w:t>
            </w:r>
            <w:r>
              <w:rPr>
                <w:rFonts w:ascii="Times New Roman" w:eastAsia="Times New Roman" w:hAnsi="Times New Roman" w:cs="Times New Roman"/>
                <w:color w:val="000000"/>
              </w:rPr>
              <w:t>0</w:t>
            </w:r>
            <w:r w:rsidRPr="00FD7990">
              <w:rPr>
                <w:rFonts w:ascii="Times New Roman" w:eastAsia="Times New Roman" w:hAnsi="Times New Roman" w:cs="Times New Roman"/>
                <w:color w:val="000000"/>
              </w:rPr>
              <w:t>%</w:t>
            </w:r>
          </w:p>
        </w:tc>
        <w:tc>
          <w:tcPr>
            <w:tcW w:w="1187" w:type="dxa"/>
            <w:tcBorders>
              <w:bottom w:val="triple" w:sz="4" w:space="0" w:color="auto"/>
              <w:right w:val="single" w:sz="18" w:space="0" w:color="auto"/>
            </w:tcBorders>
            <w:noWrap/>
            <w:vAlign w:val="bottom"/>
            <w:hideMark/>
          </w:tcPr>
          <w:p w14:paraId="42FC0162" w14:textId="77777777" w:rsidR="00C66E67" w:rsidRPr="005B31A2" w:rsidRDefault="00C66E67" w:rsidP="00085430">
            <w:pPr>
              <w:keepLines/>
              <w:jc w:val="right"/>
              <w:rPr>
                <w:rFonts w:ascii="Times New Roman" w:eastAsia="Times New Roman" w:hAnsi="Times New Roman" w:cs="Times New Roman"/>
                <w:color w:val="000000"/>
              </w:rPr>
            </w:pPr>
            <w:r w:rsidRPr="00FD7990">
              <w:rPr>
                <w:rFonts w:ascii="Times New Roman" w:eastAsia="Times New Roman" w:hAnsi="Times New Roman" w:cs="Times New Roman"/>
                <w:color w:val="000000"/>
              </w:rPr>
              <w:t>7.9%</w:t>
            </w:r>
          </w:p>
        </w:tc>
      </w:tr>
      <w:tr w:rsidR="00C66E67" w:rsidRPr="00537498" w14:paraId="6008C632" w14:textId="77777777" w:rsidTr="00296FEB">
        <w:trPr>
          <w:trHeight w:val="300"/>
        </w:trPr>
        <w:tc>
          <w:tcPr>
            <w:tcW w:w="3482" w:type="dxa"/>
            <w:tcBorders>
              <w:top w:val="triple" w:sz="4" w:space="0" w:color="auto"/>
              <w:right w:val="single" w:sz="18" w:space="0" w:color="auto"/>
            </w:tcBorders>
            <w:noWrap/>
          </w:tcPr>
          <w:p w14:paraId="6EF7243F" w14:textId="77777777" w:rsidR="00C66E67" w:rsidRPr="00BD5B7E" w:rsidRDefault="00C66E67" w:rsidP="00085430">
            <w:pPr>
              <w:keepLines/>
              <w:rPr>
                <w:rFonts w:ascii="Times New Roman" w:eastAsia="Times New Roman" w:hAnsi="Times New Roman" w:cs="Times New Roman"/>
                <w:b/>
                <w:bCs/>
                <w:color w:val="000000"/>
              </w:rPr>
            </w:pPr>
            <w:r w:rsidRPr="00783E8F">
              <w:rPr>
                <w:rFonts w:ascii="Times New Roman" w:eastAsia="Times New Roman" w:hAnsi="Times New Roman" w:cs="Times New Roman"/>
                <w:b/>
                <w:bCs/>
                <w:color w:val="000000"/>
              </w:rPr>
              <w:t>Max</w:t>
            </w:r>
            <w:r>
              <w:rPr>
                <w:rFonts w:ascii="Times New Roman" w:eastAsia="Times New Roman" w:hAnsi="Times New Roman" w:cs="Times New Roman"/>
                <w:b/>
                <w:bCs/>
                <w:color w:val="000000"/>
              </w:rPr>
              <w:t xml:space="preserve">imum </w:t>
            </w:r>
          </w:p>
        </w:tc>
        <w:tc>
          <w:tcPr>
            <w:tcW w:w="1484" w:type="dxa"/>
            <w:tcBorders>
              <w:top w:val="triple" w:sz="4" w:space="0" w:color="auto"/>
              <w:left w:val="single" w:sz="18" w:space="0" w:color="auto"/>
            </w:tcBorders>
            <w:noWrap/>
          </w:tcPr>
          <w:p w14:paraId="1A3669BE" w14:textId="77777777" w:rsidR="00C66E67" w:rsidRPr="00BD5B7E" w:rsidRDefault="00C66E67" w:rsidP="00085430">
            <w:pPr>
              <w:keepLines/>
              <w:jc w:val="right"/>
              <w:rPr>
                <w:rFonts w:ascii="Times New Roman" w:eastAsia="Times New Roman" w:hAnsi="Times New Roman" w:cs="Times New Roman"/>
                <w:color w:val="000000"/>
              </w:rPr>
            </w:pPr>
            <w:r w:rsidRPr="00783E8F">
              <w:rPr>
                <w:rFonts w:ascii="Times New Roman" w:eastAsia="Times New Roman" w:hAnsi="Times New Roman" w:cs="Times New Roman"/>
                <w:color w:val="000000"/>
              </w:rPr>
              <w:t>53,383</w:t>
            </w:r>
          </w:p>
        </w:tc>
        <w:tc>
          <w:tcPr>
            <w:tcW w:w="1484" w:type="dxa"/>
            <w:tcBorders>
              <w:top w:val="triple" w:sz="4" w:space="0" w:color="auto"/>
              <w:right w:val="single" w:sz="18" w:space="0" w:color="auto"/>
            </w:tcBorders>
            <w:noWrap/>
          </w:tcPr>
          <w:p w14:paraId="34836462" w14:textId="77777777" w:rsidR="00C66E67" w:rsidRPr="00BD5B7E" w:rsidRDefault="00C66E67" w:rsidP="00085430">
            <w:pPr>
              <w:keepLines/>
              <w:jc w:val="right"/>
              <w:rPr>
                <w:rFonts w:ascii="Times New Roman" w:eastAsia="Times New Roman" w:hAnsi="Times New Roman" w:cs="Times New Roman"/>
                <w:color w:val="000000"/>
              </w:rPr>
            </w:pPr>
            <w:r w:rsidRPr="00783E8F">
              <w:rPr>
                <w:rFonts w:ascii="Times New Roman" w:eastAsia="Times New Roman" w:hAnsi="Times New Roman" w:cs="Times New Roman"/>
                <w:color w:val="000000"/>
              </w:rPr>
              <w:t>68,200</w:t>
            </w:r>
          </w:p>
        </w:tc>
        <w:tc>
          <w:tcPr>
            <w:tcW w:w="1219" w:type="dxa"/>
            <w:tcBorders>
              <w:top w:val="triple" w:sz="4" w:space="0" w:color="auto"/>
              <w:left w:val="single" w:sz="18" w:space="0" w:color="auto"/>
            </w:tcBorders>
            <w:noWrap/>
          </w:tcPr>
          <w:p w14:paraId="2FAECC95" w14:textId="77777777" w:rsidR="00C66E67" w:rsidRPr="00BD5B7E" w:rsidRDefault="00C66E67" w:rsidP="00085430">
            <w:pPr>
              <w:keepLines/>
              <w:jc w:val="right"/>
              <w:rPr>
                <w:rFonts w:ascii="Times New Roman" w:eastAsia="Times New Roman" w:hAnsi="Times New Roman" w:cs="Times New Roman"/>
                <w:color w:val="000000"/>
              </w:rPr>
            </w:pPr>
            <w:r w:rsidRPr="00783E8F">
              <w:rPr>
                <w:rFonts w:ascii="Times New Roman" w:eastAsia="Times New Roman" w:hAnsi="Times New Roman" w:cs="Times New Roman"/>
                <w:color w:val="000000"/>
              </w:rPr>
              <w:t>5</w:t>
            </w:r>
            <w:r>
              <w:rPr>
                <w:rFonts w:ascii="Times New Roman" w:eastAsia="Times New Roman" w:hAnsi="Times New Roman" w:cs="Times New Roman"/>
                <w:color w:val="000000"/>
              </w:rPr>
              <w:t>5</w:t>
            </w:r>
            <w:r w:rsidRPr="00783E8F">
              <w:rPr>
                <w:rFonts w:ascii="Times New Roman" w:eastAsia="Times New Roman" w:hAnsi="Times New Roman" w:cs="Times New Roman"/>
                <w:color w:val="000000"/>
              </w:rPr>
              <w:t>,</w:t>
            </w:r>
            <w:r>
              <w:rPr>
                <w:rFonts w:ascii="Times New Roman" w:eastAsia="Times New Roman" w:hAnsi="Times New Roman" w:cs="Times New Roman"/>
                <w:color w:val="000000"/>
              </w:rPr>
              <w:t>916</w:t>
            </w:r>
          </w:p>
        </w:tc>
        <w:tc>
          <w:tcPr>
            <w:tcW w:w="1187" w:type="dxa"/>
            <w:tcBorders>
              <w:top w:val="triple" w:sz="4" w:space="0" w:color="auto"/>
              <w:right w:val="single" w:sz="18" w:space="0" w:color="auto"/>
            </w:tcBorders>
            <w:noWrap/>
          </w:tcPr>
          <w:p w14:paraId="5FEB46D2" w14:textId="77777777" w:rsidR="00C66E67" w:rsidRPr="00BD5B7E" w:rsidRDefault="00C66E67" w:rsidP="00085430">
            <w:pPr>
              <w:keepLines/>
              <w:jc w:val="right"/>
              <w:rPr>
                <w:rFonts w:ascii="Times New Roman" w:eastAsia="Times New Roman" w:hAnsi="Times New Roman" w:cs="Times New Roman"/>
                <w:color w:val="000000"/>
              </w:rPr>
            </w:pPr>
            <w:r w:rsidRPr="00783E8F">
              <w:rPr>
                <w:rFonts w:ascii="Times New Roman" w:eastAsia="Times New Roman" w:hAnsi="Times New Roman" w:cs="Times New Roman"/>
                <w:color w:val="000000"/>
              </w:rPr>
              <w:t>6</w:t>
            </w:r>
            <w:r>
              <w:rPr>
                <w:rFonts w:ascii="Times New Roman" w:eastAsia="Times New Roman" w:hAnsi="Times New Roman" w:cs="Times New Roman"/>
                <w:color w:val="000000"/>
              </w:rPr>
              <w:t>1</w:t>
            </w:r>
            <w:r w:rsidRPr="00783E8F">
              <w:rPr>
                <w:rFonts w:ascii="Times New Roman" w:eastAsia="Times New Roman" w:hAnsi="Times New Roman" w:cs="Times New Roman"/>
                <w:color w:val="000000"/>
              </w:rPr>
              <w:t>,</w:t>
            </w:r>
            <w:r>
              <w:rPr>
                <w:rFonts w:ascii="Times New Roman" w:eastAsia="Times New Roman" w:hAnsi="Times New Roman" w:cs="Times New Roman"/>
                <w:color w:val="000000"/>
              </w:rPr>
              <w:t>0</w:t>
            </w:r>
            <w:r w:rsidRPr="00783E8F">
              <w:rPr>
                <w:rFonts w:ascii="Times New Roman" w:eastAsia="Times New Roman" w:hAnsi="Times New Roman" w:cs="Times New Roman"/>
                <w:color w:val="000000"/>
              </w:rPr>
              <w:t>00</w:t>
            </w:r>
          </w:p>
        </w:tc>
      </w:tr>
      <w:tr w:rsidR="00C66E67" w:rsidRPr="00537498" w14:paraId="377E67FB" w14:textId="77777777" w:rsidTr="00296FEB">
        <w:trPr>
          <w:trHeight w:val="300"/>
        </w:trPr>
        <w:tc>
          <w:tcPr>
            <w:tcW w:w="3482" w:type="dxa"/>
            <w:tcBorders>
              <w:top w:val="triple" w:sz="4" w:space="0" w:color="auto"/>
              <w:right w:val="single" w:sz="18" w:space="0" w:color="auto"/>
            </w:tcBorders>
            <w:noWrap/>
            <w:hideMark/>
          </w:tcPr>
          <w:p w14:paraId="4BA8592F" w14:textId="77777777" w:rsidR="00C66E67" w:rsidRPr="00B026E4" w:rsidRDefault="00C66E67" w:rsidP="00085430">
            <w:pPr>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Av</w:t>
            </w:r>
            <w:r>
              <w:rPr>
                <w:rFonts w:ascii="Times New Roman" w:eastAsia="Times New Roman" w:hAnsi="Times New Roman" w:cs="Times New Roman"/>
                <w:b/>
                <w:bCs/>
                <w:color w:val="000000"/>
              </w:rPr>
              <w:t>era</w:t>
            </w:r>
            <w:r w:rsidRPr="00B026E4">
              <w:rPr>
                <w:rFonts w:ascii="Times New Roman" w:eastAsia="Times New Roman" w:hAnsi="Times New Roman" w:cs="Times New Roman"/>
                <w:b/>
                <w:bCs/>
                <w:color w:val="000000"/>
              </w:rPr>
              <w:t>g</w:t>
            </w:r>
            <w:r>
              <w:rPr>
                <w:rFonts w:ascii="Times New Roman" w:eastAsia="Times New Roman" w:hAnsi="Times New Roman" w:cs="Times New Roman"/>
                <w:b/>
                <w:bCs/>
                <w:color w:val="000000"/>
              </w:rPr>
              <w:t>e</w:t>
            </w:r>
          </w:p>
        </w:tc>
        <w:tc>
          <w:tcPr>
            <w:tcW w:w="1484" w:type="dxa"/>
            <w:tcBorders>
              <w:top w:val="triple" w:sz="4" w:space="0" w:color="auto"/>
              <w:left w:val="single" w:sz="18" w:space="0" w:color="auto"/>
            </w:tcBorders>
            <w:noWrap/>
            <w:hideMark/>
          </w:tcPr>
          <w:p w14:paraId="147244EE" w14:textId="77777777" w:rsidR="00C66E67" w:rsidRPr="00B026E4" w:rsidRDefault="00C66E67" w:rsidP="00085430">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11,858</w:t>
            </w:r>
          </w:p>
        </w:tc>
        <w:tc>
          <w:tcPr>
            <w:tcW w:w="1484" w:type="dxa"/>
            <w:tcBorders>
              <w:top w:val="triple" w:sz="4" w:space="0" w:color="auto"/>
              <w:right w:val="single" w:sz="18" w:space="0" w:color="auto"/>
            </w:tcBorders>
            <w:noWrap/>
            <w:hideMark/>
          </w:tcPr>
          <w:p w14:paraId="7ECB24AA" w14:textId="77777777" w:rsidR="00C66E67" w:rsidRPr="00B026E4" w:rsidRDefault="00C66E67" w:rsidP="00085430">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11,669</w:t>
            </w:r>
          </w:p>
        </w:tc>
        <w:tc>
          <w:tcPr>
            <w:tcW w:w="1219" w:type="dxa"/>
            <w:tcBorders>
              <w:top w:val="triple" w:sz="4" w:space="0" w:color="auto"/>
              <w:left w:val="single" w:sz="18" w:space="0" w:color="auto"/>
            </w:tcBorders>
            <w:noWrap/>
            <w:hideMark/>
          </w:tcPr>
          <w:p w14:paraId="524A9587" w14:textId="77777777" w:rsidR="00C66E67" w:rsidRPr="00B026E4" w:rsidRDefault="00C66E67" w:rsidP="00085430">
            <w:pPr>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9,993</w:t>
            </w:r>
          </w:p>
        </w:tc>
        <w:tc>
          <w:tcPr>
            <w:tcW w:w="1187" w:type="dxa"/>
            <w:tcBorders>
              <w:top w:val="triple" w:sz="4" w:space="0" w:color="auto"/>
              <w:right w:val="single" w:sz="18" w:space="0" w:color="auto"/>
            </w:tcBorders>
            <w:noWrap/>
            <w:hideMark/>
          </w:tcPr>
          <w:p w14:paraId="12573AFB" w14:textId="77777777" w:rsidR="00C66E67" w:rsidRPr="00B026E4" w:rsidRDefault="00C66E67" w:rsidP="00085430">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w:t>
            </w:r>
            <w:r>
              <w:rPr>
                <w:rFonts w:ascii="Times New Roman" w:eastAsia="Times New Roman" w:hAnsi="Times New Roman" w:cs="Times New Roman"/>
                <w:color w:val="000000"/>
              </w:rPr>
              <w:t>0,416</w:t>
            </w:r>
          </w:p>
        </w:tc>
      </w:tr>
      <w:tr w:rsidR="00C66E67" w:rsidRPr="00537498" w14:paraId="57E245B7" w14:textId="77777777" w:rsidTr="00296FEB">
        <w:trPr>
          <w:trHeight w:val="300"/>
        </w:trPr>
        <w:tc>
          <w:tcPr>
            <w:tcW w:w="3482" w:type="dxa"/>
            <w:tcBorders>
              <w:right w:val="single" w:sz="18" w:space="0" w:color="auto"/>
            </w:tcBorders>
            <w:noWrap/>
            <w:hideMark/>
          </w:tcPr>
          <w:p w14:paraId="0767D5E3" w14:textId="77777777" w:rsidR="00C66E67" w:rsidRPr="00B026E4" w:rsidRDefault="00C66E67" w:rsidP="00085430">
            <w:pPr>
              <w:keepLines/>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Median</w:t>
            </w:r>
          </w:p>
        </w:tc>
        <w:tc>
          <w:tcPr>
            <w:tcW w:w="1484" w:type="dxa"/>
            <w:tcBorders>
              <w:left w:val="single" w:sz="18" w:space="0" w:color="auto"/>
            </w:tcBorders>
            <w:noWrap/>
            <w:hideMark/>
          </w:tcPr>
          <w:p w14:paraId="358526CE" w14:textId="77777777" w:rsidR="00C66E67" w:rsidRPr="00B026E4" w:rsidRDefault="00C66E67" w:rsidP="00085430">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9,004</w:t>
            </w:r>
          </w:p>
        </w:tc>
        <w:tc>
          <w:tcPr>
            <w:tcW w:w="1484" w:type="dxa"/>
            <w:tcBorders>
              <w:right w:val="single" w:sz="18" w:space="0" w:color="auto"/>
            </w:tcBorders>
            <w:noWrap/>
            <w:hideMark/>
          </w:tcPr>
          <w:p w14:paraId="502E6F4C" w14:textId="77777777" w:rsidR="00C66E67" w:rsidRPr="00B026E4" w:rsidRDefault="00C66E67" w:rsidP="00085430">
            <w:pPr>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8,624</w:t>
            </w:r>
          </w:p>
        </w:tc>
        <w:tc>
          <w:tcPr>
            <w:tcW w:w="1219" w:type="dxa"/>
            <w:tcBorders>
              <w:left w:val="single" w:sz="18" w:space="0" w:color="auto"/>
            </w:tcBorders>
            <w:noWrap/>
            <w:hideMark/>
          </w:tcPr>
          <w:p w14:paraId="207094DF" w14:textId="77777777" w:rsidR="00C66E67" w:rsidRPr="00B026E4" w:rsidRDefault="00C66E67" w:rsidP="00085430">
            <w:pPr>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r w:rsidRPr="00B026E4">
              <w:rPr>
                <w:rFonts w:ascii="Times New Roman" w:eastAsia="Times New Roman" w:hAnsi="Times New Roman" w:cs="Times New Roman"/>
                <w:color w:val="000000"/>
              </w:rPr>
              <w:t>,</w:t>
            </w:r>
            <w:r>
              <w:rPr>
                <w:rFonts w:ascii="Times New Roman" w:eastAsia="Times New Roman" w:hAnsi="Times New Roman" w:cs="Times New Roman"/>
                <w:color w:val="000000"/>
              </w:rPr>
              <w:t>828</w:t>
            </w:r>
          </w:p>
        </w:tc>
        <w:tc>
          <w:tcPr>
            <w:tcW w:w="1187" w:type="dxa"/>
            <w:tcBorders>
              <w:right w:val="single" w:sz="18" w:space="0" w:color="auto"/>
            </w:tcBorders>
            <w:noWrap/>
            <w:hideMark/>
          </w:tcPr>
          <w:p w14:paraId="1A0BF5D2" w14:textId="77777777" w:rsidR="00C66E67" w:rsidRPr="00B026E4" w:rsidRDefault="00C66E67" w:rsidP="00085430">
            <w:pPr>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7</w:t>
            </w:r>
            <w:r w:rsidRPr="00B026E4">
              <w:rPr>
                <w:rFonts w:ascii="Times New Roman" w:eastAsia="Times New Roman" w:hAnsi="Times New Roman" w:cs="Times New Roman"/>
                <w:color w:val="000000"/>
              </w:rPr>
              <w:t>,</w:t>
            </w:r>
            <w:r>
              <w:rPr>
                <w:rFonts w:ascii="Times New Roman" w:eastAsia="Times New Roman" w:hAnsi="Times New Roman" w:cs="Times New Roman"/>
                <w:color w:val="000000"/>
              </w:rPr>
              <w:t>5</w:t>
            </w:r>
            <w:r w:rsidRPr="00B026E4">
              <w:rPr>
                <w:rFonts w:ascii="Times New Roman" w:eastAsia="Times New Roman" w:hAnsi="Times New Roman" w:cs="Times New Roman"/>
                <w:color w:val="000000"/>
              </w:rPr>
              <w:t>1</w:t>
            </w:r>
            <w:r>
              <w:rPr>
                <w:rFonts w:ascii="Times New Roman" w:eastAsia="Times New Roman" w:hAnsi="Times New Roman" w:cs="Times New Roman"/>
                <w:color w:val="000000"/>
              </w:rPr>
              <w:t>4</w:t>
            </w:r>
          </w:p>
        </w:tc>
      </w:tr>
    </w:tbl>
    <w:p w14:paraId="1E9961D0" w14:textId="77777777" w:rsidR="00C66E67" w:rsidRPr="00B026E4" w:rsidRDefault="00C66E67" w:rsidP="00C66E67">
      <w:pPr>
        <w:spacing w:line="480" w:lineRule="auto"/>
        <w:ind w:firstLine="720"/>
        <w:rPr>
          <w:rFonts w:ascii="Times New Roman" w:hAnsi="Times New Roman" w:cs="Times New Roman"/>
          <w:i/>
        </w:rPr>
      </w:pPr>
    </w:p>
    <w:p w14:paraId="351FC4FB" w14:textId="0534B61A" w:rsidR="008373AC" w:rsidRDefault="00453981" w:rsidP="006C66BD">
      <w:pPr>
        <w:spacing w:line="480" w:lineRule="auto"/>
        <w:ind w:firstLine="720"/>
        <w:rPr>
          <w:rFonts w:ascii="Times New Roman" w:hAnsi="Times New Roman" w:cs="Times New Roman"/>
        </w:rPr>
      </w:pPr>
      <w:r>
        <w:rPr>
          <w:rFonts w:ascii="Times New Roman" w:hAnsi="Times New Roman" w:cs="Times New Roman"/>
        </w:rPr>
        <w:t>Although i</w:t>
      </w:r>
      <w:r w:rsidR="008373AC" w:rsidRPr="00B026E4">
        <w:rPr>
          <w:rFonts w:ascii="Times New Roman" w:hAnsi="Times New Roman" w:cs="Times New Roman"/>
        </w:rPr>
        <w:t xml:space="preserve">t may seem surprising that someone </w:t>
      </w:r>
      <w:r w:rsidR="008373AC">
        <w:rPr>
          <w:rFonts w:ascii="Times New Roman" w:hAnsi="Times New Roman" w:cs="Times New Roman"/>
        </w:rPr>
        <w:t xml:space="preserve">with a six-figure income </w:t>
      </w:r>
      <w:r w:rsidR="008373AC" w:rsidRPr="00B026E4">
        <w:rPr>
          <w:rFonts w:ascii="Times New Roman" w:hAnsi="Times New Roman" w:cs="Times New Roman"/>
        </w:rPr>
        <w:t>would need bankruptcy</w:t>
      </w:r>
      <w:r>
        <w:rPr>
          <w:rFonts w:ascii="Times New Roman" w:hAnsi="Times New Roman" w:cs="Times New Roman"/>
        </w:rPr>
        <w:t>, these debtors had expenses comparable in size to their incomes</w:t>
      </w:r>
      <w:r w:rsidR="008373AC">
        <w:rPr>
          <w:rFonts w:ascii="Times New Roman" w:hAnsi="Times New Roman" w:cs="Times New Roman"/>
        </w:rPr>
        <w:t xml:space="preserve">. </w:t>
      </w:r>
      <w:r w:rsidR="002512A8">
        <w:rPr>
          <w:rFonts w:ascii="Times New Roman" w:hAnsi="Times New Roman" w:cs="Times New Roman"/>
        </w:rPr>
        <w:t>W</w:t>
      </w:r>
      <w:r w:rsidR="00A353A1">
        <w:rPr>
          <w:rFonts w:ascii="Times New Roman" w:hAnsi="Times New Roman" w:cs="Times New Roman"/>
        </w:rPr>
        <w:t xml:space="preserve">hile </w:t>
      </w:r>
      <w:r>
        <w:rPr>
          <w:rFonts w:ascii="Times New Roman" w:hAnsi="Times New Roman" w:cs="Times New Roman"/>
        </w:rPr>
        <w:t>median monthly incomes rang</w:t>
      </w:r>
      <w:r w:rsidR="00A353A1">
        <w:rPr>
          <w:rFonts w:ascii="Times New Roman" w:hAnsi="Times New Roman" w:cs="Times New Roman"/>
        </w:rPr>
        <w:t>ed</w:t>
      </w:r>
      <w:r>
        <w:rPr>
          <w:rFonts w:ascii="Times New Roman" w:hAnsi="Times New Roman" w:cs="Times New Roman"/>
        </w:rPr>
        <w:t xml:space="preserve"> from </w:t>
      </w:r>
      <w:r w:rsidR="008373AC">
        <w:rPr>
          <w:rFonts w:ascii="Times New Roman" w:hAnsi="Times New Roman" w:cs="Times New Roman"/>
        </w:rPr>
        <w:t>$8</w:t>
      </w:r>
      <w:r w:rsidR="00511606">
        <w:rPr>
          <w:rFonts w:ascii="Times New Roman" w:hAnsi="Times New Roman" w:cs="Times New Roman"/>
        </w:rPr>
        <w:t>,</w:t>
      </w:r>
      <w:r w:rsidR="008373AC">
        <w:rPr>
          <w:rFonts w:ascii="Times New Roman" w:hAnsi="Times New Roman" w:cs="Times New Roman"/>
        </w:rPr>
        <w:t xml:space="preserve">600 </w:t>
      </w:r>
      <w:r>
        <w:rPr>
          <w:rFonts w:ascii="Times New Roman" w:hAnsi="Times New Roman" w:cs="Times New Roman"/>
        </w:rPr>
        <w:t>to</w:t>
      </w:r>
      <w:r w:rsidR="008373AC">
        <w:rPr>
          <w:rFonts w:ascii="Times New Roman" w:hAnsi="Times New Roman" w:cs="Times New Roman"/>
        </w:rPr>
        <w:t xml:space="preserve"> $9</w:t>
      </w:r>
      <w:r w:rsidR="00511606">
        <w:rPr>
          <w:rFonts w:ascii="Times New Roman" w:hAnsi="Times New Roman" w:cs="Times New Roman"/>
        </w:rPr>
        <w:t>,</w:t>
      </w:r>
      <w:r w:rsidR="008373AC">
        <w:rPr>
          <w:rFonts w:ascii="Times New Roman" w:hAnsi="Times New Roman" w:cs="Times New Roman"/>
        </w:rPr>
        <w:t>300,</w:t>
      </w:r>
      <w:r>
        <w:rPr>
          <w:rFonts w:ascii="Times New Roman" w:hAnsi="Times New Roman" w:cs="Times New Roman"/>
        </w:rPr>
        <w:t xml:space="preserve"> </w:t>
      </w:r>
      <w:r w:rsidR="002512A8">
        <w:rPr>
          <w:rFonts w:ascii="Times New Roman" w:hAnsi="Times New Roman" w:cs="Times New Roman"/>
        </w:rPr>
        <w:t xml:space="preserve">the data in Table 26 demonstrate that </w:t>
      </w:r>
      <w:r w:rsidR="008373AC">
        <w:rPr>
          <w:rFonts w:ascii="Times New Roman" w:hAnsi="Times New Roman" w:cs="Times New Roman"/>
        </w:rPr>
        <w:t xml:space="preserve">median monthly expenses </w:t>
      </w:r>
      <w:r w:rsidR="00A353A1">
        <w:rPr>
          <w:rFonts w:ascii="Times New Roman" w:hAnsi="Times New Roman" w:cs="Times New Roman"/>
        </w:rPr>
        <w:t xml:space="preserve">ranged from </w:t>
      </w:r>
      <w:r w:rsidR="00121CCA">
        <w:rPr>
          <w:rFonts w:ascii="Times New Roman" w:hAnsi="Times New Roman" w:cs="Times New Roman"/>
        </w:rPr>
        <w:t xml:space="preserve">about </w:t>
      </w:r>
      <w:r w:rsidR="00A353A1">
        <w:rPr>
          <w:rFonts w:ascii="Times New Roman" w:hAnsi="Times New Roman" w:cs="Times New Roman"/>
        </w:rPr>
        <w:t>$8,200 to $9,</w:t>
      </w:r>
      <w:r w:rsidR="00121CCA">
        <w:rPr>
          <w:rFonts w:ascii="Times New Roman" w:hAnsi="Times New Roman" w:cs="Times New Roman"/>
        </w:rPr>
        <w:t>2</w:t>
      </w:r>
      <w:r w:rsidR="00A353A1">
        <w:rPr>
          <w:rFonts w:ascii="Times New Roman" w:hAnsi="Times New Roman" w:cs="Times New Roman"/>
        </w:rPr>
        <w:t xml:space="preserve">00. In fact, in both 2010 and 2013, more than </w:t>
      </w:r>
      <w:r w:rsidR="00085430">
        <w:rPr>
          <w:rFonts w:ascii="Times New Roman" w:hAnsi="Times New Roman" w:cs="Times New Roman"/>
        </w:rPr>
        <w:t>three in ten</w:t>
      </w:r>
      <w:r w:rsidR="00A353A1">
        <w:rPr>
          <w:rFonts w:ascii="Times New Roman" w:hAnsi="Times New Roman" w:cs="Times New Roman"/>
        </w:rPr>
        <w:t xml:space="preserve"> debtors in the random sample reported monthly expenses of $10,000 or more. </w:t>
      </w:r>
      <w:r w:rsidR="008373AC" w:rsidRPr="00B026E4">
        <w:rPr>
          <w:rFonts w:ascii="Times New Roman" w:hAnsi="Times New Roman" w:cs="Times New Roman"/>
        </w:rPr>
        <w:t xml:space="preserve"> </w:t>
      </w:r>
    </w:p>
    <w:p w14:paraId="2A4CA5EF" w14:textId="7F06E368" w:rsidR="00C66E67" w:rsidRPr="00783E8F" w:rsidRDefault="00C66E67" w:rsidP="008E7E3D">
      <w:pPr>
        <w:keepNext/>
        <w:keepLines/>
        <w:spacing w:line="480" w:lineRule="auto"/>
        <w:jc w:val="center"/>
        <w:rPr>
          <w:rFonts w:ascii="Times New Roman" w:hAnsi="Times New Roman" w:cs="Times New Roman"/>
          <w:b/>
        </w:rPr>
      </w:pPr>
      <w:r>
        <w:rPr>
          <w:rFonts w:ascii="Times New Roman" w:hAnsi="Times New Roman" w:cs="Times New Roman"/>
          <w:b/>
        </w:rPr>
        <w:t>Table 2</w:t>
      </w:r>
      <w:r w:rsidR="00296FEB">
        <w:rPr>
          <w:rFonts w:ascii="Times New Roman" w:hAnsi="Times New Roman" w:cs="Times New Roman"/>
          <w:b/>
        </w:rPr>
        <w:t>6</w:t>
      </w:r>
      <w:r>
        <w:rPr>
          <w:rFonts w:ascii="Times New Roman" w:hAnsi="Times New Roman" w:cs="Times New Roman"/>
          <w:b/>
        </w:rPr>
        <w:t xml:space="preserve">: </w:t>
      </w:r>
      <w:r w:rsidRPr="00B026E4">
        <w:rPr>
          <w:rFonts w:ascii="Times New Roman" w:hAnsi="Times New Roman" w:cs="Times New Roman"/>
          <w:b/>
        </w:rPr>
        <w:t xml:space="preserve"> Debtors’ Monthly</w:t>
      </w:r>
      <w:r>
        <w:rPr>
          <w:rFonts w:ascii="Times New Roman" w:hAnsi="Times New Roman" w:cs="Times New Roman"/>
        </w:rPr>
        <w:t xml:space="preserve"> </w:t>
      </w:r>
      <w:r w:rsidRPr="00B026E4">
        <w:rPr>
          <w:rFonts w:ascii="Times New Roman" w:hAnsi="Times New Roman" w:cs="Times New Roman"/>
          <w:b/>
        </w:rPr>
        <w:t>Expenses</w:t>
      </w:r>
    </w:p>
    <w:tbl>
      <w:tblPr>
        <w:tblStyle w:val="TableGrid"/>
        <w:tblW w:w="6412" w:type="dxa"/>
        <w:jc w:val="center"/>
        <w:tblLook w:val="04A0" w:firstRow="1" w:lastRow="0" w:firstColumn="1" w:lastColumn="0" w:noHBand="0" w:noVBand="1"/>
      </w:tblPr>
      <w:tblGrid>
        <w:gridCol w:w="3037"/>
        <w:gridCol w:w="1620"/>
        <w:gridCol w:w="1755"/>
      </w:tblGrid>
      <w:tr w:rsidR="00C66E67" w:rsidRPr="00537498" w14:paraId="79E8DA0D" w14:textId="77777777" w:rsidTr="00296FEB">
        <w:trPr>
          <w:trHeight w:val="144"/>
          <w:jc w:val="center"/>
        </w:trPr>
        <w:tc>
          <w:tcPr>
            <w:tcW w:w="3037" w:type="dxa"/>
            <w:tcBorders>
              <w:top w:val="nil"/>
              <w:left w:val="nil"/>
              <w:bottom w:val="single" w:sz="18" w:space="0" w:color="auto"/>
              <w:right w:val="single" w:sz="18" w:space="0" w:color="auto"/>
            </w:tcBorders>
            <w:noWrap/>
            <w:hideMark/>
          </w:tcPr>
          <w:p w14:paraId="59868123" w14:textId="77777777" w:rsidR="00C66E67" w:rsidRPr="00296FEB" w:rsidRDefault="00C66E67" w:rsidP="008E7E3D">
            <w:pPr>
              <w:keepNext/>
              <w:keepLines/>
              <w:rPr>
                <w:rFonts w:ascii="Times New Roman" w:eastAsia="Times New Roman" w:hAnsi="Times New Roman" w:cs="Times New Roman"/>
                <w:color w:val="000000"/>
              </w:rPr>
            </w:pPr>
          </w:p>
        </w:tc>
        <w:tc>
          <w:tcPr>
            <w:tcW w:w="3375" w:type="dxa"/>
            <w:gridSpan w:val="2"/>
            <w:tcBorders>
              <w:top w:val="single" w:sz="18" w:space="0" w:color="auto"/>
              <w:left w:val="single" w:sz="18" w:space="0" w:color="auto"/>
              <w:bottom w:val="single" w:sz="18" w:space="0" w:color="auto"/>
              <w:right w:val="single" w:sz="18" w:space="0" w:color="auto"/>
            </w:tcBorders>
            <w:noWrap/>
            <w:hideMark/>
          </w:tcPr>
          <w:p w14:paraId="18150837" w14:textId="77777777" w:rsidR="00C66E67" w:rsidRPr="00296FEB" w:rsidRDefault="00C66E67" w:rsidP="008E7E3D">
            <w:pPr>
              <w:keepNext/>
              <w:keepLines/>
              <w:jc w:val="center"/>
              <w:rPr>
                <w:rFonts w:ascii="Times New Roman" w:eastAsia="Times New Roman" w:hAnsi="Times New Roman" w:cs="Times New Roman"/>
                <w:b/>
                <w:bCs/>
                <w:color w:val="000000"/>
              </w:rPr>
            </w:pPr>
            <w:r w:rsidRPr="00296FEB">
              <w:rPr>
                <w:rFonts w:ascii="Times New Roman" w:eastAsia="Times New Roman" w:hAnsi="Times New Roman" w:cs="Times New Roman"/>
                <w:b/>
                <w:bCs/>
                <w:color w:val="000000"/>
              </w:rPr>
              <w:t xml:space="preserve">Schedule J </w:t>
            </w:r>
          </w:p>
        </w:tc>
      </w:tr>
      <w:tr w:rsidR="00C66E67" w:rsidRPr="00537498" w14:paraId="49A258E5" w14:textId="77777777" w:rsidTr="00296FEB">
        <w:trPr>
          <w:trHeight w:val="144"/>
          <w:jc w:val="center"/>
        </w:trPr>
        <w:tc>
          <w:tcPr>
            <w:tcW w:w="3037" w:type="dxa"/>
            <w:tcBorders>
              <w:top w:val="single" w:sz="18" w:space="0" w:color="auto"/>
              <w:right w:val="single" w:sz="18" w:space="0" w:color="auto"/>
            </w:tcBorders>
            <w:noWrap/>
            <w:hideMark/>
          </w:tcPr>
          <w:p w14:paraId="75022E23" w14:textId="77777777" w:rsidR="00C66E67" w:rsidRPr="00296FEB" w:rsidRDefault="00C66E67" w:rsidP="008E7E3D">
            <w:pPr>
              <w:keepNext/>
              <w:keepLines/>
              <w:rPr>
                <w:rFonts w:ascii="Times New Roman" w:eastAsia="Times New Roman" w:hAnsi="Times New Roman" w:cs="Times New Roman"/>
                <w:color w:val="000000"/>
              </w:rPr>
            </w:pPr>
          </w:p>
        </w:tc>
        <w:tc>
          <w:tcPr>
            <w:tcW w:w="1620" w:type="dxa"/>
            <w:tcBorders>
              <w:top w:val="single" w:sz="18" w:space="0" w:color="auto"/>
              <w:left w:val="single" w:sz="18" w:space="0" w:color="auto"/>
              <w:right w:val="single" w:sz="18" w:space="0" w:color="auto"/>
            </w:tcBorders>
            <w:noWrap/>
            <w:hideMark/>
          </w:tcPr>
          <w:p w14:paraId="6FB0FA02" w14:textId="77777777" w:rsidR="00C66E67" w:rsidRPr="00296FEB" w:rsidRDefault="00C66E67" w:rsidP="008E7E3D">
            <w:pPr>
              <w:keepNext/>
              <w:keepLines/>
              <w:jc w:val="center"/>
              <w:rPr>
                <w:rFonts w:ascii="Times New Roman" w:eastAsia="Times New Roman" w:hAnsi="Times New Roman" w:cs="Times New Roman"/>
                <w:b/>
                <w:bCs/>
                <w:color w:val="000000"/>
              </w:rPr>
            </w:pPr>
            <w:r w:rsidRPr="00296FEB">
              <w:rPr>
                <w:rFonts w:ascii="Times New Roman" w:eastAsia="Times New Roman" w:hAnsi="Times New Roman" w:cs="Times New Roman"/>
                <w:b/>
                <w:bCs/>
                <w:color w:val="000000"/>
              </w:rPr>
              <w:t>2010</w:t>
            </w:r>
          </w:p>
        </w:tc>
        <w:tc>
          <w:tcPr>
            <w:tcW w:w="1755" w:type="dxa"/>
            <w:tcBorders>
              <w:top w:val="single" w:sz="18" w:space="0" w:color="auto"/>
              <w:left w:val="single" w:sz="18" w:space="0" w:color="auto"/>
              <w:right w:val="single" w:sz="18" w:space="0" w:color="auto"/>
            </w:tcBorders>
            <w:noWrap/>
            <w:hideMark/>
          </w:tcPr>
          <w:p w14:paraId="73742452" w14:textId="77777777" w:rsidR="00C66E67" w:rsidRPr="00296FEB" w:rsidRDefault="00C66E67" w:rsidP="008E7E3D">
            <w:pPr>
              <w:keepNext/>
              <w:keepLines/>
              <w:jc w:val="center"/>
              <w:rPr>
                <w:rFonts w:ascii="Times New Roman" w:eastAsia="Times New Roman" w:hAnsi="Times New Roman" w:cs="Times New Roman"/>
                <w:b/>
                <w:bCs/>
                <w:color w:val="000000"/>
              </w:rPr>
            </w:pPr>
            <w:r w:rsidRPr="00296FEB">
              <w:rPr>
                <w:rFonts w:ascii="Times New Roman" w:eastAsia="Times New Roman" w:hAnsi="Times New Roman" w:cs="Times New Roman"/>
                <w:b/>
                <w:bCs/>
                <w:color w:val="000000"/>
              </w:rPr>
              <w:t>2013</w:t>
            </w:r>
          </w:p>
        </w:tc>
      </w:tr>
      <w:tr w:rsidR="00C66E67" w:rsidRPr="00537498" w14:paraId="610D17EA" w14:textId="77777777" w:rsidTr="00296FEB">
        <w:trPr>
          <w:trHeight w:val="144"/>
          <w:jc w:val="center"/>
        </w:trPr>
        <w:tc>
          <w:tcPr>
            <w:tcW w:w="3037" w:type="dxa"/>
            <w:tcBorders>
              <w:right w:val="single" w:sz="18" w:space="0" w:color="auto"/>
            </w:tcBorders>
            <w:noWrap/>
            <w:vAlign w:val="bottom"/>
            <w:hideMark/>
          </w:tcPr>
          <w:p w14:paraId="743933D0" w14:textId="77777777" w:rsidR="00C66E67" w:rsidRPr="00296FEB" w:rsidRDefault="00C66E67" w:rsidP="008E7E3D">
            <w:pPr>
              <w:keepNext/>
              <w:keepLines/>
              <w:rPr>
                <w:rFonts w:ascii="Times New Roman" w:eastAsia="Times New Roman" w:hAnsi="Times New Roman" w:cs="Times New Roman"/>
                <w:b/>
                <w:bCs/>
                <w:color w:val="000000"/>
              </w:rPr>
            </w:pPr>
            <w:r w:rsidRPr="00296FEB">
              <w:rPr>
                <w:rFonts w:ascii="Times New Roman" w:eastAsia="Times New Roman" w:hAnsi="Times New Roman" w:cs="Times New Roman"/>
                <w:b/>
                <w:bCs/>
                <w:color w:val="000000"/>
              </w:rPr>
              <w:t>Over 25K</w:t>
            </w:r>
          </w:p>
        </w:tc>
        <w:tc>
          <w:tcPr>
            <w:tcW w:w="1620" w:type="dxa"/>
            <w:tcBorders>
              <w:left w:val="single" w:sz="18" w:space="0" w:color="auto"/>
              <w:right w:val="single" w:sz="18" w:space="0" w:color="auto"/>
            </w:tcBorders>
            <w:noWrap/>
            <w:vAlign w:val="bottom"/>
            <w:hideMark/>
          </w:tcPr>
          <w:p w14:paraId="51859E9C" w14:textId="77777777" w:rsidR="00C66E67" w:rsidRPr="00296FEB" w:rsidRDefault="00C66E67" w:rsidP="008E7E3D">
            <w:pPr>
              <w:keepNext/>
              <w:keepLines/>
              <w:jc w:val="right"/>
              <w:rPr>
                <w:rFonts w:ascii="Times New Roman" w:eastAsia="Times New Roman" w:hAnsi="Times New Roman" w:cs="Times New Roman"/>
                <w:b/>
                <w:bCs/>
                <w:color w:val="000000"/>
              </w:rPr>
            </w:pPr>
            <w:r w:rsidRPr="00296FEB">
              <w:rPr>
                <w:rFonts w:ascii="Times New Roman" w:eastAsia="Times New Roman" w:hAnsi="Times New Roman" w:cs="Times New Roman"/>
                <w:color w:val="000000"/>
              </w:rPr>
              <w:t>11.0%</w:t>
            </w:r>
          </w:p>
        </w:tc>
        <w:tc>
          <w:tcPr>
            <w:tcW w:w="1755" w:type="dxa"/>
            <w:tcBorders>
              <w:left w:val="single" w:sz="18" w:space="0" w:color="auto"/>
              <w:right w:val="single" w:sz="18" w:space="0" w:color="auto"/>
            </w:tcBorders>
            <w:noWrap/>
            <w:vAlign w:val="bottom"/>
            <w:hideMark/>
          </w:tcPr>
          <w:p w14:paraId="0E229DD1" w14:textId="77777777" w:rsidR="00C66E67" w:rsidRPr="00296FEB" w:rsidRDefault="00C66E67" w:rsidP="008E7E3D">
            <w:pPr>
              <w:keepNext/>
              <w:keepLines/>
              <w:jc w:val="right"/>
              <w:rPr>
                <w:rFonts w:ascii="Times New Roman" w:eastAsia="Times New Roman" w:hAnsi="Times New Roman" w:cs="Times New Roman"/>
                <w:b/>
                <w:bCs/>
                <w:color w:val="000000"/>
              </w:rPr>
            </w:pPr>
            <w:r w:rsidRPr="00296FEB">
              <w:rPr>
                <w:rFonts w:ascii="Times New Roman" w:eastAsia="Times New Roman" w:hAnsi="Times New Roman" w:cs="Times New Roman"/>
                <w:color w:val="000000"/>
              </w:rPr>
              <w:t>8.8%</w:t>
            </w:r>
          </w:p>
        </w:tc>
      </w:tr>
      <w:tr w:rsidR="00C66E67" w:rsidRPr="00537498" w14:paraId="0EF359A7" w14:textId="77777777" w:rsidTr="00296FEB">
        <w:trPr>
          <w:trHeight w:val="144"/>
          <w:jc w:val="center"/>
        </w:trPr>
        <w:tc>
          <w:tcPr>
            <w:tcW w:w="3037" w:type="dxa"/>
            <w:tcBorders>
              <w:right w:val="single" w:sz="18" w:space="0" w:color="auto"/>
            </w:tcBorders>
            <w:noWrap/>
            <w:vAlign w:val="bottom"/>
            <w:hideMark/>
          </w:tcPr>
          <w:p w14:paraId="4E5B66AA" w14:textId="77777777" w:rsidR="00C66E67" w:rsidRPr="00296FEB" w:rsidRDefault="00C66E67" w:rsidP="008E7E3D">
            <w:pPr>
              <w:keepNext/>
              <w:keepLines/>
              <w:rPr>
                <w:rFonts w:ascii="Times New Roman" w:eastAsia="Times New Roman" w:hAnsi="Times New Roman" w:cs="Times New Roman"/>
                <w:b/>
                <w:bCs/>
                <w:color w:val="000000"/>
              </w:rPr>
            </w:pPr>
            <w:r w:rsidRPr="00296FEB">
              <w:rPr>
                <w:rFonts w:ascii="Times New Roman" w:eastAsia="Times New Roman" w:hAnsi="Times New Roman" w:cs="Times New Roman"/>
                <w:b/>
                <w:bCs/>
                <w:color w:val="000000"/>
              </w:rPr>
              <w:t>10K to 25K</w:t>
            </w:r>
          </w:p>
        </w:tc>
        <w:tc>
          <w:tcPr>
            <w:tcW w:w="1620" w:type="dxa"/>
            <w:tcBorders>
              <w:left w:val="single" w:sz="18" w:space="0" w:color="auto"/>
              <w:right w:val="single" w:sz="18" w:space="0" w:color="auto"/>
            </w:tcBorders>
            <w:noWrap/>
            <w:vAlign w:val="bottom"/>
            <w:hideMark/>
          </w:tcPr>
          <w:p w14:paraId="237E6EDC" w14:textId="77777777" w:rsidR="00C66E67" w:rsidRPr="00296FEB" w:rsidRDefault="00C66E67" w:rsidP="008E7E3D">
            <w:pPr>
              <w:keepNext/>
              <w:keepLines/>
              <w:jc w:val="right"/>
              <w:rPr>
                <w:rFonts w:ascii="Times New Roman" w:eastAsia="Times New Roman" w:hAnsi="Times New Roman" w:cs="Times New Roman"/>
                <w:b/>
                <w:bCs/>
                <w:color w:val="000000"/>
              </w:rPr>
            </w:pPr>
            <w:r w:rsidRPr="00296FEB">
              <w:rPr>
                <w:rFonts w:ascii="Times New Roman" w:eastAsia="Times New Roman" w:hAnsi="Times New Roman" w:cs="Times New Roman"/>
                <w:color w:val="000000"/>
              </w:rPr>
              <w:t>27.5%</w:t>
            </w:r>
          </w:p>
        </w:tc>
        <w:tc>
          <w:tcPr>
            <w:tcW w:w="1755" w:type="dxa"/>
            <w:tcBorders>
              <w:left w:val="single" w:sz="18" w:space="0" w:color="auto"/>
              <w:right w:val="single" w:sz="18" w:space="0" w:color="auto"/>
            </w:tcBorders>
            <w:noWrap/>
            <w:vAlign w:val="bottom"/>
            <w:hideMark/>
          </w:tcPr>
          <w:p w14:paraId="446FC55D" w14:textId="77777777" w:rsidR="00C66E67" w:rsidRPr="00296FEB" w:rsidRDefault="00C66E67" w:rsidP="008E7E3D">
            <w:pPr>
              <w:keepNext/>
              <w:keepLines/>
              <w:jc w:val="right"/>
              <w:rPr>
                <w:rFonts w:ascii="Times New Roman" w:eastAsia="Times New Roman" w:hAnsi="Times New Roman" w:cs="Times New Roman"/>
                <w:b/>
                <w:bCs/>
                <w:color w:val="000000"/>
              </w:rPr>
            </w:pPr>
            <w:r w:rsidRPr="00296FEB">
              <w:rPr>
                <w:rFonts w:ascii="Times New Roman" w:eastAsia="Times New Roman" w:hAnsi="Times New Roman" w:cs="Times New Roman"/>
                <w:color w:val="000000"/>
              </w:rPr>
              <w:t>23.7%</w:t>
            </w:r>
          </w:p>
        </w:tc>
      </w:tr>
      <w:tr w:rsidR="00C66E67" w:rsidRPr="00537498" w14:paraId="0C4CBB88" w14:textId="77777777" w:rsidTr="00296FEB">
        <w:trPr>
          <w:trHeight w:val="144"/>
          <w:jc w:val="center"/>
        </w:trPr>
        <w:tc>
          <w:tcPr>
            <w:tcW w:w="3037" w:type="dxa"/>
            <w:tcBorders>
              <w:right w:val="single" w:sz="18" w:space="0" w:color="auto"/>
            </w:tcBorders>
            <w:noWrap/>
            <w:vAlign w:val="bottom"/>
            <w:hideMark/>
          </w:tcPr>
          <w:p w14:paraId="28C31F7B" w14:textId="77777777" w:rsidR="00C66E67" w:rsidRPr="00296FEB" w:rsidRDefault="00C66E67" w:rsidP="008E7E3D">
            <w:pPr>
              <w:keepNext/>
              <w:keepLines/>
              <w:rPr>
                <w:rFonts w:ascii="Times New Roman" w:eastAsia="Times New Roman" w:hAnsi="Times New Roman" w:cs="Times New Roman"/>
                <w:b/>
                <w:bCs/>
                <w:i/>
                <w:iCs/>
                <w:color w:val="000000"/>
              </w:rPr>
            </w:pPr>
            <w:r w:rsidRPr="00296FEB">
              <w:rPr>
                <w:rFonts w:ascii="Times New Roman" w:eastAsia="Times New Roman" w:hAnsi="Times New Roman" w:cs="Times New Roman"/>
                <w:b/>
                <w:bCs/>
                <w:color w:val="000000"/>
              </w:rPr>
              <w:t>5K to 10K</w:t>
            </w:r>
          </w:p>
        </w:tc>
        <w:tc>
          <w:tcPr>
            <w:tcW w:w="1620" w:type="dxa"/>
            <w:tcBorders>
              <w:left w:val="single" w:sz="18" w:space="0" w:color="auto"/>
              <w:right w:val="single" w:sz="18" w:space="0" w:color="auto"/>
            </w:tcBorders>
            <w:noWrap/>
            <w:vAlign w:val="bottom"/>
            <w:hideMark/>
          </w:tcPr>
          <w:p w14:paraId="609B73EB" w14:textId="77777777" w:rsidR="00C66E67" w:rsidRPr="00296FEB" w:rsidRDefault="00C66E67" w:rsidP="008E7E3D">
            <w:pPr>
              <w:keepNext/>
              <w:keepLines/>
              <w:jc w:val="right"/>
              <w:rPr>
                <w:rFonts w:ascii="Times New Roman" w:eastAsia="Times New Roman" w:hAnsi="Times New Roman" w:cs="Times New Roman"/>
                <w:b/>
                <w:bCs/>
                <w:color w:val="000000"/>
              </w:rPr>
            </w:pPr>
            <w:r w:rsidRPr="00296FEB">
              <w:rPr>
                <w:rFonts w:ascii="Times New Roman" w:eastAsia="Times New Roman" w:hAnsi="Times New Roman" w:cs="Times New Roman"/>
                <w:color w:val="000000"/>
              </w:rPr>
              <w:t>36.7%</w:t>
            </w:r>
          </w:p>
        </w:tc>
        <w:tc>
          <w:tcPr>
            <w:tcW w:w="1755" w:type="dxa"/>
            <w:tcBorders>
              <w:left w:val="single" w:sz="18" w:space="0" w:color="auto"/>
              <w:right w:val="single" w:sz="18" w:space="0" w:color="auto"/>
            </w:tcBorders>
            <w:noWrap/>
            <w:vAlign w:val="bottom"/>
            <w:hideMark/>
          </w:tcPr>
          <w:p w14:paraId="46BAEE17" w14:textId="77777777" w:rsidR="00C66E67" w:rsidRPr="00296FEB" w:rsidRDefault="00C66E67" w:rsidP="008E7E3D">
            <w:pPr>
              <w:keepNext/>
              <w:keepLines/>
              <w:jc w:val="right"/>
              <w:rPr>
                <w:rFonts w:ascii="Times New Roman" w:eastAsia="Times New Roman" w:hAnsi="Times New Roman" w:cs="Times New Roman"/>
                <w:b/>
                <w:bCs/>
                <w:color w:val="000000"/>
              </w:rPr>
            </w:pPr>
            <w:r w:rsidRPr="00296FEB">
              <w:rPr>
                <w:rFonts w:ascii="Times New Roman" w:eastAsia="Times New Roman" w:hAnsi="Times New Roman" w:cs="Times New Roman"/>
                <w:color w:val="000000"/>
              </w:rPr>
              <w:t>36.8%</w:t>
            </w:r>
          </w:p>
        </w:tc>
      </w:tr>
      <w:tr w:rsidR="00C66E67" w:rsidRPr="00537498" w14:paraId="4E7617AD" w14:textId="77777777" w:rsidTr="00296FEB">
        <w:trPr>
          <w:trHeight w:val="144"/>
          <w:jc w:val="center"/>
        </w:trPr>
        <w:tc>
          <w:tcPr>
            <w:tcW w:w="3037" w:type="dxa"/>
            <w:tcBorders>
              <w:right w:val="single" w:sz="18" w:space="0" w:color="auto"/>
            </w:tcBorders>
            <w:noWrap/>
            <w:vAlign w:val="bottom"/>
            <w:hideMark/>
          </w:tcPr>
          <w:p w14:paraId="76C2F558" w14:textId="77777777" w:rsidR="00C66E67" w:rsidRPr="00296FEB" w:rsidRDefault="00C66E67" w:rsidP="008E7E3D">
            <w:pPr>
              <w:keepNext/>
              <w:keepLines/>
              <w:rPr>
                <w:rFonts w:ascii="Times New Roman" w:eastAsia="Times New Roman" w:hAnsi="Times New Roman" w:cs="Times New Roman"/>
                <w:b/>
                <w:bCs/>
                <w:color w:val="000000"/>
              </w:rPr>
            </w:pPr>
            <w:r w:rsidRPr="00296FEB">
              <w:rPr>
                <w:rFonts w:ascii="Times New Roman" w:eastAsia="Times New Roman" w:hAnsi="Times New Roman" w:cs="Times New Roman"/>
                <w:b/>
                <w:bCs/>
                <w:color w:val="000000"/>
              </w:rPr>
              <w:t>2.5K to 5K</w:t>
            </w:r>
          </w:p>
        </w:tc>
        <w:tc>
          <w:tcPr>
            <w:tcW w:w="1620" w:type="dxa"/>
            <w:tcBorders>
              <w:left w:val="single" w:sz="18" w:space="0" w:color="auto"/>
              <w:right w:val="single" w:sz="18" w:space="0" w:color="auto"/>
            </w:tcBorders>
            <w:noWrap/>
            <w:vAlign w:val="bottom"/>
            <w:hideMark/>
          </w:tcPr>
          <w:p w14:paraId="304B1FDD" w14:textId="77777777" w:rsidR="00C66E67" w:rsidRPr="00296FEB" w:rsidRDefault="00C66E67" w:rsidP="008E7E3D">
            <w:pPr>
              <w:keepNext/>
              <w:keepLines/>
              <w:jc w:val="right"/>
              <w:rPr>
                <w:rFonts w:ascii="Times New Roman" w:eastAsia="Times New Roman" w:hAnsi="Times New Roman" w:cs="Times New Roman"/>
                <w:b/>
                <w:bCs/>
                <w:color w:val="000000"/>
              </w:rPr>
            </w:pPr>
            <w:r w:rsidRPr="00296FEB">
              <w:rPr>
                <w:rFonts w:ascii="Times New Roman" w:eastAsia="Times New Roman" w:hAnsi="Times New Roman" w:cs="Times New Roman"/>
                <w:color w:val="000000"/>
              </w:rPr>
              <w:t>10.1%</w:t>
            </w:r>
          </w:p>
        </w:tc>
        <w:tc>
          <w:tcPr>
            <w:tcW w:w="1755" w:type="dxa"/>
            <w:tcBorders>
              <w:left w:val="single" w:sz="18" w:space="0" w:color="auto"/>
              <w:right w:val="single" w:sz="18" w:space="0" w:color="auto"/>
            </w:tcBorders>
            <w:noWrap/>
            <w:vAlign w:val="bottom"/>
            <w:hideMark/>
          </w:tcPr>
          <w:p w14:paraId="4D123488" w14:textId="77777777" w:rsidR="00C66E67" w:rsidRPr="00296FEB" w:rsidRDefault="00C66E67" w:rsidP="008E7E3D">
            <w:pPr>
              <w:keepNext/>
              <w:keepLines/>
              <w:jc w:val="right"/>
              <w:rPr>
                <w:rFonts w:ascii="Times New Roman" w:eastAsia="Times New Roman" w:hAnsi="Times New Roman" w:cs="Times New Roman"/>
                <w:b/>
                <w:bCs/>
                <w:color w:val="000000"/>
              </w:rPr>
            </w:pPr>
            <w:r w:rsidRPr="00296FEB">
              <w:rPr>
                <w:rFonts w:ascii="Times New Roman" w:eastAsia="Times New Roman" w:hAnsi="Times New Roman" w:cs="Times New Roman"/>
                <w:color w:val="000000"/>
              </w:rPr>
              <w:t>16.7%</w:t>
            </w:r>
          </w:p>
        </w:tc>
      </w:tr>
      <w:tr w:rsidR="00C66E67" w:rsidRPr="00537498" w14:paraId="074131DE" w14:textId="77777777" w:rsidTr="00296FEB">
        <w:trPr>
          <w:trHeight w:val="300"/>
          <w:jc w:val="center"/>
        </w:trPr>
        <w:tc>
          <w:tcPr>
            <w:tcW w:w="3037" w:type="dxa"/>
            <w:tcBorders>
              <w:right w:val="single" w:sz="18" w:space="0" w:color="auto"/>
            </w:tcBorders>
            <w:noWrap/>
            <w:vAlign w:val="bottom"/>
            <w:hideMark/>
          </w:tcPr>
          <w:p w14:paraId="2377329F" w14:textId="77777777" w:rsidR="00C66E67" w:rsidRPr="00296FEB" w:rsidRDefault="00C66E67" w:rsidP="008E7E3D">
            <w:pPr>
              <w:keepNext/>
              <w:keepLines/>
              <w:rPr>
                <w:rFonts w:ascii="Times New Roman" w:eastAsia="Times New Roman" w:hAnsi="Times New Roman" w:cs="Times New Roman"/>
                <w:b/>
                <w:bCs/>
                <w:color w:val="000000"/>
              </w:rPr>
            </w:pPr>
            <w:r w:rsidRPr="00296FEB">
              <w:rPr>
                <w:rFonts w:ascii="Times New Roman" w:eastAsia="Times New Roman" w:hAnsi="Times New Roman" w:cs="Times New Roman"/>
                <w:b/>
                <w:bCs/>
                <w:color w:val="000000"/>
              </w:rPr>
              <w:t>1 to 2.5K</w:t>
            </w:r>
          </w:p>
        </w:tc>
        <w:tc>
          <w:tcPr>
            <w:tcW w:w="1620" w:type="dxa"/>
            <w:tcBorders>
              <w:left w:val="single" w:sz="18" w:space="0" w:color="auto"/>
              <w:right w:val="single" w:sz="18" w:space="0" w:color="auto"/>
            </w:tcBorders>
            <w:noWrap/>
            <w:vAlign w:val="bottom"/>
            <w:hideMark/>
          </w:tcPr>
          <w:p w14:paraId="2EDDD162" w14:textId="77777777" w:rsidR="00C66E67" w:rsidRPr="00296FEB" w:rsidRDefault="00C66E67" w:rsidP="008E7E3D">
            <w:pPr>
              <w:keepNext/>
              <w:keepLines/>
              <w:jc w:val="right"/>
              <w:rPr>
                <w:rFonts w:ascii="Times New Roman" w:eastAsia="Times New Roman" w:hAnsi="Times New Roman" w:cs="Times New Roman"/>
                <w:b/>
                <w:bCs/>
                <w:color w:val="000000"/>
              </w:rPr>
            </w:pPr>
            <w:r w:rsidRPr="00296FEB">
              <w:rPr>
                <w:rFonts w:ascii="Times New Roman" w:eastAsia="Times New Roman" w:hAnsi="Times New Roman" w:cs="Times New Roman"/>
                <w:color w:val="000000"/>
              </w:rPr>
              <w:t>5.5%</w:t>
            </w:r>
          </w:p>
        </w:tc>
        <w:tc>
          <w:tcPr>
            <w:tcW w:w="1755" w:type="dxa"/>
            <w:tcBorders>
              <w:left w:val="single" w:sz="18" w:space="0" w:color="auto"/>
              <w:right w:val="single" w:sz="18" w:space="0" w:color="auto"/>
            </w:tcBorders>
            <w:noWrap/>
            <w:vAlign w:val="bottom"/>
            <w:hideMark/>
          </w:tcPr>
          <w:p w14:paraId="0EB66B5B" w14:textId="77777777" w:rsidR="00C66E67" w:rsidRPr="00296FEB" w:rsidRDefault="00C66E67" w:rsidP="008E7E3D">
            <w:pPr>
              <w:keepNext/>
              <w:keepLines/>
              <w:jc w:val="right"/>
              <w:rPr>
                <w:rFonts w:ascii="Times New Roman" w:eastAsia="Times New Roman" w:hAnsi="Times New Roman" w:cs="Times New Roman"/>
                <w:b/>
                <w:bCs/>
                <w:color w:val="000000"/>
              </w:rPr>
            </w:pPr>
            <w:r w:rsidRPr="00296FEB">
              <w:rPr>
                <w:rFonts w:ascii="Times New Roman" w:eastAsia="Times New Roman" w:hAnsi="Times New Roman" w:cs="Times New Roman"/>
                <w:color w:val="000000"/>
              </w:rPr>
              <w:t>4.4%</w:t>
            </w:r>
          </w:p>
        </w:tc>
      </w:tr>
      <w:tr w:rsidR="00C66E67" w:rsidRPr="00537498" w14:paraId="51F1E977" w14:textId="77777777" w:rsidTr="00296FEB">
        <w:trPr>
          <w:trHeight w:val="144"/>
          <w:jc w:val="center"/>
        </w:trPr>
        <w:tc>
          <w:tcPr>
            <w:tcW w:w="3037" w:type="dxa"/>
            <w:tcBorders>
              <w:right w:val="single" w:sz="18" w:space="0" w:color="auto"/>
            </w:tcBorders>
            <w:noWrap/>
            <w:vAlign w:val="bottom"/>
            <w:hideMark/>
          </w:tcPr>
          <w:p w14:paraId="6B22C0C7" w14:textId="77777777" w:rsidR="00C66E67" w:rsidRPr="00296FEB" w:rsidRDefault="00C66E67" w:rsidP="008E7E3D">
            <w:pPr>
              <w:keepNext/>
              <w:keepLines/>
              <w:rPr>
                <w:rFonts w:ascii="Times New Roman" w:eastAsia="Times New Roman" w:hAnsi="Times New Roman" w:cs="Times New Roman"/>
                <w:b/>
                <w:bCs/>
                <w:color w:val="000000"/>
              </w:rPr>
            </w:pPr>
            <w:r w:rsidRPr="00296FEB">
              <w:rPr>
                <w:rFonts w:ascii="Times New Roman" w:eastAsia="Times New Roman" w:hAnsi="Times New Roman" w:cs="Times New Roman"/>
                <w:b/>
                <w:bCs/>
                <w:color w:val="000000"/>
              </w:rPr>
              <w:t>0</w:t>
            </w:r>
          </w:p>
        </w:tc>
        <w:tc>
          <w:tcPr>
            <w:tcW w:w="1620" w:type="dxa"/>
            <w:tcBorders>
              <w:left w:val="single" w:sz="18" w:space="0" w:color="auto"/>
              <w:right w:val="single" w:sz="18" w:space="0" w:color="auto"/>
            </w:tcBorders>
            <w:noWrap/>
            <w:vAlign w:val="bottom"/>
            <w:hideMark/>
          </w:tcPr>
          <w:p w14:paraId="2F4A75CD" w14:textId="77777777" w:rsidR="00C66E67" w:rsidRPr="00296FEB" w:rsidRDefault="00C66E67" w:rsidP="008E7E3D">
            <w:pPr>
              <w:keepNext/>
              <w:keepLines/>
              <w:jc w:val="right"/>
              <w:rPr>
                <w:rFonts w:ascii="Times New Roman" w:eastAsia="Times New Roman" w:hAnsi="Times New Roman" w:cs="Times New Roman"/>
                <w:b/>
                <w:bCs/>
                <w:color w:val="000000"/>
              </w:rPr>
            </w:pPr>
            <w:r w:rsidRPr="00296FEB">
              <w:rPr>
                <w:rFonts w:ascii="Times New Roman" w:eastAsia="Times New Roman" w:hAnsi="Times New Roman" w:cs="Times New Roman"/>
                <w:color w:val="000000"/>
              </w:rPr>
              <w:t>1.8%</w:t>
            </w:r>
          </w:p>
        </w:tc>
        <w:tc>
          <w:tcPr>
            <w:tcW w:w="1755" w:type="dxa"/>
            <w:tcBorders>
              <w:left w:val="single" w:sz="18" w:space="0" w:color="auto"/>
              <w:right w:val="single" w:sz="18" w:space="0" w:color="auto"/>
            </w:tcBorders>
            <w:noWrap/>
            <w:vAlign w:val="bottom"/>
            <w:hideMark/>
          </w:tcPr>
          <w:p w14:paraId="5695F557" w14:textId="77777777" w:rsidR="00C66E67" w:rsidRPr="00296FEB" w:rsidRDefault="00C66E67" w:rsidP="008E7E3D">
            <w:pPr>
              <w:keepNext/>
              <w:keepLines/>
              <w:jc w:val="right"/>
              <w:rPr>
                <w:rFonts w:ascii="Times New Roman" w:eastAsia="Times New Roman" w:hAnsi="Times New Roman" w:cs="Times New Roman"/>
                <w:b/>
                <w:bCs/>
                <w:color w:val="000000"/>
              </w:rPr>
            </w:pPr>
            <w:r w:rsidRPr="00296FEB">
              <w:rPr>
                <w:rFonts w:ascii="Times New Roman" w:eastAsia="Times New Roman" w:hAnsi="Times New Roman" w:cs="Times New Roman"/>
                <w:color w:val="000000"/>
              </w:rPr>
              <w:t>1.8%</w:t>
            </w:r>
          </w:p>
        </w:tc>
      </w:tr>
      <w:tr w:rsidR="00C66E67" w:rsidRPr="00537498" w14:paraId="0D120B7F" w14:textId="77777777" w:rsidTr="00296FEB">
        <w:trPr>
          <w:trHeight w:val="300"/>
          <w:jc w:val="center"/>
        </w:trPr>
        <w:tc>
          <w:tcPr>
            <w:tcW w:w="3037" w:type="dxa"/>
            <w:tcBorders>
              <w:right w:val="single" w:sz="18" w:space="0" w:color="auto"/>
            </w:tcBorders>
            <w:noWrap/>
            <w:vAlign w:val="bottom"/>
            <w:hideMark/>
          </w:tcPr>
          <w:p w14:paraId="4896526C" w14:textId="77777777" w:rsidR="00C66E67" w:rsidRPr="00296FEB" w:rsidRDefault="00C66E67" w:rsidP="008E7E3D">
            <w:pPr>
              <w:keepNext/>
              <w:keepLines/>
              <w:rPr>
                <w:rFonts w:ascii="Times New Roman" w:eastAsia="Times New Roman" w:hAnsi="Times New Roman" w:cs="Times New Roman"/>
                <w:b/>
                <w:bCs/>
                <w:color w:val="000000"/>
              </w:rPr>
            </w:pPr>
            <w:r w:rsidRPr="00296FEB">
              <w:rPr>
                <w:rFonts w:ascii="Times New Roman" w:eastAsia="Times New Roman" w:hAnsi="Times New Roman" w:cs="Times New Roman"/>
                <w:b/>
                <w:bCs/>
                <w:color w:val="000000"/>
              </w:rPr>
              <w:t>N/A</w:t>
            </w:r>
          </w:p>
        </w:tc>
        <w:tc>
          <w:tcPr>
            <w:tcW w:w="1620" w:type="dxa"/>
            <w:tcBorders>
              <w:left w:val="single" w:sz="18" w:space="0" w:color="auto"/>
              <w:right w:val="single" w:sz="18" w:space="0" w:color="auto"/>
            </w:tcBorders>
            <w:noWrap/>
            <w:vAlign w:val="bottom"/>
            <w:hideMark/>
          </w:tcPr>
          <w:p w14:paraId="49E4CB0E" w14:textId="77777777" w:rsidR="00C66E67" w:rsidRPr="00296FEB" w:rsidRDefault="00C66E67" w:rsidP="008E7E3D">
            <w:pPr>
              <w:keepNext/>
              <w:keepLines/>
              <w:jc w:val="right"/>
              <w:rPr>
                <w:rFonts w:ascii="Times New Roman" w:eastAsia="Times New Roman" w:hAnsi="Times New Roman" w:cs="Times New Roman"/>
                <w:b/>
                <w:bCs/>
                <w:color w:val="000000"/>
              </w:rPr>
            </w:pPr>
            <w:r w:rsidRPr="00296FEB">
              <w:rPr>
                <w:rFonts w:ascii="Times New Roman" w:eastAsia="Times New Roman" w:hAnsi="Times New Roman" w:cs="Times New Roman"/>
                <w:color w:val="000000"/>
              </w:rPr>
              <w:t>7.3%</w:t>
            </w:r>
          </w:p>
        </w:tc>
        <w:tc>
          <w:tcPr>
            <w:tcW w:w="1755" w:type="dxa"/>
            <w:tcBorders>
              <w:left w:val="single" w:sz="18" w:space="0" w:color="auto"/>
              <w:right w:val="single" w:sz="18" w:space="0" w:color="auto"/>
            </w:tcBorders>
            <w:noWrap/>
            <w:vAlign w:val="bottom"/>
            <w:hideMark/>
          </w:tcPr>
          <w:p w14:paraId="694EBF69" w14:textId="77777777" w:rsidR="00C66E67" w:rsidRPr="00296FEB" w:rsidRDefault="00C66E67" w:rsidP="008E7E3D">
            <w:pPr>
              <w:keepNext/>
              <w:keepLines/>
              <w:jc w:val="right"/>
              <w:rPr>
                <w:rFonts w:ascii="Times New Roman" w:eastAsia="Times New Roman" w:hAnsi="Times New Roman" w:cs="Times New Roman"/>
                <w:b/>
                <w:bCs/>
                <w:color w:val="000000"/>
              </w:rPr>
            </w:pPr>
            <w:r w:rsidRPr="00296FEB">
              <w:rPr>
                <w:rFonts w:ascii="Times New Roman" w:eastAsia="Times New Roman" w:hAnsi="Times New Roman" w:cs="Times New Roman"/>
                <w:color w:val="000000"/>
              </w:rPr>
              <w:t>7.9%</w:t>
            </w:r>
          </w:p>
        </w:tc>
      </w:tr>
      <w:tr w:rsidR="00C66E67" w:rsidRPr="00537498" w14:paraId="29DDC4A7" w14:textId="77777777" w:rsidTr="00296FEB">
        <w:trPr>
          <w:trHeight w:val="144"/>
          <w:jc w:val="center"/>
        </w:trPr>
        <w:tc>
          <w:tcPr>
            <w:tcW w:w="3037" w:type="dxa"/>
            <w:tcBorders>
              <w:top w:val="triple" w:sz="4" w:space="0" w:color="auto"/>
              <w:right w:val="single" w:sz="18" w:space="0" w:color="auto"/>
            </w:tcBorders>
            <w:noWrap/>
            <w:vAlign w:val="bottom"/>
          </w:tcPr>
          <w:p w14:paraId="084FAD47" w14:textId="77777777" w:rsidR="00C66E67" w:rsidRPr="00296FEB" w:rsidRDefault="00C66E67" w:rsidP="008E7E3D">
            <w:pPr>
              <w:keepNext/>
              <w:keepLines/>
              <w:rPr>
                <w:rFonts w:ascii="Times New Roman" w:eastAsia="Times New Roman" w:hAnsi="Times New Roman" w:cs="Times New Roman"/>
                <w:b/>
                <w:bCs/>
                <w:color w:val="000000"/>
              </w:rPr>
            </w:pPr>
            <w:r w:rsidRPr="00296FEB">
              <w:rPr>
                <w:rFonts w:ascii="Times New Roman" w:eastAsia="Times New Roman" w:hAnsi="Times New Roman" w:cs="Times New Roman"/>
                <w:b/>
                <w:bCs/>
                <w:color w:val="000000"/>
              </w:rPr>
              <w:t>Maximum</w:t>
            </w:r>
          </w:p>
        </w:tc>
        <w:tc>
          <w:tcPr>
            <w:tcW w:w="1620" w:type="dxa"/>
            <w:tcBorders>
              <w:top w:val="triple" w:sz="4" w:space="0" w:color="auto"/>
              <w:left w:val="single" w:sz="18" w:space="0" w:color="auto"/>
              <w:right w:val="single" w:sz="18" w:space="0" w:color="auto"/>
            </w:tcBorders>
            <w:noWrap/>
            <w:vAlign w:val="bottom"/>
          </w:tcPr>
          <w:p w14:paraId="73B741B9" w14:textId="77777777" w:rsidR="00C66E67" w:rsidRPr="00296FEB" w:rsidRDefault="00C66E67" w:rsidP="008E7E3D">
            <w:pPr>
              <w:keepNext/>
              <w:keepLines/>
              <w:jc w:val="right"/>
              <w:rPr>
                <w:rFonts w:ascii="Times New Roman" w:eastAsia="Times New Roman" w:hAnsi="Times New Roman" w:cs="Times New Roman"/>
                <w:b/>
                <w:bCs/>
                <w:color w:val="000000"/>
              </w:rPr>
            </w:pPr>
            <w:r w:rsidRPr="00296FEB">
              <w:rPr>
                <w:rFonts w:ascii="Times New Roman" w:eastAsia="Times New Roman" w:hAnsi="Times New Roman" w:cs="Times New Roman"/>
                <w:color w:val="000000"/>
              </w:rPr>
              <w:t>114,940</w:t>
            </w:r>
          </w:p>
        </w:tc>
        <w:tc>
          <w:tcPr>
            <w:tcW w:w="1755" w:type="dxa"/>
            <w:tcBorders>
              <w:top w:val="triple" w:sz="4" w:space="0" w:color="auto"/>
              <w:left w:val="single" w:sz="18" w:space="0" w:color="auto"/>
              <w:right w:val="single" w:sz="18" w:space="0" w:color="auto"/>
            </w:tcBorders>
            <w:noWrap/>
            <w:vAlign w:val="bottom"/>
          </w:tcPr>
          <w:p w14:paraId="58615A9B" w14:textId="77777777" w:rsidR="00C66E67" w:rsidRPr="00296FEB" w:rsidRDefault="00C66E67" w:rsidP="008E7E3D">
            <w:pPr>
              <w:keepNext/>
              <w:keepLines/>
              <w:jc w:val="right"/>
              <w:rPr>
                <w:rFonts w:ascii="Times New Roman" w:eastAsia="Times New Roman" w:hAnsi="Times New Roman" w:cs="Times New Roman"/>
                <w:b/>
                <w:bCs/>
                <w:color w:val="000000"/>
              </w:rPr>
            </w:pPr>
            <w:r w:rsidRPr="00296FEB">
              <w:rPr>
                <w:rFonts w:ascii="Times New Roman" w:eastAsia="Times New Roman" w:hAnsi="Times New Roman" w:cs="Times New Roman"/>
                <w:color w:val="000000"/>
              </w:rPr>
              <w:t>64,780</w:t>
            </w:r>
          </w:p>
        </w:tc>
      </w:tr>
      <w:tr w:rsidR="00C66E67" w:rsidRPr="00537498" w14:paraId="6C4B8A57" w14:textId="77777777" w:rsidTr="00296FEB">
        <w:trPr>
          <w:trHeight w:val="144"/>
          <w:jc w:val="center"/>
        </w:trPr>
        <w:tc>
          <w:tcPr>
            <w:tcW w:w="3037" w:type="dxa"/>
            <w:tcBorders>
              <w:top w:val="triple" w:sz="4" w:space="0" w:color="auto"/>
              <w:right w:val="single" w:sz="18" w:space="0" w:color="auto"/>
            </w:tcBorders>
            <w:noWrap/>
            <w:vAlign w:val="bottom"/>
          </w:tcPr>
          <w:p w14:paraId="3BCDF410" w14:textId="77777777" w:rsidR="00C66E67" w:rsidRPr="00296FEB" w:rsidRDefault="00C66E67" w:rsidP="008E7E3D">
            <w:pPr>
              <w:keepNext/>
              <w:keepLines/>
              <w:rPr>
                <w:rFonts w:ascii="Times New Roman" w:eastAsia="Times New Roman" w:hAnsi="Times New Roman" w:cs="Times New Roman"/>
                <w:b/>
                <w:bCs/>
                <w:color w:val="000000"/>
              </w:rPr>
            </w:pPr>
            <w:r w:rsidRPr="00296FEB">
              <w:rPr>
                <w:rFonts w:ascii="Times New Roman" w:eastAsia="Times New Roman" w:hAnsi="Times New Roman" w:cs="Times New Roman"/>
                <w:b/>
                <w:bCs/>
                <w:color w:val="000000"/>
              </w:rPr>
              <w:t>Average</w:t>
            </w:r>
          </w:p>
        </w:tc>
        <w:tc>
          <w:tcPr>
            <w:tcW w:w="1620" w:type="dxa"/>
            <w:tcBorders>
              <w:top w:val="triple" w:sz="4" w:space="0" w:color="auto"/>
              <w:left w:val="single" w:sz="18" w:space="0" w:color="auto"/>
              <w:right w:val="single" w:sz="18" w:space="0" w:color="auto"/>
            </w:tcBorders>
            <w:noWrap/>
            <w:vAlign w:val="bottom"/>
          </w:tcPr>
          <w:p w14:paraId="6718E8E5" w14:textId="77777777" w:rsidR="00C66E67" w:rsidRPr="00296FEB" w:rsidRDefault="00C66E67" w:rsidP="008E7E3D">
            <w:pPr>
              <w:keepNext/>
              <w:keepLines/>
              <w:jc w:val="right"/>
              <w:rPr>
                <w:rFonts w:ascii="Times New Roman" w:eastAsia="Times New Roman" w:hAnsi="Times New Roman" w:cs="Times New Roman"/>
                <w:b/>
                <w:bCs/>
                <w:color w:val="000000"/>
              </w:rPr>
            </w:pPr>
            <w:r w:rsidRPr="00296FEB">
              <w:rPr>
                <w:rFonts w:ascii="Times New Roman" w:eastAsia="Times New Roman" w:hAnsi="Times New Roman" w:cs="Times New Roman"/>
                <w:color w:val="000000"/>
              </w:rPr>
              <w:t>12,618</w:t>
            </w:r>
          </w:p>
        </w:tc>
        <w:tc>
          <w:tcPr>
            <w:tcW w:w="1755" w:type="dxa"/>
            <w:tcBorders>
              <w:top w:val="triple" w:sz="4" w:space="0" w:color="auto"/>
              <w:left w:val="single" w:sz="18" w:space="0" w:color="auto"/>
              <w:right w:val="single" w:sz="18" w:space="0" w:color="auto"/>
            </w:tcBorders>
            <w:noWrap/>
            <w:vAlign w:val="bottom"/>
          </w:tcPr>
          <w:p w14:paraId="41AB864A" w14:textId="77777777" w:rsidR="00C66E67" w:rsidRPr="00296FEB" w:rsidRDefault="00C66E67" w:rsidP="008E7E3D">
            <w:pPr>
              <w:keepNext/>
              <w:keepLines/>
              <w:jc w:val="right"/>
              <w:rPr>
                <w:rFonts w:ascii="Times New Roman" w:eastAsia="Times New Roman" w:hAnsi="Times New Roman" w:cs="Times New Roman"/>
                <w:b/>
                <w:bCs/>
                <w:color w:val="000000"/>
              </w:rPr>
            </w:pPr>
            <w:r w:rsidRPr="00296FEB">
              <w:rPr>
                <w:rFonts w:ascii="Times New Roman" w:eastAsia="Times New Roman" w:hAnsi="Times New Roman" w:cs="Times New Roman"/>
                <w:color w:val="000000"/>
              </w:rPr>
              <w:t>10,739</w:t>
            </w:r>
          </w:p>
        </w:tc>
      </w:tr>
      <w:tr w:rsidR="00C66E67" w:rsidRPr="00537498" w14:paraId="54355226" w14:textId="77777777" w:rsidTr="00296FEB">
        <w:trPr>
          <w:trHeight w:val="144"/>
          <w:jc w:val="center"/>
        </w:trPr>
        <w:tc>
          <w:tcPr>
            <w:tcW w:w="3037" w:type="dxa"/>
            <w:tcBorders>
              <w:top w:val="single" w:sz="2" w:space="0" w:color="auto"/>
              <w:right w:val="single" w:sz="18" w:space="0" w:color="auto"/>
            </w:tcBorders>
            <w:noWrap/>
            <w:vAlign w:val="bottom"/>
            <w:hideMark/>
          </w:tcPr>
          <w:p w14:paraId="2907140F" w14:textId="77777777" w:rsidR="00C66E67" w:rsidRPr="00296FEB" w:rsidRDefault="00C66E67" w:rsidP="008E7E3D">
            <w:pPr>
              <w:keepNext/>
              <w:keepLines/>
              <w:rPr>
                <w:rFonts w:ascii="Times New Roman" w:eastAsia="Times New Roman" w:hAnsi="Times New Roman" w:cs="Times New Roman"/>
                <w:b/>
                <w:bCs/>
                <w:color w:val="000000"/>
              </w:rPr>
            </w:pPr>
            <w:r w:rsidRPr="00296FEB">
              <w:rPr>
                <w:rFonts w:ascii="Times New Roman" w:eastAsia="Times New Roman" w:hAnsi="Times New Roman" w:cs="Times New Roman"/>
                <w:b/>
                <w:bCs/>
                <w:color w:val="000000"/>
              </w:rPr>
              <w:t>Median</w:t>
            </w:r>
          </w:p>
        </w:tc>
        <w:tc>
          <w:tcPr>
            <w:tcW w:w="1620" w:type="dxa"/>
            <w:tcBorders>
              <w:top w:val="single" w:sz="2" w:space="0" w:color="auto"/>
              <w:left w:val="single" w:sz="18" w:space="0" w:color="auto"/>
              <w:right w:val="single" w:sz="18" w:space="0" w:color="auto"/>
            </w:tcBorders>
            <w:noWrap/>
            <w:vAlign w:val="bottom"/>
            <w:hideMark/>
          </w:tcPr>
          <w:p w14:paraId="0F993F05" w14:textId="77777777" w:rsidR="00C66E67" w:rsidRPr="00296FEB" w:rsidRDefault="00C66E67" w:rsidP="008E7E3D">
            <w:pPr>
              <w:keepNext/>
              <w:keepLines/>
              <w:jc w:val="right"/>
              <w:rPr>
                <w:rFonts w:ascii="Times New Roman" w:eastAsia="Times New Roman" w:hAnsi="Times New Roman" w:cs="Times New Roman"/>
                <w:b/>
                <w:bCs/>
                <w:color w:val="000000"/>
              </w:rPr>
            </w:pPr>
            <w:r w:rsidRPr="00296FEB">
              <w:rPr>
                <w:rFonts w:ascii="Times New Roman" w:eastAsia="Times New Roman" w:hAnsi="Times New Roman" w:cs="Times New Roman"/>
                <w:color w:val="000000"/>
              </w:rPr>
              <w:t>9,243</w:t>
            </w:r>
          </w:p>
        </w:tc>
        <w:tc>
          <w:tcPr>
            <w:tcW w:w="1755" w:type="dxa"/>
            <w:tcBorders>
              <w:top w:val="single" w:sz="2" w:space="0" w:color="auto"/>
              <w:left w:val="single" w:sz="18" w:space="0" w:color="auto"/>
            </w:tcBorders>
            <w:noWrap/>
            <w:vAlign w:val="bottom"/>
            <w:hideMark/>
          </w:tcPr>
          <w:p w14:paraId="051365CE" w14:textId="77777777" w:rsidR="00C66E67" w:rsidRPr="00296FEB" w:rsidRDefault="00C66E67" w:rsidP="008E7E3D">
            <w:pPr>
              <w:keepNext/>
              <w:keepLines/>
              <w:jc w:val="right"/>
              <w:rPr>
                <w:rFonts w:ascii="Times New Roman" w:eastAsia="Times New Roman" w:hAnsi="Times New Roman" w:cs="Times New Roman"/>
                <w:b/>
                <w:bCs/>
                <w:color w:val="000000"/>
              </w:rPr>
            </w:pPr>
            <w:r w:rsidRPr="00296FEB">
              <w:rPr>
                <w:rFonts w:ascii="Times New Roman" w:eastAsia="Times New Roman" w:hAnsi="Times New Roman" w:cs="Times New Roman"/>
                <w:color w:val="000000"/>
              </w:rPr>
              <w:t>8,176</w:t>
            </w:r>
          </w:p>
        </w:tc>
      </w:tr>
    </w:tbl>
    <w:p w14:paraId="2D337643" w14:textId="77777777" w:rsidR="00C66E67" w:rsidRPr="00B026E4" w:rsidRDefault="00C66E67" w:rsidP="006C66BD">
      <w:pPr>
        <w:spacing w:line="480" w:lineRule="auto"/>
        <w:ind w:firstLine="720"/>
        <w:rPr>
          <w:rFonts w:ascii="Times New Roman" w:hAnsi="Times New Roman" w:cs="Times New Roman"/>
        </w:rPr>
      </w:pPr>
    </w:p>
    <w:p w14:paraId="5D0D0620" w14:textId="0043A3D7" w:rsidR="008373AC" w:rsidRPr="00B026E4" w:rsidRDefault="008373AC" w:rsidP="00AE0FFE">
      <w:pPr>
        <w:spacing w:line="480" w:lineRule="auto"/>
        <w:ind w:firstLine="720"/>
        <w:rPr>
          <w:rFonts w:ascii="Times New Roman" w:hAnsi="Times New Roman" w:cs="Times New Roman"/>
        </w:rPr>
      </w:pPr>
      <w:r w:rsidRPr="00B026E4">
        <w:rPr>
          <w:rFonts w:ascii="Times New Roman" w:hAnsi="Times New Roman" w:cs="Times New Roman"/>
        </w:rPr>
        <w:t>Elizabeth Warren and her co-authors have claimed that medical expenses and medical debts are a major cause of consumer bankruptcy.</w:t>
      </w:r>
      <w:r w:rsidR="00EC2483">
        <w:rPr>
          <w:rStyle w:val="FootnoteReference"/>
          <w:rFonts w:ascii="Times New Roman" w:hAnsi="Times New Roman" w:cs="Times New Roman"/>
        </w:rPr>
        <w:footnoteReference w:id="153"/>
      </w:r>
      <w:r w:rsidRPr="00B026E4">
        <w:rPr>
          <w:rFonts w:ascii="Times New Roman" w:hAnsi="Times New Roman" w:cs="Times New Roman"/>
        </w:rPr>
        <w:t xml:space="preserve"> By contrast, our debtors did not generally claim major medical expenses, at least relative to their incomes. </w:t>
      </w:r>
    </w:p>
    <w:p w14:paraId="57B0EDFD" w14:textId="464F0BEF" w:rsidR="008373AC" w:rsidRPr="00B026E4" w:rsidRDefault="008373AC" w:rsidP="00085430">
      <w:pPr>
        <w:keepNext/>
        <w:keepLines/>
        <w:spacing w:line="480" w:lineRule="auto"/>
        <w:jc w:val="center"/>
        <w:rPr>
          <w:rFonts w:ascii="Times New Roman" w:hAnsi="Times New Roman" w:cs="Times New Roman"/>
          <w:b/>
        </w:rPr>
      </w:pPr>
      <w:r>
        <w:rPr>
          <w:rFonts w:ascii="Times New Roman" w:hAnsi="Times New Roman" w:cs="Times New Roman"/>
          <w:b/>
        </w:rPr>
        <w:t>Table 2</w:t>
      </w:r>
      <w:r w:rsidR="00296FEB">
        <w:rPr>
          <w:rFonts w:ascii="Times New Roman" w:hAnsi="Times New Roman" w:cs="Times New Roman"/>
          <w:b/>
        </w:rPr>
        <w:t>7</w:t>
      </w:r>
      <w:r>
        <w:rPr>
          <w:rFonts w:ascii="Times New Roman" w:hAnsi="Times New Roman" w:cs="Times New Roman"/>
          <w:b/>
        </w:rPr>
        <w:t xml:space="preserve">: Medical Expenses </w:t>
      </w:r>
    </w:p>
    <w:tbl>
      <w:tblPr>
        <w:tblStyle w:val="TableGrid"/>
        <w:tblW w:w="7848" w:type="dxa"/>
        <w:jc w:val="center"/>
        <w:tblLook w:val="04A0" w:firstRow="1" w:lastRow="0" w:firstColumn="1" w:lastColumn="0" w:noHBand="0" w:noVBand="1"/>
      </w:tblPr>
      <w:tblGrid>
        <w:gridCol w:w="3978"/>
        <w:gridCol w:w="1980"/>
        <w:gridCol w:w="1890"/>
      </w:tblGrid>
      <w:tr w:rsidR="008373AC" w:rsidRPr="00537498" w14:paraId="52CBCB68" w14:textId="77777777" w:rsidTr="00296FEB">
        <w:trPr>
          <w:trHeight w:val="300"/>
          <w:jc w:val="center"/>
        </w:trPr>
        <w:tc>
          <w:tcPr>
            <w:tcW w:w="3978" w:type="dxa"/>
            <w:tcBorders>
              <w:top w:val="nil"/>
              <w:left w:val="nil"/>
              <w:bottom w:val="single" w:sz="18" w:space="0" w:color="auto"/>
              <w:right w:val="single" w:sz="18" w:space="0" w:color="auto"/>
            </w:tcBorders>
            <w:noWrap/>
            <w:hideMark/>
          </w:tcPr>
          <w:p w14:paraId="39A6EE82" w14:textId="77777777" w:rsidR="008373AC" w:rsidRPr="00B026E4" w:rsidRDefault="008373AC" w:rsidP="00085430">
            <w:pPr>
              <w:keepNext/>
              <w:keepLines/>
              <w:jc w:val="center"/>
              <w:rPr>
                <w:rFonts w:ascii="Times New Roman" w:eastAsia="Times New Roman" w:hAnsi="Times New Roman" w:cs="Times New Roman"/>
                <w:color w:val="000000"/>
              </w:rPr>
            </w:pPr>
          </w:p>
        </w:tc>
        <w:tc>
          <w:tcPr>
            <w:tcW w:w="1980" w:type="dxa"/>
            <w:tcBorders>
              <w:top w:val="single" w:sz="18" w:space="0" w:color="auto"/>
              <w:left w:val="single" w:sz="18" w:space="0" w:color="auto"/>
              <w:bottom w:val="single" w:sz="18" w:space="0" w:color="auto"/>
              <w:right w:val="single" w:sz="18" w:space="0" w:color="auto"/>
            </w:tcBorders>
            <w:noWrap/>
            <w:hideMark/>
          </w:tcPr>
          <w:p w14:paraId="5418C4C5" w14:textId="77777777" w:rsidR="008373AC" w:rsidRPr="00B026E4" w:rsidRDefault="008373AC" w:rsidP="00085430">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2010</w:t>
            </w:r>
          </w:p>
        </w:tc>
        <w:tc>
          <w:tcPr>
            <w:tcW w:w="1890" w:type="dxa"/>
            <w:tcBorders>
              <w:top w:val="single" w:sz="18" w:space="0" w:color="auto"/>
              <w:left w:val="single" w:sz="18" w:space="0" w:color="auto"/>
              <w:bottom w:val="single" w:sz="18" w:space="0" w:color="auto"/>
              <w:right w:val="single" w:sz="18" w:space="0" w:color="auto"/>
            </w:tcBorders>
            <w:noWrap/>
            <w:hideMark/>
          </w:tcPr>
          <w:p w14:paraId="5541A7B6" w14:textId="77777777" w:rsidR="008373AC" w:rsidRPr="00B026E4" w:rsidRDefault="008373AC" w:rsidP="00085430">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2013</w:t>
            </w:r>
          </w:p>
        </w:tc>
      </w:tr>
      <w:tr w:rsidR="008373AC" w:rsidRPr="00537498" w14:paraId="30457FCE" w14:textId="77777777" w:rsidTr="00296FEB">
        <w:trPr>
          <w:trHeight w:val="300"/>
          <w:jc w:val="center"/>
        </w:trPr>
        <w:tc>
          <w:tcPr>
            <w:tcW w:w="3978" w:type="dxa"/>
            <w:tcBorders>
              <w:top w:val="single" w:sz="18" w:space="0" w:color="auto"/>
              <w:right w:val="single" w:sz="18" w:space="0" w:color="auto"/>
            </w:tcBorders>
            <w:noWrap/>
            <w:hideMark/>
          </w:tcPr>
          <w:p w14:paraId="6F4729E6" w14:textId="77777777" w:rsidR="008373AC" w:rsidRPr="00B026E4" w:rsidRDefault="008373AC" w:rsidP="00085430">
            <w:pPr>
              <w:keepNext/>
              <w:keepLines/>
              <w:rPr>
                <w:rFonts w:ascii="Times New Roman" w:eastAsia="Times New Roman" w:hAnsi="Times New Roman" w:cs="Times New Roman"/>
                <w:color w:val="000000"/>
              </w:rPr>
            </w:pPr>
            <w:r w:rsidRPr="00B026E4">
              <w:rPr>
                <w:rFonts w:ascii="Times New Roman" w:eastAsia="Times New Roman" w:hAnsi="Times New Roman" w:cs="Times New Roman"/>
                <w:color w:val="000000"/>
              </w:rPr>
              <w:t>More than 500</w:t>
            </w:r>
          </w:p>
        </w:tc>
        <w:tc>
          <w:tcPr>
            <w:tcW w:w="1980" w:type="dxa"/>
            <w:tcBorders>
              <w:top w:val="single" w:sz="18" w:space="0" w:color="auto"/>
              <w:left w:val="single" w:sz="18" w:space="0" w:color="auto"/>
              <w:right w:val="single" w:sz="18" w:space="0" w:color="auto"/>
            </w:tcBorders>
            <w:noWrap/>
            <w:hideMark/>
          </w:tcPr>
          <w:p w14:paraId="181F4395" w14:textId="77777777" w:rsidR="008373AC" w:rsidRPr="00B026E4" w:rsidRDefault="008373AC" w:rsidP="00085430">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7.3%</w:t>
            </w:r>
          </w:p>
        </w:tc>
        <w:tc>
          <w:tcPr>
            <w:tcW w:w="1890" w:type="dxa"/>
            <w:tcBorders>
              <w:top w:val="single" w:sz="18" w:space="0" w:color="auto"/>
              <w:left w:val="single" w:sz="18" w:space="0" w:color="auto"/>
              <w:right w:val="single" w:sz="18" w:space="0" w:color="auto"/>
            </w:tcBorders>
            <w:noWrap/>
            <w:hideMark/>
          </w:tcPr>
          <w:p w14:paraId="02707BAE" w14:textId="77777777" w:rsidR="008373AC" w:rsidRPr="00B026E4" w:rsidRDefault="008373AC" w:rsidP="00085430">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3.5%</w:t>
            </w:r>
          </w:p>
        </w:tc>
      </w:tr>
      <w:tr w:rsidR="008373AC" w:rsidRPr="00537498" w14:paraId="46A8A281" w14:textId="77777777" w:rsidTr="00296FEB">
        <w:trPr>
          <w:trHeight w:val="300"/>
          <w:jc w:val="center"/>
        </w:trPr>
        <w:tc>
          <w:tcPr>
            <w:tcW w:w="3978" w:type="dxa"/>
            <w:tcBorders>
              <w:right w:val="single" w:sz="18" w:space="0" w:color="auto"/>
            </w:tcBorders>
            <w:noWrap/>
            <w:hideMark/>
          </w:tcPr>
          <w:p w14:paraId="7544C126" w14:textId="77777777" w:rsidR="008373AC" w:rsidRPr="00B026E4" w:rsidRDefault="008373AC" w:rsidP="00085430">
            <w:pPr>
              <w:keepNext/>
              <w:keepLines/>
              <w:rPr>
                <w:rFonts w:ascii="Times New Roman" w:eastAsia="Times New Roman" w:hAnsi="Times New Roman" w:cs="Times New Roman"/>
                <w:color w:val="000000"/>
              </w:rPr>
            </w:pPr>
            <w:r w:rsidRPr="00B026E4">
              <w:rPr>
                <w:rFonts w:ascii="Times New Roman" w:eastAsia="Times New Roman" w:hAnsi="Times New Roman" w:cs="Times New Roman"/>
                <w:color w:val="000000"/>
              </w:rPr>
              <w:t>400 to 500</w:t>
            </w:r>
          </w:p>
        </w:tc>
        <w:tc>
          <w:tcPr>
            <w:tcW w:w="1980" w:type="dxa"/>
            <w:tcBorders>
              <w:left w:val="single" w:sz="18" w:space="0" w:color="auto"/>
              <w:right w:val="single" w:sz="18" w:space="0" w:color="auto"/>
            </w:tcBorders>
            <w:noWrap/>
            <w:hideMark/>
          </w:tcPr>
          <w:p w14:paraId="69B2D24D" w14:textId="77777777" w:rsidR="008373AC" w:rsidRPr="00B026E4" w:rsidRDefault="008373AC" w:rsidP="00085430">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5.5%</w:t>
            </w:r>
          </w:p>
        </w:tc>
        <w:tc>
          <w:tcPr>
            <w:tcW w:w="1890" w:type="dxa"/>
            <w:tcBorders>
              <w:left w:val="single" w:sz="18" w:space="0" w:color="auto"/>
              <w:right w:val="single" w:sz="18" w:space="0" w:color="auto"/>
            </w:tcBorders>
            <w:noWrap/>
            <w:hideMark/>
          </w:tcPr>
          <w:p w14:paraId="0C3ACBC9" w14:textId="77777777" w:rsidR="008373AC" w:rsidRPr="00B026E4" w:rsidRDefault="008373AC" w:rsidP="00085430">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5.3%</w:t>
            </w:r>
          </w:p>
        </w:tc>
      </w:tr>
      <w:tr w:rsidR="008373AC" w:rsidRPr="00537498" w14:paraId="5A7C2924" w14:textId="77777777" w:rsidTr="00296FEB">
        <w:trPr>
          <w:trHeight w:val="300"/>
          <w:jc w:val="center"/>
        </w:trPr>
        <w:tc>
          <w:tcPr>
            <w:tcW w:w="3978" w:type="dxa"/>
            <w:tcBorders>
              <w:right w:val="single" w:sz="18" w:space="0" w:color="auto"/>
            </w:tcBorders>
            <w:noWrap/>
            <w:hideMark/>
          </w:tcPr>
          <w:p w14:paraId="4E6F0973" w14:textId="77777777" w:rsidR="008373AC" w:rsidRPr="00B026E4" w:rsidRDefault="008373AC" w:rsidP="00085430">
            <w:pPr>
              <w:keepNext/>
              <w:keepLines/>
              <w:rPr>
                <w:rFonts w:ascii="Times New Roman" w:eastAsia="Times New Roman" w:hAnsi="Times New Roman" w:cs="Times New Roman"/>
                <w:color w:val="000000"/>
              </w:rPr>
            </w:pPr>
            <w:r w:rsidRPr="00B026E4">
              <w:rPr>
                <w:rFonts w:ascii="Times New Roman" w:eastAsia="Times New Roman" w:hAnsi="Times New Roman" w:cs="Times New Roman"/>
                <w:color w:val="000000"/>
              </w:rPr>
              <w:t>300 to 400</w:t>
            </w:r>
          </w:p>
        </w:tc>
        <w:tc>
          <w:tcPr>
            <w:tcW w:w="1980" w:type="dxa"/>
            <w:tcBorders>
              <w:left w:val="single" w:sz="18" w:space="0" w:color="auto"/>
              <w:right w:val="single" w:sz="18" w:space="0" w:color="auto"/>
            </w:tcBorders>
            <w:noWrap/>
            <w:hideMark/>
          </w:tcPr>
          <w:p w14:paraId="14CA71C6" w14:textId="77777777" w:rsidR="008373AC" w:rsidRPr="00B026E4" w:rsidRDefault="008373AC" w:rsidP="00085430">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3.7%</w:t>
            </w:r>
          </w:p>
        </w:tc>
        <w:tc>
          <w:tcPr>
            <w:tcW w:w="1890" w:type="dxa"/>
            <w:tcBorders>
              <w:left w:val="single" w:sz="18" w:space="0" w:color="auto"/>
              <w:right w:val="single" w:sz="18" w:space="0" w:color="auto"/>
            </w:tcBorders>
            <w:noWrap/>
            <w:hideMark/>
          </w:tcPr>
          <w:p w14:paraId="357B691C" w14:textId="77777777" w:rsidR="008373AC" w:rsidRPr="00B026E4" w:rsidRDefault="008373AC" w:rsidP="00085430">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7.0%</w:t>
            </w:r>
          </w:p>
        </w:tc>
      </w:tr>
      <w:tr w:rsidR="008373AC" w:rsidRPr="00537498" w14:paraId="2958317B" w14:textId="77777777" w:rsidTr="00296FEB">
        <w:trPr>
          <w:trHeight w:val="300"/>
          <w:jc w:val="center"/>
        </w:trPr>
        <w:tc>
          <w:tcPr>
            <w:tcW w:w="3978" w:type="dxa"/>
            <w:tcBorders>
              <w:right w:val="single" w:sz="18" w:space="0" w:color="auto"/>
            </w:tcBorders>
            <w:noWrap/>
            <w:hideMark/>
          </w:tcPr>
          <w:p w14:paraId="68433F57" w14:textId="77777777" w:rsidR="008373AC" w:rsidRPr="00B026E4" w:rsidRDefault="008373AC" w:rsidP="00085430">
            <w:pPr>
              <w:keepNext/>
              <w:keepLines/>
              <w:rPr>
                <w:rFonts w:ascii="Times New Roman" w:eastAsia="Times New Roman" w:hAnsi="Times New Roman" w:cs="Times New Roman"/>
                <w:color w:val="000000"/>
              </w:rPr>
            </w:pPr>
            <w:r w:rsidRPr="00B026E4">
              <w:rPr>
                <w:rFonts w:ascii="Times New Roman" w:eastAsia="Times New Roman" w:hAnsi="Times New Roman" w:cs="Times New Roman"/>
                <w:color w:val="000000"/>
              </w:rPr>
              <w:t>200 to 300</w:t>
            </w:r>
          </w:p>
        </w:tc>
        <w:tc>
          <w:tcPr>
            <w:tcW w:w="1980" w:type="dxa"/>
            <w:tcBorders>
              <w:left w:val="single" w:sz="18" w:space="0" w:color="auto"/>
              <w:right w:val="single" w:sz="18" w:space="0" w:color="auto"/>
            </w:tcBorders>
            <w:noWrap/>
            <w:hideMark/>
          </w:tcPr>
          <w:p w14:paraId="76E1D0B5" w14:textId="77777777" w:rsidR="008373AC" w:rsidRPr="00B026E4" w:rsidRDefault="008373AC" w:rsidP="00085430">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4.6%</w:t>
            </w:r>
          </w:p>
        </w:tc>
        <w:tc>
          <w:tcPr>
            <w:tcW w:w="1890" w:type="dxa"/>
            <w:tcBorders>
              <w:left w:val="single" w:sz="18" w:space="0" w:color="auto"/>
              <w:right w:val="single" w:sz="18" w:space="0" w:color="auto"/>
            </w:tcBorders>
            <w:noWrap/>
            <w:hideMark/>
          </w:tcPr>
          <w:p w14:paraId="5010A35E" w14:textId="77777777" w:rsidR="008373AC" w:rsidRPr="00B026E4" w:rsidRDefault="008373AC" w:rsidP="00085430">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8.8%</w:t>
            </w:r>
          </w:p>
        </w:tc>
      </w:tr>
      <w:tr w:rsidR="008373AC" w:rsidRPr="00537498" w14:paraId="0F11B5E9" w14:textId="77777777" w:rsidTr="00296FEB">
        <w:trPr>
          <w:trHeight w:val="300"/>
          <w:jc w:val="center"/>
        </w:trPr>
        <w:tc>
          <w:tcPr>
            <w:tcW w:w="3978" w:type="dxa"/>
            <w:tcBorders>
              <w:right w:val="single" w:sz="18" w:space="0" w:color="auto"/>
            </w:tcBorders>
            <w:noWrap/>
            <w:hideMark/>
          </w:tcPr>
          <w:p w14:paraId="376EF77A" w14:textId="77777777" w:rsidR="008373AC" w:rsidRPr="00B026E4" w:rsidRDefault="008373AC" w:rsidP="00085430">
            <w:pPr>
              <w:keepNext/>
              <w:keepLines/>
              <w:rPr>
                <w:rFonts w:ascii="Times New Roman" w:eastAsia="Times New Roman" w:hAnsi="Times New Roman" w:cs="Times New Roman"/>
                <w:color w:val="000000"/>
              </w:rPr>
            </w:pPr>
            <w:r w:rsidRPr="00B026E4">
              <w:rPr>
                <w:rFonts w:ascii="Times New Roman" w:eastAsia="Times New Roman" w:hAnsi="Times New Roman" w:cs="Times New Roman"/>
                <w:color w:val="000000"/>
              </w:rPr>
              <w:t>100 to 200</w:t>
            </w:r>
          </w:p>
        </w:tc>
        <w:tc>
          <w:tcPr>
            <w:tcW w:w="1980" w:type="dxa"/>
            <w:tcBorders>
              <w:left w:val="single" w:sz="18" w:space="0" w:color="auto"/>
              <w:right w:val="single" w:sz="18" w:space="0" w:color="auto"/>
            </w:tcBorders>
            <w:noWrap/>
            <w:hideMark/>
          </w:tcPr>
          <w:p w14:paraId="3718DB36" w14:textId="77777777" w:rsidR="008373AC" w:rsidRPr="00B026E4" w:rsidRDefault="008373AC" w:rsidP="00085430">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22.0%</w:t>
            </w:r>
          </w:p>
        </w:tc>
        <w:tc>
          <w:tcPr>
            <w:tcW w:w="1890" w:type="dxa"/>
            <w:tcBorders>
              <w:left w:val="single" w:sz="18" w:space="0" w:color="auto"/>
              <w:right w:val="single" w:sz="18" w:space="0" w:color="auto"/>
            </w:tcBorders>
            <w:noWrap/>
            <w:hideMark/>
          </w:tcPr>
          <w:p w14:paraId="4F9E82EE" w14:textId="77777777" w:rsidR="008373AC" w:rsidRPr="00B026E4" w:rsidRDefault="008373AC" w:rsidP="00085430">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18.4%</w:t>
            </w:r>
          </w:p>
        </w:tc>
      </w:tr>
      <w:tr w:rsidR="008373AC" w:rsidRPr="00537498" w14:paraId="53236D3C" w14:textId="77777777" w:rsidTr="00296FEB">
        <w:trPr>
          <w:trHeight w:val="300"/>
          <w:jc w:val="center"/>
        </w:trPr>
        <w:tc>
          <w:tcPr>
            <w:tcW w:w="3978" w:type="dxa"/>
            <w:tcBorders>
              <w:right w:val="single" w:sz="18" w:space="0" w:color="auto"/>
            </w:tcBorders>
            <w:noWrap/>
            <w:hideMark/>
          </w:tcPr>
          <w:p w14:paraId="357C7021" w14:textId="77777777" w:rsidR="008373AC" w:rsidRPr="00B026E4" w:rsidRDefault="008373AC" w:rsidP="00085430">
            <w:pPr>
              <w:keepNext/>
              <w:keepLines/>
              <w:rPr>
                <w:rFonts w:ascii="Times New Roman" w:eastAsia="Times New Roman" w:hAnsi="Times New Roman" w:cs="Times New Roman"/>
                <w:color w:val="000000"/>
              </w:rPr>
            </w:pPr>
            <w:r w:rsidRPr="00B026E4">
              <w:rPr>
                <w:rFonts w:ascii="Times New Roman" w:eastAsia="Times New Roman" w:hAnsi="Times New Roman" w:cs="Times New Roman"/>
                <w:color w:val="000000"/>
              </w:rPr>
              <w:t>1 to 100</w:t>
            </w:r>
          </w:p>
        </w:tc>
        <w:tc>
          <w:tcPr>
            <w:tcW w:w="1980" w:type="dxa"/>
            <w:tcBorders>
              <w:left w:val="single" w:sz="18" w:space="0" w:color="auto"/>
              <w:right w:val="single" w:sz="18" w:space="0" w:color="auto"/>
            </w:tcBorders>
            <w:noWrap/>
            <w:hideMark/>
          </w:tcPr>
          <w:p w14:paraId="01E67C95" w14:textId="77777777" w:rsidR="008373AC" w:rsidRPr="00B026E4" w:rsidRDefault="008373AC" w:rsidP="00085430">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31.2%</w:t>
            </w:r>
          </w:p>
        </w:tc>
        <w:tc>
          <w:tcPr>
            <w:tcW w:w="1890" w:type="dxa"/>
            <w:tcBorders>
              <w:left w:val="single" w:sz="18" w:space="0" w:color="auto"/>
              <w:right w:val="single" w:sz="18" w:space="0" w:color="auto"/>
            </w:tcBorders>
            <w:noWrap/>
            <w:hideMark/>
          </w:tcPr>
          <w:p w14:paraId="02460466" w14:textId="77777777" w:rsidR="008373AC" w:rsidRPr="00B026E4" w:rsidRDefault="008373AC" w:rsidP="00085430">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38.6%</w:t>
            </w:r>
          </w:p>
        </w:tc>
      </w:tr>
      <w:tr w:rsidR="008373AC" w:rsidRPr="00537498" w14:paraId="2B8716F4" w14:textId="77777777" w:rsidTr="00296FEB">
        <w:trPr>
          <w:trHeight w:val="300"/>
          <w:jc w:val="center"/>
        </w:trPr>
        <w:tc>
          <w:tcPr>
            <w:tcW w:w="3978" w:type="dxa"/>
            <w:tcBorders>
              <w:right w:val="single" w:sz="18" w:space="0" w:color="auto"/>
            </w:tcBorders>
            <w:noWrap/>
            <w:hideMark/>
          </w:tcPr>
          <w:p w14:paraId="11227FC5" w14:textId="77777777" w:rsidR="008373AC" w:rsidRPr="00B026E4" w:rsidRDefault="008373AC" w:rsidP="00085430">
            <w:pPr>
              <w:keepNext/>
              <w:keepLines/>
              <w:rPr>
                <w:rFonts w:ascii="Times New Roman" w:eastAsia="Times New Roman" w:hAnsi="Times New Roman" w:cs="Times New Roman"/>
                <w:color w:val="000000"/>
              </w:rPr>
            </w:pPr>
            <w:r w:rsidRPr="00B026E4">
              <w:rPr>
                <w:rFonts w:ascii="Times New Roman" w:eastAsia="Times New Roman" w:hAnsi="Times New Roman" w:cs="Times New Roman"/>
                <w:color w:val="000000"/>
              </w:rPr>
              <w:t>0</w:t>
            </w:r>
          </w:p>
        </w:tc>
        <w:tc>
          <w:tcPr>
            <w:tcW w:w="1980" w:type="dxa"/>
            <w:tcBorders>
              <w:left w:val="single" w:sz="18" w:space="0" w:color="auto"/>
              <w:right w:val="single" w:sz="18" w:space="0" w:color="auto"/>
            </w:tcBorders>
            <w:noWrap/>
            <w:hideMark/>
          </w:tcPr>
          <w:p w14:paraId="738C66C1" w14:textId="77777777" w:rsidR="008373AC" w:rsidRPr="00B026E4" w:rsidRDefault="008373AC" w:rsidP="00085430">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15.6%</w:t>
            </w:r>
          </w:p>
        </w:tc>
        <w:tc>
          <w:tcPr>
            <w:tcW w:w="1890" w:type="dxa"/>
            <w:tcBorders>
              <w:left w:val="single" w:sz="18" w:space="0" w:color="auto"/>
              <w:right w:val="single" w:sz="18" w:space="0" w:color="auto"/>
            </w:tcBorders>
            <w:noWrap/>
            <w:hideMark/>
          </w:tcPr>
          <w:p w14:paraId="6C4EF12C" w14:textId="77777777" w:rsidR="008373AC" w:rsidRPr="00B026E4" w:rsidRDefault="008373AC" w:rsidP="00085430">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14.0%</w:t>
            </w:r>
          </w:p>
        </w:tc>
      </w:tr>
      <w:tr w:rsidR="008373AC" w:rsidRPr="00537498" w14:paraId="5F8C72FA" w14:textId="77777777" w:rsidTr="00296FEB">
        <w:trPr>
          <w:trHeight w:val="300"/>
          <w:jc w:val="center"/>
        </w:trPr>
        <w:tc>
          <w:tcPr>
            <w:tcW w:w="3978" w:type="dxa"/>
            <w:tcBorders>
              <w:right w:val="single" w:sz="18" w:space="0" w:color="auto"/>
            </w:tcBorders>
            <w:noWrap/>
            <w:hideMark/>
          </w:tcPr>
          <w:p w14:paraId="78884CC1" w14:textId="12C7B1E5" w:rsidR="008373AC" w:rsidRPr="00B026E4" w:rsidRDefault="00BE1A41" w:rsidP="00085430">
            <w:pPr>
              <w:keepNext/>
              <w:keepLines/>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980" w:type="dxa"/>
            <w:tcBorders>
              <w:left w:val="single" w:sz="18" w:space="0" w:color="auto"/>
              <w:right w:val="single" w:sz="18" w:space="0" w:color="auto"/>
            </w:tcBorders>
            <w:noWrap/>
            <w:hideMark/>
          </w:tcPr>
          <w:p w14:paraId="1FF57835" w14:textId="1C0E662D" w:rsidR="008373AC" w:rsidRPr="00B026E4" w:rsidRDefault="00364371" w:rsidP="00085430">
            <w:pPr>
              <w:keepNext/>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10.1</w:t>
            </w:r>
            <w:r w:rsidR="008373AC" w:rsidRPr="00B026E4">
              <w:rPr>
                <w:rFonts w:ascii="Times New Roman" w:eastAsia="Times New Roman" w:hAnsi="Times New Roman" w:cs="Times New Roman"/>
                <w:color w:val="000000"/>
              </w:rPr>
              <w:t>%</w:t>
            </w:r>
          </w:p>
        </w:tc>
        <w:tc>
          <w:tcPr>
            <w:tcW w:w="1890" w:type="dxa"/>
            <w:tcBorders>
              <w:left w:val="single" w:sz="18" w:space="0" w:color="auto"/>
              <w:right w:val="single" w:sz="18" w:space="0" w:color="auto"/>
            </w:tcBorders>
            <w:noWrap/>
            <w:hideMark/>
          </w:tcPr>
          <w:p w14:paraId="271158E8" w14:textId="77777777" w:rsidR="008373AC" w:rsidRPr="00B026E4" w:rsidRDefault="008373AC" w:rsidP="00085430">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4.4%</w:t>
            </w:r>
          </w:p>
        </w:tc>
      </w:tr>
      <w:tr w:rsidR="008373AC" w:rsidRPr="00537498" w14:paraId="73B556D0" w14:textId="77777777" w:rsidTr="00296FEB">
        <w:trPr>
          <w:trHeight w:val="300"/>
          <w:jc w:val="center"/>
        </w:trPr>
        <w:tc>
          <w:tcPr>
            <w:tcW w:w="3978" w:type="dxa"/>
            <w:tcBorders>
              <w:top w:val="triple" w:sz="4" w:space="0" w:color="auto"/>
              <w:right w:val="single" w:sz="18" w:space="0" w:color="auto"/>
            </w:tcBorders>
            <w:noWrap/>
          </w:tcPr>
          <w:p w14:paraId="557B2095" w14:textId="77777777" w:rsidR="008373AC" w:rsidRPr="002D250C" w:rsidRDefault="008373AC" w:rsidP="00085430">
            <w:pPr>
              <w:keepNext/>
              <w:keepLines/>
              <w:rPr>
                <w:rFonts w:ascii="Times New Roman" w:eastAsia="Times New Roman" w:hAnsi="Times New Roman" w:cs="Times New Roman"/>
                <w:color w:val="000000"/>
              </w:rPr>
            </w:pPr>
            <w:r w:rsidRPr="00783E8F">
              <w:rPr>
                <w:rFonts w:ascii="Times New Roman" w:eastAsia="Times New Roman" w:hAnsi="Times New Roman" w:cs="Times New Roman"/>
                <w:color w:val="000000"/>
              </w:rPr>
              <w:t>Max</w:t>
            </w:r>
            <w:r>
              <w:rPr>
                <w:rFonts w:ascii="Times New Roman" w:eastAsia="Times New Roman" w:hAnsi="Times New Roman" w:cs="Times New Roman"/>
                <w:color w:val="000000"/>
              </w:rPr>
              <w:t>imum</w:t>
            </w:r>
          </w:p>
        </w:tc>
        <w:tc>
          <w:tcPr>
            <w:tcW w:w="1980" w:type="dxa"/>
            <w:tcBorders>
              <w:top w:val="triple" w:sz="4" w:space="0" w:color="auto"/>
              <w:left w:val="single" w:sz="18" w:space="0" w:color="auto"/>
              <w:right w:val="single" w:sz="18" w:space="0" w:color="auto"/>
            </w:tcBorders>
            <w:noWrap/>
          </w:tcPr>
          <w:p w14:paraId="6F9DD8D4" w14:textId="77777777" w:rsidR="008373AC" w:rsidRPr="002D250C" w:rsidRDefault="008373AC" w:rsidP="00085430">
            <w:pPr>
              <w:keepNext/>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1,800</w:t>
            </w:r>
          </w:p>
        </w:tc>
        <w:tc>
          <w:tcPr>
            <w:tcW w:w="1890" w:type="dxa"/>
            <w:tcBorders>
              <w:top w:val="triple" w:sz="4" w:space="0" w:color="auto"/>
              <w:left w:val="single" w:sz="18" w:space="0" w:color="auto"/>
              <w:right w:val="single" w:sz="18" w:space="0" w:color="auto"/>
            </w:tcBorders>
            <w:noWrap/>
          </w:tcPr>
          <w:p w14:paraId="15944204" w14:textId="77777777" w:rsidR="008373AC" w:rsidRPr="002D250C" w:rsidRDefault="008373AC" w:rsidP="00085430">
            <w:pPr>
              <w:keepNext/>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10,514</w:t>
            </w:r>
          </w:p>
        </w:tc>
      </w:tr>
      <w:tr w:rsidR="008373AC" w:rsidRPr="00537498" w14:paraId="055C2704" w14:textId="77777777" w:rsidTr="00296FEB">
        <w:trPr>
          <w:trHeight w:val="300"/>
          <w:jc w:val="center"/>
        </w:trPr>
        <w:tc>
          <w:tcPr>
            <w:tcW w:w="3978" w:type="dxa"/>
            <w:tcBorders>
              <w:top w:val="triple" w:sz="4" w:space="0" w:color="auto"/>
              <w:right w:val="single" w:sz="18" w:space="0" w:color="auto"/>
            </w:tcBorders>
            <w:noWrap/>
            <w:hideMark/>
          </w:tcPr>
          <w:p w14:paraId="0ED04EB8" w14:textId="77777777" w:rsidR="008373AC" w:rsidRPr="00B026E4" w:rsidRDefault="008373AC" w:rsidP="00085430">
            <w:pPr>
              <w:keepNext/>
              <w:keepLines/>
              <w:rPr>
                <w:rFonts w:ascii="Times New Roman" w:eastAsia="Times New Roman" w:hAnsi="Times New Roman" w:cs="Times New Roman"/>
                <w:color w:val="000000"/>
              </w:rPr>
            </w:pPr>
            <w:r w:rsidRPr="00B026E4">
              <w:rPr>
                <w:rFonts w:ascii="Times New Roman" w:eastAsia="Times New Roman" w:hAnsi="Times New Roman" w:cs="Times New Roman"/>
                <w:color w:val="000000"/>
              </w:rPr>
              <w:t>Av</w:t>
            </w:r>
            <w:r>
              <w:rPr>
                <w:rFonts w:ascii="Times New Roman" w:eastAsia="Times New Roman" w:hAnsi="Times New Roman" w:cs="Times New Roman"/>
                <w:color w:val="000000"/>
              </w:rPr>
              <w:t>era</w:t>
            </w:r>
            <w:r w:rsidRPr="00B026E4">
              <w:rPr>
                <w:rFonts w:ascii="Times New Roman" w:eastAsia="Times New Roman" w:hAnsi="Times New Roman" w:cs="Times New Roman"/>
                <w:color w:val="000000"/>
              </w:rPr>
              <w:t>g</w:t>
            </w:r>
            <w:r>
              <w:rPr>
                <w:rFonts w:ascii="Times New Roman" w:eastAsia="Times New Roman" w:hAnsi="Times New Roman" w:cs="Times New Roman"/>
                <w:color w:val="000000"/>
              </w:rPr>
              <w:t>e</w:t>
            </w:r>
          </w:p>
        </w:tc>
        <w:tc>
          <w:tcPr>
            <w:tcW w:w="1980" w:type="dxa"/>
            <w:tcBorders>
              <w:top w:val="triple" w:sz="4" w:space="0" w:color="auto"/>
              <w:left w:val="single" w:sz="18" w:space="0" w:color="auto"/>
              <w:right w:val="single" w:sz="18" w:space="0" w:color="auto"/>
            </w:tcBorders>
            <w:noWrap/>
            <w:hideMark/>
          </w:tcPr>
          <w:p w14:paraId="6868A4B6" w14:textId="77777777" w:rsidR="008373AC" w:rsidRPr="00B026E4" w:rsidRDefault="008373AC" w:rsidP="00085430">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193</w:t>
            </w:r>
          </w:p>
        </w:tc>
        <w:tc>
          <w:tcPr>
            <w:tcW w:w="1890" w:type="dxa"/>
            <w:tcBorders>
              <w:top w:val="triple" w:sz="4" w:space="0" w:color="auto"/>
              <w:left w:val="single" w:sz="18" w:space="0" w:color="auto"/>
              <w:right w:val="single" w:sz="18" w:space="0" w:color="auto"/>
            </w:tcBorders>
            <w:noWrap/>
            <w:hideMark/>
          </w:tcPr>
          <w:p w14:paraId="1183B8FB" w14:textId="77777777" w:rsidR="008373AC" w:rsidRPr="00B026E4" w:rsidRDefault="008373AC" w:rsidP="00085430">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268</w:t>
            </w:r>
          </w:p>
        </w:tc>
      </w:tr>
      <w:tr w:rsidR="008373AC" w:rsidRPr="00537498" w14:paraId="11142F29" w14:textId="77777777" w:rsidTr="00296FEB">
        <w:trPr>
          <w:trHeight w:val="300"/>
          <w:jc w:val="center"/>
        </w:trPr>
        <w:tc>
          <w:tcPr>
            <w:tcW w:w="3978" w:type="dxa"/>
            <w:tcBorders>
              <w:right w:val="single" w:sz="18" w:space="0" w:color="auto"/>
            </w:tcBorders>
            <w:noWrap/>
            <w:hideMark/>
          </w:tcPr>
          <w:p w14:paraId="549DF585" w14:textId="77777777" w:rsidR="008373AC" w:rsidRPr="00B026E4" w:rsidRDefault="008373AC" w:rsidP="00085430">
            <w:pPr>
              <w:keepNext/>
              <w:keepLines/>
              <w:rPr>
                <w:rFonts w:ascii="Times New Roman" w:eastAsia="Times New Roman" w:hAnsi="Times New Roman" w:cs="Times New Roman"/>
                <w:color w:val="000000"/>
              </w:rPr>
            </w:pPr>
            <w:r w:rsidRPr="00B026E4">
              <w:rPr>
                <w:rFonts w:ascii="Times New Roman" w:eastAsia="Times New Roman" w:hAnsi="Times New Roman" w:cs="Times New Roman"/>
                <w:color w:val="000000"/>
              </w:rPr>
              <w:t>Median</w:t>
            </w:r>
          </w:p>
        </w:tc>
        <w:tc>
          <w:tcPr>
            <w:tcW w:w="1980" w:type="dxa"/>
            <w:tcBorders>
              <w:left w:val="single" w:sz="18" w:space="0" w:color="auto"/>
              <w:right w:val="single" w:sz="18" w:space="0" w:color="auto"/>
            </w:tcBorders>
            <w:noWrap/>
            <w:hideMark/>
          </w:tcPr>
          <w:p w14:paraId="4AE0CD5A" w14:textId="77777777" w:rsidR="008373AC" w:rsidRPr="00B026E4" w:rsidRDefault="008373AC" w:rsidP="00085430">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100</w:t>
            </w:r>
          </w:p>
        </w:tc>
        <w:tc>
          <w:tcPr>
            <w:tcW w:w="1890" w:type="dxa"/>
            <w:tcBorders>
              <w:left w:val="single" w:sz="18" w:space="0" w:color="auto"/>
              <w:right w:val="single" w:sz="18" w:space="0" w:color="auto"/>
            </w:tcBorders>
            <w:noWrap/>
            <w:hideMark/>
          </w:tcPr>
          <w:p w14:paraId="2D32CDF6" w14:textId="77777777" w:rsidR="008373AC" w:rsidRPr="00B026E4" w:rsidRDefault="008373AC" w:rsidP="00085430">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100</w:t>
            </w:r>
          </w:p>
        </w:tc>
      </w:tr>
    </w:tbl>
    <w:p w14:paraId="7ABE31CB" w14:textId="77777777" w:rsidR="008373AC" w:rsidRPr="00B026E4" w:rsidRDefault="008373AC" w:rsidP="008373AC">
      <w:pPr>
        <w:spacing w:line="480" w:lineRule="auto"/>
        <w:ind w:firstLine="720"/>
        <w:rPr>
          <w:rFonts w:ascii="Times New Roman" w:hAnsi="Times New Roman" w:cs="Times New Roman"/>
        </w:rPr>
      </w:pPr>
    </w:p>
    <w:p w14:paraId="5FB22BD6" w14:textId="624513DC" w:rsidR="006E5A7D" w:rsidRDefault="006E5A7D" w:rsidP="006E5A7D">
      <w:pPr>
        <w:spacing w:line="480" w:lineRule="auto"/>
        <w:ind w:firstLine="720"/>
        <w:rPr>
          <w:rFonts w:ascii="Times New Roman" w:hAnsi="Times New Roman" w:cs="Times New Roman"/>
        </w:rPr>
      </w:pPr>
      <w:r>
        <w:rPr>
          <w:rFonts w:ascii="Times New Roman" w:hAnsi="Times New Roman" w:cs="Times New Roman"/>
        </w:rPr>
        <w:t xml:space="preserve">Attorney compensation is another expense that a chapter 11 debtor incurs, albeit not a recurring monthly one. Attorney fees may play a role in whether individual debtors choose to file for relief under chapter 13 </w:t>
      </w:r>
      <w:r w:rsidR="00085430">
        <w:rPr>
          <w:rFonts w:ascii="Times New Roman" w:hAnsi="Times New Roman" w:cs="Times New Roman"/>
        </w:rPr>
        <w:t>rather than</w:t>
      </w:r>
      <w:r>
        <w:rPr>
          <w:rFonts w:ascii="Times New Roman" w:hAnsi="Times New Roman" w:cs="Times New Roman"/>
        </w:rPr>
        <w:t xml:space="preserve"> chapter 11. In order to compare chapter 13 and chapter 11 attorney fees, we coded information provided on </w:t>
      </w:r>
      <w:r w:rsidRPr="00995C17">
        <w:rPr>
          <w:rFonts w:ascii="Times New Roman" w:hAnsi="Times New Roman" w:cs="Times New Roman"/>
        </w:rPr>
        <w:t>the attorney</w:t>
      </w:r>
      <w:r>
        <w:rPr>
          <w:rFonts w:ascii="Times New Roman" w:hAnsi="Times New Roman" w:cs="Times New Roman"/>
        </w:rPr>
        <w:t>’s</w:t>
      </w:r>
      <w:r w:rsidR="00085430">
        <w:rPr>
          <w:rFonts w:ascii="Times New Roman" w:hAnsi="Times New Roman" w:cs="Times New Roman"/>
        </w:rPr>
        <w:t xml:space="preserve"> disclosure</w:t>
      </w:r>
      <w:r w:rsidRPr="00995C17">
        <w:rPr>
          <w:rFonts w:ascii="Times New Roman" w:hAnsi="Times New Roman" w:cs="Times New Roman"/>
        </w:rPr>
        <w:t xml:space="preserve"> of compensation </w:t>
      </w:r>
      <w:r>
        <w:rPr>
          <w:rFonts w:ascii="Times New Roman" w:hAnsi="Times New Roman" w:cs="Times New Roman"/>
        </w:rPr>
        <w:t xml:space="preserve">form filed at the outset of the case for </w:t>
      </w:r>
      <w:r w:rsidR="00CB5901">
        <w:rPr>
          <w:rFonts w:ascii="Times New Roman" w:hAnsi="Times New Roman" w:cs="Times New Roman"/>
        </w:rPr>
        <w:t>our</w:t>
      </w:r>
      <w:r>
        <w:rPr>
          <w:rFonts w:ascii="Times New Roman" w:hAnsi="Times New Roman" w:cs="Times New Roman"/>
        </w:rPr>
        <w:t xml:space="preserve"> </w:t>
      </w:r>
      <w:r w:rsidR="002512A8">
        <w:rPr>
          <w:rFonts w:ascii="Times New Roman" w:hAnsi="Times New Roman" w:cs="Times New Roman"/>
        </w:rPr>
        <w:t>debtors in the random sample.</w:t>
      </w:r>
      <w:r>
        <w:rPr>
          <w:rStyle w:val="FootnoteReference"/>
          <w:rFonts w:ascii="Times New Roman" w:hAnsi="Times New Roman" w:cs="Times New Roman"/>
        </w:rPr>
        <w:footnoteReference w:id="154"/>
      </w:r>
      <w:r>
        <w:rPr>
          <w:rFonts w:ascii="Times New Roman" w:hAnsi="Times New Roman" w:cs="Times New Roman"/>
        </w:rPr>
        <w:t xml:space="preserve"> </w:t>
      </w:r>
      <w:r w:rsidRPr="00995C17">
        <w:rPr>
          <w:rFonts w:ascii="Times New Roman" w:hAnsi="Times New Roman" w:cs="Times New Roman"/>
        </w:rPr>
        <w:t>These disclosures list the amount that the attorney has agreed to accept for legal services</w:t>
      </w:r>
      <w:r w:rsidR="002512A8">
        <w:rPr>
          <w:rFonts w:ascii="Times New Roman" w:hAnsi="Times New Roman" w:cs="Times New Roman"/>
        </w:rPr>
        <w:t>,</w:t>
      </w:r>
      <w:r w:rsidRPr="00995C17">
        <w:rPr>
          <w:rFonts w:ascii="Times New Roman" w:hAnsi="Times New Roman" w:cs="Times New Roman"/>
        </w:rPr>
        <w:t xml:space="preserve"> as well as the amount already received. Some attorneys agreed to receive an amount contingent on some other factor</w:t>
      </w:r>
      <w:r w:rsidR="002512A8">
        <w:rPr>
          <w:rFonts w:ascii="Times New Roman" w:hAnsi="Times New Roman" w:cs="Times New Roman"/>
        </w:rPr>
        <w:t>,</w:t>
      </w:r>
      <w:r w:rsidRPr="00995C17">
        <w:rPr>
          <w:rFonts w:ascii="Times New Roman" w:hAnsi="Times New Roman" w:cs="Times New Roman"/>
        </w:rPr>
        <w:t xml:space="preserve"> such as the number of hours they worked; we coded these </w:t>
      </w:r>
      <w:r>
        <w:rPr>
          <w:rFonts w:ascii="Times New Roman" w:hAnsi="Times New Roman" w:cs="Times New Roman"/>
        </w:rPr>
        <w:t xml:space="preserve">disclosures </w:t>
      </w:r>
      <w:r w:rsidRPr="00995C17">
        <w:rPr>
          <w:rFonts w:ascii="Times New Roman" w:hAnsi="Times New Roman" w:cs="Times New Roman"/>
        </w:rPr>
        <w:t xml:space="preserve">as </w:t>
      </w:r>
      <w:r>
        <w:rPr>
          <w:rFonts w:ascii="Times New Roman" w:hAnsi="Times New Roman" w:cs="Times New Roman"/>
        </w:rPr>
        <w:t>“</w:t>
      </w:r>
      <w:r w:rsidRPr="00995C17">
        <w:rPr>
          <w:rFonts w:ascii="Times New Roman" w:hAnsi="Times New Roman" w:cs="Times New Roman"/>
        </w:rPr>
        <w:t>unknown</w:t>
      </w:r>
      <w:r>
        <w:rPr>
          <w:rFonts w:ascii="Times New Roman" w:hAnsi="Times New Roman" w:cs="Times New Roman"/>
        </w:rPr>
        <w:t>”</w:t>
      </w:r>
      <w:r w:rsidRPr="00995C17">
        <w:rPr>
          <w:rFonts w:ascii="Times New Roman" w:hAnsi="Times New Roman" w:cs="Times New Roman"/>
        </w:rPr>
        <w:t xml:space="preserve"> or </w:t>
      </w:r>
      <w:r>
        <w:rPr>
          <w:rFonts w:ascii="Times New Roman" w:hAnsi="Times New Roman" w:cs="Times New Roman"/>
        </w:rPr>
        <w:t>“</w:t>
      </w:r>
      <w:r w:rsidRPr="00995C17">
        <w:rPr>
          <w:rFonts w:ascii="Times New Roman" w:hAnsi="Times New Roman" w:cs="Times New Roman"/>
        </w:rPr>
        <w:t>not available</w:t>
      </w:r>
      <w:r>
        <w:rPr>
          <w:rFonts w:ascii="Times New Roman" w:hAnsi="Times New Roman" w:cs="Times New Roman"/>
        </w:rPr>
        <w:t xml:space="preserve">.” We present our findings in Table </w:t>
      </w:r>
      <w:r w:rsidR="00EF781C">
        <w:rPr>
          <w:rFonts w:ascii="Times New Roman" w:hAnsi="Times New Roman" w:cs="Times New Roman"/>
        </w:rPr>
        <w:t>2</w:t>
      </w:r>
      <w:r w:rsidR="00296FEB">
        <w:rPr>
          <w:rFonts w:ascii="Times New Roman" w:hAnsi="Times New Roman" w:cs="Times New Roman"/>
        </w:rPr>
        <w:t>8</w:t>
      </w:r>
      <w:r>
        <w:rPr>
          <w:rFonts w:ascii="Times New Roman" w:hAnsi="Times New Roman" w:cs="Times New Roman"/>
        </w:rPr>
        <w:t xml:space="preserve">.   </w:t>
      </w:r>
    </w:p>
    <w:p w14:paraId="56664CF8" w14:textId="53D53868" w:rsidR="006E5A7D" w:rsidRDefault="006E5A7D" w:rsidP="006E5A7D">
      <w:pPr>
        <w:spacing w:line="480" w:lineRule="auto"/>
        <w:ind w:firstLine="720"/>
        <w:rPr>
          <w:rFonts w:ascii="Times New Roman" w:hAnsi="Times New Roman" w:cs="Times New Roman"/>
        </w:rPr>
      </w:pPr>
      <w:r w:rsidRPr="00995C17">
        <w:rPr>
          <w:rFonts w:ascii="Times New Roman" w:hAnsi="Times New Roman" w:cs="Times New Roman"/>
        </w:rPr>
        <w:t xml:space="preserve">Of those records we were able to use, the median agreed amount </w:t>
      </w:r>
      <w:r w:rsidR="00D3181D">
        <w:rPr>
          <w:rFonts w:ascii="Times New Roman" w:hAnsi="Times New Roman" w:cs="Times New Roman"/>
        </w:rPr>
        <w:t xml:space="preserve">in our random sample cases </w:t>
      </w:r>
      <w:r w:rsidRPr="00995C17">
        <w:rPr>
          <w:rFonts w:ascii="Times New Roman" w:hAnsi="Times New Roman" w:cs="Times New Roman"/>
        </w:rPr>
        <w:t>was around $10,000 in each year</w:t>
      </w:r>
      <w:r w:rsidR="001770C4">
        <w:rPr>
          <w:rFonts w:ascii="Times New Roman" w:hAnsi="Times New Roman" w:cs="Times New Roman"/>
        </w:rPr>
        <w:t xml:space="preserve">. </w:t>
      </w:r>
      <w:r w:rsidR="001770C4">
        <w:rPr>
          <w:rFonts w:ascii="Times New Roman" w:hAnsi="Times New Roman" w:cs="Times New Roman"/>
          <w:i/>
        </w:rPr>
        <w:t xml:space="preserve">See </w:t>
      </w:r>
      <w:r w:rsidR="001770C4">
        <w:rPr>
          <w:rFonts w:ascii="Times New Roman" w:hAnsi="Times New Roman" w:cs="Times New Roman"/>
        </w:rPr>
        <w:t xml:space="preserve">Column (B) of Table </w:t>
      </w:r>
      <w:r w:rsidR="00B35488">
        <w:rPr>
          <w:rFonts w:ascii="Times New Roman" w:hAnsi="Times New Roman" w:cs="Times New Roman"/>
        </w:rPr>
        <w:t>2</w:t>
      </w:r>
      <w:r w:rsidR="00296FEB">
        <w:rPr>
          <w:rFonts w:ascii="Times New Roman" w:hAnsi="Times New Roman" w:cs="Times New Roman"/>
        </w:rPr>
        <w:t>8</w:t>
      </w:r>
      <w:r w:rsidR="001770C4">
        <w:rPr>
          <w:rFonts w:ascii="Times New Roman" w:hAnsi="Times New Roman" w:cs="Times New Roman"/>
        </w:rPr>
        <w:t>. T</w:t>
      </w:r>
      <w:r>
        <w:rPr>
          <w:rFonts w:ascii="Times New Roman" w:hAnsi="Times New Roman" w:cs="Times New Roman"/>
        </w:rPr>
        <w:t xml:space="preserve">he median amount already received was $7,500 in 2013 and $8,363 in 2010. </w:t>
      </w:r>
      <w:r w:rsidR="001770C4">
        <w:rPr>
          <w:rFonts w:ascii="Times New Roman" w:hAnsi="Times New Roman" w:cs="Times New Roman"/>
          <w:i/>
        </w:rPr>
        <w:t xml:space="preserve">See </w:t>
      </w:r>
      <w:r w:rsidR="001770C4">
        <w:rPr>
          <w:rFonts w:ascii="Times New Roman" w:hAnsi="Times New Roman" w:cs="Times New Roman"/>
        </w:rPr>
        <w:t xml:space="preserve">Column (A) of Table </w:t>
      </w:r>
      <w:r w:rsidR="00B35488">
        <w:rPr>
          <w:rFonts w:ascii="Times New Roman" w:hAnsi="Times New Roman" w:cs="Times New Roman"/>
        </w:rPr>
        <w:t>2</w:t>
      </w:r>
      <w:r w:rsidR="00296FEB">
        <w:rPr>
          <w:rFonts w:ascii="Times New Roman" w:hAnsi="Times New Roman" w:cs="Times New Roman"/>
        </w:rPr>
        <w:t>8</w:t>
      </w:r>
      <w:r w:rsidR="001770C4">
        <w:rPr>
          <w:rFonts w:ascii="Times New Roman" w:hAnsi="Times New Roman" w:cs="Times New Roman"/>
        </w:rPr>
        <w:t xml:space="preserve">. </w:t>
      </w:r>
      <w:r w:rsidR="002512A8">
        <w:rPr>
          <w:rFonts w:ascii="Times New Roman" w:hAnsi="Times New Roman" w:cs="Times New Roman"/>
        </w:rPr>
        <w:t xml:space="preserve">By comparison, the median value for total fees in chapter 13 cases is around $2,500, though in some jurisdictions </w:t>
      </w:r>
      <w:r w:rsidR="00D3181D">
        <w:rPr>
          <w:rFonts w:ascii="Times New Roman" w:hAnsi="Times New Roman" w:cs="Times New Roman"/>
        </w:rPr>
        <w:t>total chapter 13 fees</w:t>
      </w:r>
      <w:r w:rsidR="002512A8">
        <w:rPr>
          <w:rFonts w:ascii="Times New Roman" w:hAnsi="Times New Roman" w:cs="Times New Roman"/>
        </w:rPr>
        <w:t xml:space="preserve"> </w:t>
      </w:r>
      <w:r w:rsidR="002512A8" w:rsidRPr="00537498">
        <w:rPr>
          <w:rFonts w:ascii="Times New Roman" w:hAnsi="Times New Roman" w:cs="Times New Roman"/>
        </w:rPr>
        <w:t>approach $5,000.</w:t>
      </w:r>
      <w:r w:rsidR="002512A8" w:rsidRPr="00537498">
        <w:rPr>
          <w:rStyle w:val="FootnoteReference"/>
          <w:rFonts w:ascii="Times New Roman" w:hAnsi="Times New Roman" w:cs="Times New Roman"/>
        </w:rPr>
        <w:footnoteReference w:id="155"/>
      </w:r>
      <w:r w:rsidR="002512A8">
        <w:rPr>
          <w:rFonts w:ascii="Times New Roman" w:hAnsi="Times New Roman" w:cs="Times New Roman"/>
        </w:rPr>
        <w:t xml:space="preserve"> </w:t>
      </w:r>
      <w:r w:rsidR="001770C4">
        <w:rPr>
          <w:rFonts w:ascii="Times New Roman" w:hAnsi="Times New Roman" w:cs="Times New Roman"/>
        </w:rPr>
        <w:t xml:space="preserve">Thus, </w:t>
      </w:r>
      <w:r w:rsidR="00085430">
        <w:rPr>
          <w:rFonts w:ascii="Times New Roman" w:hAnsi="Times New Roman" w:cs="Times New Roman"/>
        </w:rPr>
        <w:t>the data show that</w:t>
      </w:r>
      <w:r w:rsidR="001770C4">
        <w:rPr>
          <w:rFonts w:ascii="Times New Roman" w:hAnsi="Times New Roman" w:cs="Times New Roman"/>
        </w:rPr>
        <w:t xml:space="preserve"> filing for relief under chapter 11 is a far more expensive proposition for individual debtors than is filing for relief under chapter 13. </w:t>
      </w:r>
    </w:p>
    <w:p w14:paraId="2DA3BB48" w14:textId="3917D58B" w:rsidR="006E5A7D" w:rsidRPr="00995C17" w:rsidRDefault="006E5A7D" w:rsidP="00085430">
      <w:pPr>
        <w:keepNext/>
        <w:keepLines/>
        <w:spacing w:line="480" w:lineRule="auto"/>
        <w:ind w:firstLine="720"/>
        <w:jc w:val="center"/>
        <w:rPr>
          <w:rFonts w:ascii="Times New Roman" w:hAnsi="Times New Roman" w:cs="Times New Roman"/>
          <w:b/>
        </w:rPr>
      </w:pPr>
      <w:r w:rsidRPr="00995C17">
        <w:rPr>
          <w:rFonts w:ascii="Times New Roman" w:hAnsi="Times New Roman" w:cs="Times New Roman"/>
          <w:b/>
        </w:rPr>
        <w:t xml:space="preserve">Table </w:t>
      </w:r>
      <w:r w:rsidR="00B35488">
        <w:rPr>
          <w:rFonts w:ascii="Times New Roman" w:hAnsi="Times New Roman" w:cs="Times New Roman"/>
          <w:b/>
        </w:rPr>
        <w:t>2</w:t>
      </w:r>
      <w:r w:rsidR="00296FEB">
        <w:rPr>
          <w:rFonts w:ascii="Times New Roman" w:hAnsi="Times New Roman" w:cs="Times New Roman"/>
          <w:b/>
        </w:rPr>
        <w:t>8</w:t>
      </w:r>
      <w:r w:rsidRPr="00995C17">
        <w:rPr>
          <w:rFonts w:ascii="Times New Roman" w:hAnsi="Times New Roman" w:cs="Times New Roman"/>
          <w:b/>
        </w:rPr>
        <w:t>: Attorney Compensation</w:t>
      </w:r>
    </w:p>
    <w:tbl>
      <w:tblPr>
        <w:tblStyle w:val="TableGrid"/>
        <w:tblW w:w="0" w:type="auto"/>
        <w:tblLook w:val="04A0" w:firstRow="1" w:lastRow="0" w:firstColumn="1" w:lastColumn="0" w:noHBand="0" w:noVBand="1"/>
      </w:tblPr>
      <w:tblGrid>
        <w:gridCol w:w="2109"/>
        <w:gridCol w:w="1583"/>
        <w:gridCol w:w="1477"/>
        <w:gridCol w:w="1724"/>
        <w:gridCol w:w="1724"/>
      </w:tblGrid>
      <w:tr w:rsidR="006E5A7D" w14:paraId="08FBDB3F" w14:textId="77777777" w:rsidTr="00296FEB">
        <w:tc>
          <w:tcPr>
            <w:tcW w:w="2178" w:type="dxa"/>
            <w:vMerge w:val="restart"/>
            <w:tcBorders>
              <w:top w:val="nil"/>
              <w:left w:val="nil"/>
              <w:right w:val="single" w:sz="18" w:space="0" w:color="auto"/>
            </w:tcBorders>
          </w:tcPr>
          <w:p w14:paraId="7D54964A" w14:textId="77777777" w:rsidR="006E5A7D" w:rsidRDefault="006E5A7D" w:rsidP="00085430">
            <w:pPr>
              <w:keepNext/>
              <w:keepLines/>
              <w:rPr>
                <w:rFonts w:ascii="Times New Roman" w:hAnsi="Times New Roman" w:cs="Times New Roman"/>
                <w:sz w:val="18"/>
                <w:szCs w:val="18"/>
              </w:rPr>
            </w:pPr>
          </w:p>
        </w:tc>
        <w:tc>
          <w:tcPr>
            <w:tcW w:w="3135" w:type="dxa"/>
            <w:gridSpan w:val="2"/>
            <w:tcBorders>
              <w:top w:val="single" w:sz="18" w:space="0" w:color="auto"/>
              <w:left w:val="single" w:sz="18" w:space="0" w:color="auto"/>
              <w:bottom w:val="single" w:sz="18" w:space="0" w:color="auto"/>
              <w:right w:val="single" w:sz="18" w:space="0" w:color="auto"/>
            </w:tcBorders>
          </w:tcPr>
          <w:p w14:paraId="5C02D76D" w14:textId="77777777" w:rsidR="001770C4" w:rsidRDefault="001770C4" w:rsidP="00085430">
            <w:pPr>
              <w:keepNext/>
              <w:keepLines/>
              <w:jc w:val="center"/>
              <w:rPr>
                <w:rFonts w:ascii="Times New Roman" w:hAnsi="Times New Roman" w:cs="Times New Roman"/>
                <w:b/>
              </w:rPr>
            </w:pPr>
            <w:r>
              <w:rPr>
                <w:rFonts w:ascii="Times New Roman" w:hAnsi="Times New Roman" w:cs="Times New Roman"/>
                <w:b/>
              </w:rPr>
              <w:t>(A)</w:t>
            </w:r>
          </w:p>
          <w:p w14:paraId="31168C9F" w14:textId="77777777" w:rsidR="006E5A7D" w:rsidRPr="00995C17" w:rsidRDefault="006E5A7D" w:rsidP="00085430">
            <w:pPr>
              <w:keepNext/>
              <w:keepLines/>
              <w:jc w:val="center"/>
              <w:rPr>
                <w:rFonts w:ascii="Times New Roman" w:eastAsiaTheme="majorEastAsia" w:hAnsi="Times New Roman" w:cs="Times New Roman"/>
                <w:b/>
                <w:i/>
                <w:iCs/>
                <w:color w:val="404040" w:themeColor="text1" w:themeTint="BF"/>
                <w:sz w:val="20"/>
                <w:szCs w:val="20"/>
              </w:rPr>
            </w:pPr>
            <w:r w:rsidRPr="00995C17">
              <w:rPr>
                <w:rFonts w:ascii="Times New Roman" w:hAnsi="Times New Roman" w:cs="Times New Roman"/>
                <w:b/>
              </w:rPr>
              <w:t>Amount Received</w:t>
            </w:r>
          </w:p>
        </w:tc>
        <w:tc>
          <w:tcPr>
            <w:tcW w:w="3543" w:type="dxa"/>
            <w:gridSpan w:val="2"/>
            <w:tcBorders>
              <w:top w:val="single" w:sz="18" w:space="0" w:color="auto"/>
              <w:left w:val="single" w:sz="18" w:space="0" w:color="auto"/>
              <w:bottom w:val="single" w:sz="18" w:space="0" w:color="auto"/>
              <w:right w:val="single" w:sz="18" w:space="0" w:color="auto"/>
            </w:tcBorders>
          </w:tcPr>
          <w:p w14:paraId="09627F78" w14:textId="77777777" w:rsidR="001770C4" w:rsidRDefault="001770C4" w:rsidP="00085430">
            <w:pPr>
              <w:keepNext/>
              <w:keepLines/>
              <w:jc w:val="center"/>
              <w:rPr>
                <w:rFonts w:ascii="Times New Roman" w:hAnsi="Times New Roman" w:cs="Times New Roman"/>
                <w:b/>
              </w:rPr>
            </w:pPr>
            <w:r>
              <w:rPr>
                <w:rFonts w:ascii="Times New Roman" w:hAnsi="Times New Roman" w:cs="Times New Roman"/>
                <w:b/>
              </w:rPr>
              <w:t>(B)</w:t>
            </w:r>
          </w:p>
          <w:p w14:paraId="491D6D6D" w14:textId="77777777" w:rsidR="006E5A7D" w:rsidRPr="00995C17" w:rsidRDefault="006E5A7D" w:rsidP="00085430">
            <w:pPr>
              <w:keepNext/>
              <w:keepLines/>
              <w:jc w:val="center"/>
              <w:rPr>
                <w:rFonts w:ascii="Times New Roman" w:eastAsiaTheme="majorEastAsia" w:hAnsi="Times New Roman" w:cs="Times New Roman"/>
                <w:b/>
                <w:i/>
                <w:iCs/>
                <w:color w:val="404040" w:themeColor="text1" w:themeTint="BF"/>
                <w:sz w:val="20"/>
                <w:szCs w:val="20"/>
              </w:rPr>
            </w:pPr>
            <w:r w:rsidRPr="00995C17">
              <w:rPr>
                <w:rFonts w:ascii="Times New Roman" w:hAnsi="Times New Roman" w:cs="Times New Roman"/>
                <w:b/>
              </w:rPr>
              <w:t>Agreed Amount</w:t>
            </w:r>
          </w:p>
        </w:tc>
      </w:tr>
      <w:tr w:rsidR="006E5A7D" w14:paraId="2ECD01F4" w14:textId="77777777" w:rsidTr="00296FEB">
        <w:tc>
          <w:tcPr>
            <w:tcW w:w="2178" w:type="dxa"/>
            <w:vMerge/>
            <w:tcBorders>
              <w:left w:val="nil"/>
              <w:bottom w:val="single" w:sz="12" w:space="0" w:color="auto"/>
              <w:right w:val="single" w:sz="18" w:space="0" w:color="auto"/>
            </w:tcBorders>
          </w:tcPr>
          <w:p w14:paraId="4116C1E6" w14:textId="22C0C196" w:rsidR="006E5A7D" w:rsidRDefault="006E5A7D" w:rsidP="00085430">
            <w:pPr>
              <w:keepNext/>
              <w:keepLines/>
              <w:rPr>
                <w:rFonts w:ascii="Times New Roman" w:hAnsi="Times New Roman" w:cs="Times New Roman"/>
                <w:sz w:val="18"/>
                <w:szCs w:val="18"/>
              </w:rPr>
            </w:pPr>
          </w:p>
        </w:tc>
        <w:tc>
          <w:tcPr>
            <w:tcW w:w="1620" w:type="dxa"/>
            <w:tcBorders>
              <w:top w:val="single" w:sz="18" w:space="0" w:color="auto"/>
              <w:left w:val="single" w:sz="18" w:space="0" w:color="auto"/>
              <w:bottom w:val="single" w:sz="18" w:space="0" w:color="auto"/>
            </w:tcBorders>
          </w:tcPr>
          <w:p w14:paraId="21196F5F" w14:textId="77777777" w:rsidR="006E5A7D" w:rsidRPr="00995C17" w:rsidRDefault="006E5A7D" w:rsidP="00085430">
            <w:pPr>
              <w:keepNext/>
              <w:keepLines/>
              <w:jc w:val="center"/>
              <w:rPr>
                <w:rFonts w:ascii="Times New Roman" w:eastAsiaTheme="majorEastAsia" w:hAnsi="Times New Roman" w:cs="Times New Roman"/>
                <w:b/>
                <w:i/>
                <w:iCs/>
                <w:color w:val="404040" w:themeColor="text1" w:themeTint="BF"/>
                <w:sz w:val="20"/>
                <w:szCs w:val="20"/>
              </w:rPr>
            </w:pPr>
            <w:r w:rsidRPr="00995C17">
              <w:rPr>
                <w:rFonts w:ascii="Times New Roman" w:hAnsi="Times New Roman" w:cs="Times New Roman"/>
                <w:b/>
              </w:rPr>
              <w:t>2010</w:t>
            </w:r>
          </w:p>
        </w:tc>
        <w:tc>
          <w:tcPr>
            <w:tcW w:w="1515" w:type="dxa"/>
            <w:tcBorders>
              <w:top w:val="single" w:sz="18" w:space="0" w:color="auto"/>
              <w:bottom w:val="single" w:sz="18" w:space="0" w:color="auto"/>
              <w:right w:val="single" w:sz="18" w:space="0" w:color="auto"/>
            </w:tcBorders>
          </w:tcPr>
          <w:p w14:paraId="67D248AE" w14:textId="77777777" w:rsidR="006E5A7D" w:rsidRPr="00995C17" w:rsidRDefault="006E5A7D" w:rsidP="00085430">
            <w:pPr>
              <w:keepNext/>
              <w:keepLines/>
              <w:jc w:val="center"/>
              <w:rPr>
                <w:rFonts w:ascii="Times New Roman" w:eastAsiaTheme="majorEastAsia" w:hAnsi="Times New Roman" w:cs="Times New Roman"/>
                <w:b/>
                <w:i/>
                <w:iCs/>
                <w:color w:val="404040" w:themeColor="text1" w:themeTint="BF"/>
                <w:sz w:val="20"/>
                <w:szCs w:val="20"/>
              </w:rPr>
            </w:pPr>
            <w:r w:rsidRPr="00995C17">
              <w:rPr>
                <w:rFonts w:ascii="Times New Roman" w:hAnsi="Times New Roman" w:cs="Times New Roman"/>
                <w:b/>
              </w:rPr>
              <w:t>2013</w:t>
            </w:r>
          </w:p>
        </w:tc>
        <w:tc>
          <w:tcPr>
            <w:tcW w:w="1771" w:type="dxa"/>
            <w:tcBorders>
              <w:top w:val="single" w:sz="18" w:space="0" w:color="auto"/>
              <w:left w:val="single" w:sz="18" w:space="0" w:color="auto"/>
              <w:bottom w:val="single" w:sz="18" w:space="0" w:color="auto"/>
            </w:tcBorders>
          </w:tcPr>
          <w:p w14:paraId="093B2BC2" w14:textId="77777777" w:rsidR="006E5A7D" w:rsidRPr="00995C17" w:rsidRDefault="006E5A7D" w:rsidP="00085430">
            <w:pPr>
              <w:keepNext/>
              <w:keepLines/>
              <w:jc w:val="center"/>
              <w:rPr>
                <w:rFonts w:ascii="Times New Roman" w:eastAsiaTheme="majorEastAsia" w:hAnsi="Times New Roman" w:cs="Times New Roman"/>
                <w:b/>
                <w:i/>
                <w:iCs/>
                <w:color w:val="404040" w:themeColor="text1" w:themeTint="BF"/>
                <w:sz w:val="20"/>
                <w:szCs w:val="20"/>
              </w:rPr>
            </w:pPr>
            <w:r w:rsidRPr="00995C17">
              <w:rPr>
                <w:rFonts w:ascii="Times New Roman" w:hAnsi="Times New Roman" w:cs="Times New Roman"/>
                <w:b/>
              </w:rPr>
              <w:t>2010</w:t>
            </w:r>
          </w:p>
        </w:tc>
        <w:tc>
          <w:tcPr>
            <w:tcW w:w="1772" w:type="dxa"/>
            <w:tcBorders>
              <w:top w:val="single" w:sz="18" w:space="0" w:color="auto"/>
              <w:bottom w:val="single" w:sz="18" w:space="0" w:color="auto"/>
              <w:right w:val="single" w:sz="18" w:space="0" w:color="auto"/>
            </w:tcBorders>
          </w:tcPr>
          <w:p w14:paraId="3E0A5E36" w14:textId="77777777" w:rsidR="006E5A7D" w:rsidRPr="00995C17" w:rsidRDefault="006E5A7D" w:rsidP="00085430">
            <w:pPr>
              <w:keepNext/>
              <w:keepLines/>
              <w:jc w:val="center"/>
              <w:rPr>
                <w:rFonts w:ascii="Times New Roman" w:eastAsiaTheme="majorEastAsia" w:hAnsi="Times New Roman" w:cs="Times New Roman"/>
                <w:b/>
                <w:i/>
                <w:iCs/>
                <w:color w:val="404040" w:themeColor="text1" w:themeTint="BF"/>
                <w:sz w:val="20"/>
                <w:szCs w:val="20"/>
              </w:rPr>
            </w:pPr>
            <w:r w:rsidRPr="00995C17">
              <w:rPr>
                <w:rFonts w:ascii="Times New Roman" w:hAnsi="Times New Roman" w:cs="Times New Roman"/>
                <w:b/>
              </w:rPr>
              <w:t>2013</w:t>
            </w:r>
          </w:p>
        </w:tc>
      </w:tr>
      <w:tr w:rsidR="006E5A7D" w14:paraId="506EF657" w14:textId="77777777" w:rsidTr="00296FEB">
        <w:tc>
          <w:tcPr>
            <w:tcW w:w="2178" w:type="dxa"/>
            <w:tcBorders>
              <w:top w:val="single" w:sz="12" w:space="0" w:color="auto"/>
              <w:right w:val="single" w:sz="18" w:space="0" w:color="auto"/>
            </w:tcBorders>
            <w:vAlign w:val="bottom"/>
          </w:tcPr>
          <w:p w14:paraId="09D0BA4C" w14:textId="77777777" w:rsidR="006E5A7D" w:rsidRDefault="006E5A7D" w:rsidP="00085430">
            <w:pPr>
              <w:keepNext/>
              <w:keepLines/>
              <w:rPr>
                <w:rFonts w:ascii="Times New Roman" w:eastAsiaTheme="majorEastAsia" w:hAnsi="Times New Roman" w:cs="Times New Roman"/>
                <w:color w:val="404040" w:themeColor="text1" w:themeTint="BF"/>
                <w:sz w:val="20"/>
                <w:szCs w:val="20"/>
              </w:rPr>
            </w:pPr>
            <w:r>
              <w:rPr>
                <w:rFonts w:ascii="Times New Roman" w:eastAsia="Times New Roman" w:hAnsi="Times New Roman" w:cs="Times New Roman"/>
                <w:color w:val="000000"/>
              </w:rPr>
              <w:t>$</w:t>
            </w:r>
            <w:r w:rsidRPr="00537498">
              <w:rPr>
                <w:rFonts w:ascii="Times New Roman" w:eastAsia="Times New Roman" w:hAnsi="Times New Roman" w:cs="Times New Roman"/>
                <w:color w:val="000000"/>
              </w:rPr>
              <w:t xml:space="preserve">100K to </w:t>
            </w:r>
            <w:r>
              <w:rPr>
                <w:rFonts w:ascii="Times New Roman" w:eastAsia="Times New Roman" w:hAnsi="Times New Roman" w:cs="Times New Roman"/>
                <w:color w:val="000000"/>
              </w:rPr>
              <w:t>$</w:t>
            </w:r>
            <w:r w:rsidRPr="00537498">
              <w:rPr>
                <w:rFonts w:ascii="Times New Roman" w:eastAsia="Times New Roman" w:hAnsi="Times New Roman" w:cs="Times New Roman"/>
                <w:color w:val="000000"/>
              </w:rPr>
              <w:t>200K</w:t>
            </w:r>
          </w:p>
        </w:tc>
        <w:tc>
          <w:tcPr>
            <w:tcW w:w="1620" w:type="dxa"/>
            <w:tcBorders>
              <w:top w:val="single" w:sz="18" w:space="0" w:color="auto"/>
              <w:left w:val="single" w:sz="18" w:space="0" w:color="auto"/>
            </w:tcBorders>
          </w:tcPr>
          <w:p w14:paraId="2787A21E"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1.8%</w:t>
            </w:r>
          </w:p>
        </w:tc>
        <w:tc>
          <w:tcPr>
            <w:tcW w:w="1515" w:type="dxa"/>
            <w:tcBorders>
              <w:top w:val="single" w:sz="18" w:space="0" w:color="auto"/>
              <w:right w:val="single" w:sz="18" w:space="0" w:color="auto"/>
            </w:tcBorders>
          </w:tcPr>
          <w:p w14:paraId="19632EB2"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0.0%</w:t>
            </w:r>
          </w:p>
        </w:tc>
        <w:tc>
          <w:tcPr>
            <w:tcW w:w="1771" w:type="dxa"/>
            <w:tcBorders>
              <w:top w:val="single" w:sz="18" w:space="0" w:color="auto"/>
              <w:left w:val="single" w:sz="18" w:space="0" w:color="auto"/>
            </w:tcBorders>
          </w:tcPr>
          <w:p w14:paraId="0D031552"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933FD2">
              <w:rPr>
                <w:rFonts w:ascii="Times New Roman" w:eastAsia="Times New Roman" w:hAnsi="Times New Roman" w:cs="Times New Roman"/>
                <w:color w:val="000000"/>
              </w:rPr>
              <w:t>1.8%</w:t>
            </w:r>
          </w:p>
        </w:tc>
        <w:tc>
          <w:tcPr>
            <w:tcW w:w="1772" w:type="dxa"/>
            <w:tcBorders>
              <w:top w:val="single" w:sz="18" w:space="0" w:color="auto"/>
              <w:right w:val="single" w:sz="18" w:space="0" w:color="auto"/>
            </w:tcBorders>
          </w:tcPr>
          <w:p w14:paraId="4A55962C"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0.9%</w:t>
            </w:r>
          </w:p>
        </w:tc>
      </w:tr>
      <w:tr w:rsidR="006E5A7D" w14:paraId="28769B2E" w14:textId="77777777" w:rsidTr="00296FEB">
        <w:tc>
          <w:tcPr>
            <w:tcW w:w="2178" w:type="dxa"/>
            <w:tcBorders>
              <w:right w:val="single" w:sz="18" w:space="0" w:color="auto"/>
            </w:tcBorders>
            <w:vAlign w:val="bottom"/>
          </w:tcPr>
          <w:p w14:paraId="4BED5813" w14:textId="77777777" w:rsidR="006E5A7D" w:rsidRDefault="006E5A7D" w:rsidP="00085430">
            <w:pPr>
              <w:keepNext/>
              <w:keepLines/>
              <w:rPr>
                <w:rFonts w:ascii="Times New Roman" w:eastAsiaTheme="majorEastAsia" w:hAnsi="Times New Roman" w:cs="Times New Roman"/>
                <w:color w:val="404040" w:themeColor="text1" w:themeTint="BF"/>
                <w:sz w:val="20"/>
                <w:szCs w:val="20"/>
              </w:rPr>
            </w:pPr>
            <w:r>
              <w:rPr>
                <w:rFonts w:ascii="Times New Roman" w:eastAsia="Times New Roman" w:hAnsi="Times New Roman" w:cs="Times New Roman"/>
                <w:color w:val="000000"/>
              </w:rPr>
              <w:t>$</w:t>
            </w:r>
            <w:r w:rsidRPr="00537498">
              <w:rPr>
                <w:rFonts w:ascii="Times New Roman" w:eastAsia="Times New Roman" w:hAnsi="Times New Roman" w:cs="Times New Roman"/>
                <w:color w:val="000000"/>
              </w:rPr>
              <w:t xml:space="preserve">25K to </w:t>
            </w:r>
            <w:r>
              <w:rPr>
                <w:rFonts w:ascii="Times New Roman" w:eastAsia="Times New Roman" w:hAnsi="Times New Roman" w:cs="Times New Roman"/>
                <w:color w:val="000000"/>
              </w:rPr>
              <w:t>$</w:t>
            </w:r>
            <w:r w:rsidRPr="00537498">
              <w:rPr>
                <w:rFonts w:ascii="Times New Roman" w:eastAsia="Times New Roman" w:hAnsi="Times New Roman" w:cs="Times New Roman"/>
                <w:color w:val="000000"/>
              </w:rPr>
              <w:t>100K</w:t>
            </w:r>
          </w:p>
        </w:tc>
        <w:tc>
          <w:tcPr>
            <w:tcW w:w="1620" w:type="dxa"/>
            <w:tcBorders>
              <w:left w:val="single" w:sz="18" w:space="0" w:color="auto"/>
            </w:tcBorders>
          </w:tcPr>
          <w:p w14:paraId="6B589D07"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8.</w:t>
            </w:r>
            <w:r>
              <w:rPr>
                <w:rFonts w:ascii="Times New Roman" w:eastAsia="Times New Roman" w:hAnsi="Times New Roman" w:cs="Times New Roman"/>
                <w:color w:val="000000"/>
              </w:rPr>
              <w:t>3</w:t>
            </w:r>
            <w:r w:rsidRPr="00537498">
              <w:rPr>
                <w:rFonts w:ascii="Times New Roman" w:eastAsia="Times New Roman" w:hAnsi="Times New Roman" w:cs="Times New Roman"/>
                <w:color w:val="000000"/>
              </w:rPr>
              <w:t>%</w:t>
            </w:r>
          </w:p>
        </w:tc>
        <w:tc>
          <w:tcPr>
            <w:tcW w:w="1515" w:type="dxa"/>
            <w:tcBorders>
              <w:right w:val="single" w:sz="18" w:space="0" w:color="auto"/>
            </w:tcBorders>
          </w:tcPr>
          <w:p w14:paraId="418D045D"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2.6%</w:t>
            </w:r>
          </w:p>
        </w:tc>
        <w:tc>
          <w:tcPr>
            <w:tcW w:w="1771" w:type="dxa"/>
            <w:tcBorders>
              <w:left w:val="single" w:sz="18" w:space="0" w:color="auto"/>
            </w:tcBorders>
          </w:tcPr>
          <w:p w14:paraId="59ED3023"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933FD2">
              <w:rPr>
                <w:rFonts w:ascii="Times New Roman" w:eastAsia="Times New Roman" w:hAnsi="Times New Roman" w:cs="Times New Roman"/>
                <w:color w:val="000000"/>
              </w:rPr>
              <w:t>4.</w:t>
            </w:r>
            <w:r>
              <w:rPr>
                <w:rFonts w:ascii="Times New Roman" w:eastAsia="Times New Roman" w:hAnsi="Times New Roman" w:cs="Times New Roman"/>
                <w:color w:val="000000"/>
              </w:rPr>
              <w:t>6</w:t>
            </w:r>
            <w:r w:rsidRPr="00933FD2">
              <w:rPr>
                <w:rFonts w:ascii="Times New Roman" w:eastAsia="Times New Roman" w:hAnsi="Times New Roman" w:cs="Times New Roman"/>
                <w:color w:val="000000"/>
              </w:rPr>
              <w:t>%</w:t>
            </w:r>
          </w:p>
        </w:tc>
        <w:tc>
          <w:tcPr>
            <w:tcW w:w="1772" w:type="dxa"/>
            <w:tcBorders>
              <w:right w:val="single" w:sz="18" w:space="0" w:color="auto"/>
            </w:tcBorders>
          </w:tcPr>
          <w:p w14:paraId="7B5C8C12"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5.3%</w:t>
            </w:r>
          </w:p>
        </w:tc>
      </w:tr>
      <w:tr w:rsidR="006E5A7D" w14:paraId="1BF23559" w14:textId="77777777" w:rsidTr="00296FEB">
        <w:tc>
          <w:tcPr>
            <w:tcW w:w="2178" w:type="dxa"/>
            <w:tcBorders>
              <w:right w:val="single" w:sz="18" w:space="0" w:color="auto"/>
            </w:tcBorders>
            <w:vAlign w:val="bottom"/>
          </w:tcPr>
          <w:p w14:paraId="692C0B4D" w14:textId="77777777" w:rsidR="006E5A7D" w:rsidRDefault="006E5A7D" w:rsidP="00085430">
            <w:pPr>
              <w:keepNext/>
              <w:keepLines/>
              <w:rPr>
                <w:rFonts w:ascii="Times New Roman" w:eastAsiaTheme="majorEastAsia" w:hAnsi="Times New Roman" w:cs="Times New Roman"/>
                <w:color w:val="404040" w:themeColor="text1" w:themeTint="BF"/>
                <w:sz w:val="20"/>
                <w:szCs w:val="20"/>
              </w:rPr>
            </w:pPr>
            <w:r>
              <w:rPr>
                <w:rFonts w:ascii="Times New Roman" w:eastAsia="Times New Roman" w:hAnsi="Times New Roman" w:cs="Times New Roman"/>
                <w:color w:val="000000"/>
              </w:rPr>
              <w:t>$</w:t>
            </w:r>
            <w:r w:rsidRPr="00537498">
              <w:rPr>
                <w:rFonts w:ascii="Times New Roman" w:eastAsia="Times New Roman" w:hAnsi="Times New Roman" w:cs="Times New Roman"/>
                <w:color w:val="000000"/>
              </w:rPr>
              <w:t xml:space="preserve">10K to </w:t>
            </w:r>
            <w:r>
              <w:rPr>
                <w:rFonts w:ascii="Times New Roman" w:eastAsia="Times New Roman" w:hAnsi="Times New Roman" w:cs="Times New Roman"/>
                <w:color w:val="000000"/>
              </w:rPr>
              <w:t>$</w:t>
            </w:r>
            <w:r w:rsidRPr="00537498">
              <w:rPr>
                <w:rFonts w:ascii="Times New Roman" w:eastAsia="Times New Roman" w:hAnsi="Times New Roman" w:cs="Times New Roman"/>
                <w:color w:val="000000"/>
              </w:rPr>
              <w:t>25K</w:t>
            </w:r>
          </w:p>
        </w:tc>
        <w:tc>
          <w:tcPr>
            <w:tcW w:w="1620" w:type="dxa"/>
            <w:tcBorders>
              <w:left w:val="single" w:sz="18" w:space="0" w:color="auto"/>
            </w:tcBorders>
          </w:tcPr>
          <w:p w14:paraId="59BA6FC6" w14:textId="77777777" w:rsidR="006E5A7D" w:rsidRDefault="006E5A7D" w:rsidP="00085430">
            <w:pPr>
              <w:keepNext/>
              <w:keepLines/>
              <w:jc w:val="right"/>
              <w:rPr>
                <w:rFonts w:ascii="Times New Roman" w:hAnsi="Times New Roman" w:cs="Times New Roman"/>
              </w:rPr>
            </w:pPr>
            <w:r>
              <w:rPr>
                <w:rFonts w:ascii="Times New Roman" w:eastAsia="Times New Roman" w:hAnsi="Times New Roman" w:cs="Times New Roman"/>
                <w:color w:val="000000"/>
              </w:rPr>
              <w:t>20.2</w:t>
            </w:r>
            <w:r w:rsidRPr="00537498">
              <w:rPr>
                <w:rFonts w:ascii="Times New Roman" w:eastAsia="Times New Roman" w:hAnsi="Times New Roman" w:cs="Times New Roman"/>
                <w:color w:val="000000"/>
              </w:rPr>
              <w:t>%</w:t>
            </w:r>
          </w:p>
        </w:tc>
        <w:tc>
          <w:tcPr>
            <w:tcW w:w="1515" w:type="dxa"/>
            <w:tcBorders>
              <w:right w:val="single" w:sz="18" w:space="0" w:color="auto"/>
            </w:tcBorders>
          </w:tcPr>
          <w:p w14:paraId="605EE0DC"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26.3%</w:t>
            </w:r>
          </w:p>
        </w:tc>
        <w:tc>
          <w:tcPr>
            <w:tcW w:w="1771" w:type="dxa"/>
            <w:tcBorders>
              <w:left w:val="single" w:sz="18" w:space="0" w:color="auto"/>
            </w:tcBorders>
          </w:tcPr>
          <w:p w14:paraId="32E54146"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933FD2">
              <w:rPr>
                <w:rFonts w:ascii="Times New Roman" w:eastAsia="Times New Roman" w:hAnsi="Times New Roman" w:cs="Times New Roman"/>
                <w:color w:val="000000"/>
              </w:rPr>
              <w:t>2</w:t>
            </w:r>
            <w:r>
              <w:rPr>
                <w:rFonts w:ascii="Times New Roman" w:eastAsia="Times New Roman" w:hAnsi="Times New Roman" w:cs="Times New Roman"/>
                <w:color w:val="000000"/>
              </w:rPr>
              <w:t>1</w:t>
            </w:r>
            <w:r w:rsidRPr="00933FD2">
              <w:rPr>
                <w:rFonts w:ascii="Times New Roman" w:eastAsia="Times New Roman" w:hAnsi="Times New Roman" w:cs="Times New Roman"/>
                <w:color w:val="000000"/>
              </w:rPr>
              <w:t>.</w:t>
            </w:r>
            <w:r>
              <w:rPr>
                <w:rFonts w:ascii="Times New Roman" w:eastAsia="Times New Roman" w:hAnsi="Times New Roman" w:cs="Times New Roman"/>
                <w:color w:val="000000"/>
              </w:rPr>
              <w:t>1</w:t>
            </w:r>
            <w:r w:rsidRPr="00933FD2">
              <w:rPr>
                <w:rFonts w:ascii="Times New Roman" w:eastAsia="Times New Roman" w:hAnsi="Times New Roman" w:cs="Times New Roman"/>
                <w:color w:val="000000"/>
              </w:rPr>
              <w:t>%</w:t>
            </w:r>
          </w:p>
        </w:tc>
        <w:tc>
          <w:tcPr>
            <w:tcW w:w="1772" w:type="dxa"/>
            <w:tcBorders>
              <w:right w:val="single" w:sz="18" w:space="0" w:color="auto"/>
            </w:tcBorders>
          </w:tcPr>
          <w:p w14:paraId="2005DCBE"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21.1%</w:t>
            </w:r>
          </w:p>
        </w:tc>
      </w:tr>
      <w:tr w:rsidR="006E5A7D" w14:paraId="6F146836" w14:textId="77777777" w:rsidTr="00296FEB">
        <w:tc>
          <w:tcPr>
            <w:tcW w:w="2178" w:type="dxa"/>
            <w:tcBorders>
              <w:right w:val="single" w:sz="18" w:space="0" w:color="auto"/>
            </w:tcBorders>
            <w:vAlign w:val="bottom"/>
          </w:tcPr>
          <w:p w14:paraId="35F56662" w14:textId="77777777" w:rsidR="006E5A7D" w:rsidRDefault="006E5A7D" w:rsidP="00085430">
            <w:pPr>
              <w:keepNext/>
              <w:keepLines/>
              <w:rPr>
                <w:rFonts w:ascii="Times New Roman" w:eastAsiaTheme="majorEastAsia" w:hAnsi="Times New Roman" w:cs="Times New Roman"/>
                <w:color w:val="404040" w:themeColor="text1" w:themeTint="BF"/>
                <w:sz w:val="20"/>
                <w:szCs w:val="20"/>
              </w:rPr>
            </w:pPr>
            <w:r>
              <w:rPr>
                <w:rFonts w:ascii="Times New Roman" w:eastAsia="Times New Roman" w:hAnsi="Times New Roman" w:cs="Times New Roman"/>
                <w:color w:val="000000"/>
              </w:rPr>
              <w:t>$</w:t>
            </w:r>
            <w:r w:rsidRPr="00537498">
              <w:rPr>
                <w:rFonts w:ascii="Times New Roman" w:eastAsia="Times New Roman" w:hAnsi="Times New Roman" w:cs="Times New Roman"/>
                <w:color w:val="000000"/>
              </w:rPr>
              <w:t xml:space="preserve">5K to </w:t>
            </w:r>
            <w:r>
              <w:rPr>
                <w:rFonts w:ascii="Times New Roman" w:eastAsia="Times New Roman" w:hAnsi="Times New Roman" w:cs="Times New Roman"/>
                <w:color w:val="000000"/>
              </w:rPr>
              <w:t>$</w:t>
            </w:r>
            <w:r w:rsidRPr="00537498">
              <w:rPr>
                <w:rFonts w:ascii="Times New Roman" w:eastAsia="Times New Roman" w:hAnsi="Times New Roman" w:cs="Times New Roman"/>
                <w:color w:val="000000"/>
              </w:rPr>
              <w:t>10K</w:t>
            </w:r>
          </w:p>
        </w:tc>
        <w:tc>
          <w:tcPr>
            <w:tcW w:w="1620" w:type="dxa"/>
            <w:tcBorders>
              <w:left w:val="single" w:sz="18" w:space="0" w:color="auto"/>
            </w:tcBorders>
          </w:tcPr>
          <w:p w14:paraId="22658948"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2</w:t>
            </w:r>
            <w:r>
              <w:rPr>
                <w:rFonts w:ascii="Times New Roman" w:eastAsia="Times New Roman" w:hAnsi="Times New Roman" w:cs="Times New Roman"/>
                <w:color w:val="000000"/>
              </w:rPr>
              <w:t>0.2</w:t>
            </w:r>
            <w:r w:rsidRPr="00537498">
              <w:rPr>
                <w:rFonts w:ascii="Times New Roman" w:eastAsia="Times New Roman" w:hAnsi="Times New Roman" w:cs="Times New Roman"/>
                <w:color w:val="000000"/>
              </w:rPr>
              <w:t>%</w:t>
            </w:r>
          </w:p>
        </w:tc>
        <w:tc>
          <w:tcPr>
            <w:tcW w:w="1515" w:type="dxa"/>
            <w:tcBorders>
              <w:right w:val="single" w:sz="18" w:space="0" w:color="auto"/>
            </w:tcBorders>
          </w:tcPr>
          <w:p w14:paraId="2C50542B"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23.7%</w:t>
            </w:r>
          </w:p>
        </w:tc>
        <w:tc>
          <w:tcPr>
            <w:tcW w:w="1771" w:type="dxa"/>
            <w:tcBorders>
              <w:left w:val="single" w:sz="18" w:space="0" w:color="auto"/>
            </w:tcBorders>
          </w:tcPr>
          <w:p w14:paraId="20B9B443"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933FD2">
              <w:rPr>
                <w:rFonts w:ascii="Times New Roman" w:eastAsia="Times New Roman" w:hAnsi="Times New Roman" w:cs="Times New Roman"/>
                <w:color w:val="000000"/>
              </w:rPr>
              <w:t>1</w:t>
            </w:r>
            <w:r>
              <w:rPr>
                <w:rFonts w:ascii="Times New Roman" w:eastAsia="Times New Roman" w:hAnsi="Times New Roman" w:cs="Times New Roman"/>
                <w:color w:val="000000"/>
              </w:rPr>
              <w:t>8</w:t>
            </w:r>
            <w:r w:rsidRPr="00933FD2">
              <w:rPr>
                <w:rFonts w:ascii="Times New Roman" w:eastAsia="Times New Roman" w:hAnsi="Times New Roman" w:cs="Times New Roman"/>
                <w:color w:val="000000"/>
              </w:rPr>
              <w:t>.</w:t>
            </w:r>
            <w:r>
              <w:rPr>
                <w:rFonts w:ascii="Times New Roman" w:eastAsia="Times New Roman" w:hAnsi="Times New Roman" w:cs="Times New Roman"/>
                <w:color w:val="000000"/>
              </w:rPr>
              <w:t>3</w:t>
            </w:r>
            <w:r w:rsidRPr="00933FD2">
              <w:rPr>
                <w:rFonts w:ascii="Times New Roman" w:eastAsia="Times New Roman" w:hAnsi="Times New Roman" w:cs="Times New Roman"/>
                <w:color w:val="000000"/>
              </w:rPr>
              <w:t>%</w:t>
            </w:r>
          </w:p>
        </w:tc>
        <w:tc>
          <w:tcPr>
            <w:tcW w:w="1772" w:type="dxa"/>
            <w:tcBorders>
              <w:right w:val="single" w:sz="18" w:space="0" w:color="auto"/>
            </w:tcBorders>
          </w:tcPr>
          <w:p w14:paraId="0F45427D"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15.8%</w:t>
            </w:r>
          </w:p>
        </w:tc>
      </w:tr>
      <w:tr w:rsidR="006E5A7D" w14:paraId="2074665C" w14:textId="77777777" w:rsidTr="00296FEB">
        <w:tc>
          <w:tcPr>
            <w:tcW w:w="2178" w:type="dxa"/>
            <w:tcBorders>
              <w:right w:val="single" w:sz="18" w:space="0" w:color="auto"/>
            </w:tcBorders>
            <w:vAlign w:val="bottom"/>
          </w:tcPr>
          <w:p w14:paraId="7CEEBF4C" w14:textId="77777777" w:rsidR="006E5A7D" w:rsidRDefault="006E5A7D" w:rsidP="00085430">
            <w:pPr>
              <w:keepNext/>
              <w:keepLines/>
              <w:rPr>
                <w:rFonts w:ascii="Times New Roman" w:eastAsiaTheme="majorEastAsia" w:hAnsi="Times New Roman" w:cs="Times New Roman"/>
                <w:color w:val="404040" w:themeColor="text1" w:themeTint="BF"/>
                <w:sz w:val="20"/>
                <w:szCs w:val="20"/>
              </w:rPr>
            </w:pPr>
            <w:r>
              <w:rPr>
                <w:rFonts w:ascii="Times New Roman" w:eastAsia="Times New Roman" w:hAnsi="Times New Roman" w:cs="Times New Roman"/>
                <w:color w:val="000000"/>
              </w:rPr>
              <w:t>$</w:t>
            </w:r>
            <w:r w:rsidRPr="00537498">
              <w:rPr>
                <w:rFonts w:ascii="Times New Roman" w:eastAsia="Times New Roman" w:hAnsi="Times New Roman" w:cs="Times New Roman"/>
                <w:color w:val="000000"/>
              </w:rPr>
              <w:t xml:space="preserve">2K to </w:t>
            </w:r>
            <w:r>
              <w:rPr>
                <w:rFonts w:ascii="Times New Roman" w:eastAsia="Times New Roman" w:hAnsi="Times New Roman" w:cs="Times New Roman"/>
                <w:color w:val="000000"/>
              </w:rPr>
              <w:t>$</w:t>
            </w:r>
            <w:r w:rsidRPr="00537498">
              <w:rPr>
                <w:rFonts w:ascii="Times New Roman" w:eastAsia="Times New Roman" w:hAnsi="Times New Roman" w:cs="Times New Roman"/>
                <w:color w:val="000000"/>
              </w:rPr>
              <w:t>5K</w:t>
            </w:r>
          </w:p>
        </w:tc>
        <w:tc>
          <w:tcPr>
            <w:tcW w:w="1620" w:type="dxa"/>
            <w:tcBorders>
              <w:left w:val="single" w:sz="18" w:space="0" w:color="auto"/>
            </w:tcBorders>
          </w:tcPr>
          <w:p w14:paraId="6E2DC529"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1</w:t>
            </w:r>
            <w:r>
              <w:rPr>
                <w:rFonts w:ascii="Times New Roman" w:eastAsia="Times New Roman" w:hAnsi="Times New Roman" w:cs="Times New Roman"/>
                <w:color w:val="000000"/>
              </w:rPr>
              <w:t>9.3</w:t>
            </w:r>
            <w:r w:rsidRPr="00537498">
              <w:rPr>
                <w:rFonts w:ascii="Times New Roman" w:eastAsia="Times New Roman" w:hAnsi="Times New Roman" w:cs="Times New Roman"/>
                <w:color w:val="000000"/>
              </w:rPr>
              <w:t>%</w:t>
            </w:r>
          </w:p>
        </w:tc>
        <w:tc>
          <w:tcPr>
            <w:tcW w:w="1515" w:type="dxa"/>
            <w:tcBorders>
              <w:right w:val="single" w:sz="18" w:space="0" w:color="auto"/>
            </w:tcBorders>
          </w:tcPr>
          <w:p w14:paraId="6CF1AE27"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15.8%</w:t>
            </w:r>
          </w:p>
        </w:tc>
        <w:tc>
          <w:tcPr>
            <w:tcW w:w="1771" w:type="dxa"/>
            <w:tcBorders>
              <w:left w:val="single" w:sz="18" w:space="0" w:color="auto"/>
            </w:tcBorders>
          </w:tcPr>
          <w:p w14:paraId="0EB2FC8A"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933FD2">
              <w:rPr>
                <w:rFonts w:ascii="Times New Roman" w:eastAsia="Times New Roman" w:hAnsi="Times New Roman" w:cs="Times New Roman"/>
                <w:color w:val="000000"/>
              </w:rPr>
              <w:t>16.</w:t>
            </w:r>
            <w:r>
              <w:rPr>
                <w:rFonts w:ascii="Times New Roman" w:eastAsia="Times New Roman" w:hAnsi="Times New Roman" w:cs="Times New Roman"/>
                <w:color w:val="000000"/>
              </w:rPr>
              <w:t>5</w:t>
            </w:r>
            <w:r w:rsidRPr="00933FD2">
              <w:rPr>
                <w:rFonts w:ascii="Times New Roman" w:eastAsia="Times New Roman" w:hAnsi="Times New Roman" w:cs="Times New Roman"/>
                <w:color w:val="000000"/>
              </w:rPr>
              <w:t>%</w:t>
            </w:r>
          </w:p>
        </w:tc>
        <w:tc>
          <w:tcPr>
            <w:tcW w:w="1772" w:type="dxa"/>
            <w:tcBorders>
              <w:right w:val="single" w:sz="18" w:space="0" w:color="auto"/>
            </w:tcBorders>
          </w:tcPr>
          <w:p w14:paraId="038F030B"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7.9%</w:t>
            </w:r>
          </w:p>
        </w:tc>
      </w:tr>
      <w:tr w:rsidR="006E5A7D" w14:paraId="657FFF35" w14:textId="77777777" w:rsidTr="00296FEB">
        <w:tc>
          <w:tcPr>
            <w:tcW w:w="2178" w:type="dxa"/>
            <w:tcBorders>
              <w:right w:val="single" w:sz="18" w:space="0" w:color="auto"/>
            </w:tcBorders>
            <w:vAlign w:val="bottom"/>
          </w:tcPr>
          <w:p w14:paraId="2C879517" w14:textId="77777777" w:rsidR="006E5A7D" w:rsidRDefault="006E5A7D" w:rsidP="00085430">
            <w:pPr>
              <w:keepNext/>
              <w:keepLines/>
              <w:rPr>
                <w:rFonts w:ascii="Times New Roman" w:eastAsiaTheme="majorEastAsia" w:hAnsi="Times New Roman" w:cs="Times New Roman"/>
                <w:color w:val="404040" w:themeColor="text1" w:themeTint="BF"/>
                <w:sz w:val="20"/>
                <w:szCs w:val="20"/>
              </w:rPr>
            </w:pPr>
            <w:r>
              <w:rPr>
                <w:rFonts w:ascii="Times New Roman" w:eastAsia="Times New Roman" w:hAnsi="Times New Roman" w:cs="Times New Roman"/>
                <w:color w:val="000000"/>
              </w:rPr>
              <w:t>$</w:t>
            </w:r>
            <w:r w:rsidRPr="00537498">
              <w:rPr>
                <w:rFonts w:ascii="Times New Roman" w:eastAsia="Times New Roman" w:hAnsi="Times New Roman" w:cs="Times New Roman"/>
                <w:color w:val="000000"/>
              </w:rPr>
              <w:t xml:space="preserve">1 to </w:t>
            </w:r>
            <w:r>
              <w:rPr>
                <w:rFonts w:ascii="Times New Roman" w:eastAsia="Times New Roman" w:hAnsi="Times New Roman" w:cs="Times New Roman"/>
                <w:color w:val="000000"/>
              </w:rPr>
              <w:t>$</w:t>
            </w:r>
            <w:r w:rsidRPr="00537498">
              <w:rPr>
                <w:rFonts w:ascii="Times New Roman" w:eastAsia="Times New Roman" w:hAnsi="Times New Roman" w:cs="Times New Roman"/>
                <w:color w:val="000000"/>
              </w:rPr>
              <w:t>2K</w:t>
            </w:r>
          </w:p>
        </w:tc>
        <w:tc>
          <w:tcPr>
            <w:tcW w:w="1620" w:type="dxa"/>
            <w:tcBorders>
              <w:left w:val="single" w:sz="18" w:space="0" w:color="auto"/>
            </w:tcBorders>
          </w:tcPr>
          <w:p w14:paraId="686F59A3"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6.</w:t>
            </w:r>
            <w:r>
              <w:rPr>
                <w:rFonts w:ascii="Times New Roman" w:eastAsia="Times New Roman" w:hAnsi="Times New Roman" w:cs="Times New Roman"/>
                <w:color w:val="000000"/>
              </w:rPr>
              <w:t>4</w:t>
            </w:r>
            <w:r w:rsidRPr="00537498">
              <w:rPr>
                <w:rFonts w:ascii="Times New Roman" w:eastAsia="Times New Roman" w:hAnsi="Times New Roman" w:cs="Times New Roman"/>
                <w:color w:val="000000"/>
              </w:rPr>
              <w:t>%</w:t>
            </w:r>
          </w:p>
        </w:tc>
        <w:tc>
          <w:tcPr>
            <w:tcW w:w="1515" w:type="dxa"/>
            <w:tcBorders>
              <w:right w:val="single" w:sz="18" w:space="0" w:color="auto"/>
            </w:tcBorders>
          </w:tcPr>
          <w:p w14:paraId="12CEAA98"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6.1%</w:t>
            </w:r>
          </w:p>
        </w:tc>
        <w:tc>
          <w:tcPr>
            <w:tcW w:w="1771" w:type="dxa"/>
            <w:tcBorders>
              <w:left w:val="single" w:sz="18" w:space="0" w:color="auto"/>
            </w:tcBorders>
          </w:tcPr>
          <w:p w14:paraId="1D733DAC"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933FD2">
              <w:rPr>
                <w:rFonts w:ascii="Times New Roman" w:eastAsia="Times New Roman" w:hAnsi="Times New Roman" w:cs="Times New Roman"/>
                <w:color w:val="000000"/>
              </w:rPr>
              <w:t>2.</w:t>
            </w:r>
            <w:r>
              <w:rPr>
                <w:rFonts w:ascii="Times New Roman" w:eastAsia="Times New Roman" w:hAnsi="Times New Roman" w:cs="Times New Roman"/>
                <w:color w:val="000000"/>
              </w:rPr>
              <w:t>8</w:t>
            </w:r>
            <w:r w:rsidRPr="00933FD2">
              <w:rPr>
                <w:rFonts w:ascii="Times New Roman" w:eastAsia="Times New Roman" w:hAnsi="Times New Roman" w:cs="Times New Roman"/>
                <w:color w:val="000000"/>
              </w:rPr>
              <w:t>%</w:t>
            </w:r>
          </w:p>
        </w:tc>
        <w:tc>
          <w:tcPr>
            <w:tcW w:w="1772" w:type="dxa"/>
            <w:tcBorders>
              <w:right w:val="single" w:sz="18" w:space="0" w:color="auto"/>
            </w:tcBorders>
          </w:tcPr>
          <w:p w14:paraId="6911A8A7"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0.9%</w:t>
            </w:r>
          </w:p>
        </w:tc>
      </w:tr>
      <w:tr w:rsidR="006E5A7D" w14:paraId="019A35A3" w14:textId="77777777" w:rsidTr="00296FEB">
        <w:tc>
          <w:tcPr>
            <w:tcW w:w="2178" w:type="dxa"/>
            <w:tcBorders>
              <w:right w:val="single" w:sz="18" w:space="0" w:color="auto"/>
            </w:tcBorders>
            <w:vAlign w:val="bottom"/>
          </w:tcPr>
          <w:p w14:paraId="7A6E8DB6" w14:textId="77777777" w:rsidR="006E5A7D" w:rsidRDefault="006E5A7D" w:rsidP="00085430">
            <w:pPr>
              <w:keepNext/>
              <w:keepLines/>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0</w:t>
            </w:r>
          </w:p>
        </w:tc>
        <w:tc>
          <w:tcPr>
            <w:tcW w:w="1620" w:type="dxa"/>
            <w:tcBorders>
              <w:left w:val="single" w:sz="18" w:space="0" w:color="auto"/>
            </w:tcBorders>
          </w:tcPr>
          <w:p w14:paraId="7E3F69D0"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4.</w:t>
            </w:r>
            <w:r>
              <w:rPr>
                <w:rFonts w:ascii="Times New Roman" w:eastAsia="Times New Roman" w:hAnsi="Times New Roman" w:cs="Times New Roman"/>
                <w:color w:val="000000"/>
              </w:rPr>
              <w:t>6</w:t>
            </w:r>
            <w:r w:rsidRPr="00537498">
              <w:rPr>
                <w:rFonts w:ascii="Times New Roman" w:eastAsia="Times New Roman" w:hAnsi="Times New Roman" w:cs="Times New Roman"/>
                <w:color w:val="000000"/>
              </w:rPr>
              <w:t>%</w:t>
            </w:r>
          </w:p>
        </w:tc>
        <w:tc>
          <w:tcPr>
            <w:tcW w:w="1515" w:type="dxa"/>
            <w:tcBorders>
              <w:right w:val="single" w:sz="18" w:space="0" w:color="auto"/>
            </w:tcBorders>
          </w:tcPr>
          <w:p w14:paraId="61CB4393"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5.3%</w:t>
            </w:r>
          </w:p>
        </w:tc>
        <w:tc>
          <w:tcPr>
            <w:tcW w:w="1771" w:type="dxa"/>
            <w:tcBorders>
              <w:left w:val="single" w:sz="18" w:space="0" w:color="auto"/>
            </w:tcBorders>
          </w:tcPr>
          <w:p w14:paraId="4DEC57B6"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933FD2">
              <w:rPr>
                <w:rFonts w:ascii="Times New Roman" w:eastAsia="Times New Roman" w:hAnsi="Times New Roman" w:cs="Times New Roman"/>
                <w:color w:val="000000"/>
              </w:rPr>
              <w:t>0.9%</w:t>
            </w:r>
          </w:p>
        </w:tc>
        <w:tc>
          <w:tcPr>
            <w:tcW w:w="1772" w:type="dxa"/>
            <w:tcBorders>
              <w:right w:val="single" w:sz="18" w:space="0" w:color="auto"/>
            </w:tcBorders>
          </w:tcPr>
          <w:p w14:paraId="7EEDBDE0"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1.8%</w:t>
            </w:r>
          </w:p>
        </w:tc>
      </w:tr>
      <w:tr w:rsidR="006E5A7D" w14:paraId="49ADD093" w14:textId="77777777" w:rsidTr="00296FEB">
        <w:tc>
          <w:tcPr>
            <w:tcW w:w="2178" w:type="dxa"/>
            <w:tcBorders>
              <w:bottom w:val="triple" w:sz="4" w:space="0" w:color="auto"/>
              <w:right w:val="single" w:sz="18" w:space="0" w:color="auto"/>
            </w:tcBorders>
            <w:vAlign w:val="bottom"/>
          </w:tcPr>
          <w:p w14:paraId="14085A0D" w14:textId="77777777" w:rsidR="006E5A7D" w:rsidRDefault="006E5A7D" w:rsidP="00085430">
            <w:pPr>
              <w:keepNext/>
              <w:keepLines/>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n/a</w:t>
            </w:r>
            <w:r>
              <w:rPr>
                <w:rFonts w:ascii="Times New Roman" w:eastAsia="Times New Roman" w:hAnsi="Times New Roman" w:cs="Times New Roman"/>
                <w:color w:val="000000"/>
              </w:rPr>
              <w:t xml:space="preserve"> or Pro Se</w:t>
            </w:r>
          </w:p>
        </w:tc>
        <w:tc>
          <w:tcPr>
            <w:tcW w:w="1620" w:type="dxa"/>
            <w:tcBorders>
              <w:left w:val="single" w:sz="18" w:space="0" w:color="auto"/>
              <w:bottom w:val="triple" w:sz="4" w:space="0" w:color="auto"/>
            </w:tcBorders>
          </w:tcPr>
          <w:p w14:paraId="1F73622B"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1</w:t>
            </w:r>
            <w:r>
              <w:rPr>
                <w:rFonts w:ascii="Times New Roman" w:eastAsia="Times New Roman" w:hAnsi="Times New Roman" w:cs="Times New Roman"/>
                <w:color w:val="000000"/>
              </w:rPr>
              <w:t>9.3</w:t>
            </w:r>
            <w:r w:rsidRPr="00537498">
              <w:rPr>
                <w:rFonts w:ascii="Times New Roman" w:eastAsia="Times New Roman" w:hAnsi="Times New Roman" w:cs="Times New Roman"/>
                <w:color w:val="000000"/>
              </w:rPr>
              <w:t>%</w:t>
            </w:r>
          </w:p>
        </w:tc>
        <w:tc>
          <w:tcPr>
            <w:tcW w:w="1515" w:type="dxa"/>
            <w:tcBorders>
              <w:bottom w:val="triple" w:sz="4" w:space="0" w:color="auto"/>
              <w:right w:val="single" w:sz="18" w:space="0" w:color="auto"/>
            </w:tcBorders>
          </w:tcPr>
          <w:p w14:paraId="2889C881" w14:textId="77777777" w:rsidR="006E5A7D" w:rsidRDefault="006E5A7D" w:rsidP="00085430">
            <w:pPr>
              <w:keepNext/>
              <w:keepLines/>
              <w:jc w:val="right"/>
              <w:rPr>
                <w:rFonts w:ascii="Times New Roman" w:hAnsi="Times New Roman" w:cs="Times New Roman"/>
              </w:rPr>
            </w:pPr>
            <w:r>
              <w:rPr>
                <w:rFonts w:ascii="Times New Roman" w:eastAsia="Times New Roman" w:hAnsi="Times New Roman" w:cs="Times New Roman"/>
                <w:color w:val="000000"/>
              </w:rPr>
              <w:t>20.2</w:t>
            </w:r>
            <w:r w:rsidRPr="00537498">
              <w:rPr>
                <w:rFonts w:ascii="Times New Roman" w:eastAsia="Times New Roman" w:hAnsi="Times New Roman" w:cs="Times New Roman"/>
                <w:color w:val="000000"/>
              </w:rPr>
              <w:t>%</w:t>
            </w:r>
          </w:p>
        </w:tc>
        <w:tc>
          <w:tcPr>
            <w:tcW w:w="1771" w:type="dxa"/>
            <w:tcBorders>
              <w:left w:val="single" w:sz="18" w:space="0" w:color="auto"/>
              <w:bottom w:val="triple" w:sz="4" w:space="0" w:color="auto"/>
            </w:tcBorders>
          </w:tcPr>
          <w:p w14:paraId="48DDB386"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933FD2">
              <w:rPr>
                <w:rFonts w:ascii="Times New Roman" w:eastAsia="Times New Roman" w:hAnsi="Times New Roman" w:cs="Times New Roman"/>
                <w:color w:val="000000"/>
              </w:rPr>
              <w:t>3</w:t>
            </w:r>
            <w:r>
              <w:rPr>
                <w:rFonts w:ascii="Times New Roman" w:eastAsia="Times New Roman" w:hAnsi="Times New Roman" w:cs="Times New Roman"/>
                <w:color w:val="000000"/>
              </w:rPr>
              <w:t>3</w:t>
            </w:r>
            <w:r w:rsidRPr="00933FD2">
              <w:rPr>
                <w:rFonts w:ascii="Times New Roman" w:eastAsia="Times New Roman" w:hAnsi="Times New Roman" w:cs="Times New Roman"/>
                <w:color w:val="000000"/>
              </w:rPr>
              <w:t>.</w:t>
            </w:r>
            <w:r>
              <w:rPr>
                <w:rFonts w:ascii="Times New Roman" w:eastAsia="Times New Roman" w:hAnsi="Times New Roman" w:cs="Times New Roman"/>
                <w:color w:val="000000"/>
              </w:rPr>
              <w:t>9</w:t>
            </w:r>
            <w:r w:rsidRPr="00933FD2">
              <w:rPr>
                <w:rFonts w:ascii="Times New Roman" w:eastAsia="Times New Roman" w:hAnsi="Times New Roman" w:cs="Times New Roman"/>
                <w:color w:val="000000"/>
              </w:rPr>
              <w:t>%</w:t>
            </w:r>
          </w:p>
        </w:tc>
        <w:tc>
          <w:tcPr>
            <w:tcW w:w="1772" w:type="dxa"/>
            <w:tcBorders>
              <w:bottom w:val="triple" w:sz="4" w:space="0" w:color="auto"/>
              <w:right w:val="single" w:sz="18" w:space="0" w:color="auto"/>
            </w:tcBorders>
          </w:tcPr>
          <w:p w14:paraId="7C3CF5C7" w14:textId="77777777" w:rsidR="006E5A7D" w:rsidRDefault="006E5A7D" w:rsidP="00085430">
            <w:pPr>
              <w:keepNext/>
              <w:keepLines/>
              <w:jc w:val="right"/>
              <w:rPr>
                <w:rFonts w:ascii="Times New Roman" w:hAnsi="Times New Roman" w:cs="Times New Roman"/>
              </w:rPr>
            </w:pPr>
            <w:r>
              <w:rPr>
                <w:rFonts w:ascii="Times New Roman" w:eastAsia="Times New Roman" w:hAnsi="Times New Roman" w:cs="Times New Roman"/>
                <w:color w:val="000000"/>
              </w:rPr>
              <w:t>4</w:t>
            </w:r>
            <w:r w:rsidRPr="00537498">
              <w:rPr>
                <w:rFonts w:ascii="Times New Roman" w:eastAsia="Times New Roman" w:hAnsi="Times New Roman" w:cs="Times New Roman"/>
                <w:color w:val="000000"/>
              </w:rPr>
              <w:t>6.</w:t>
            </w:r>
            <w:r>
              <w:rPr>
                <w:rFonts w:ascii="Times New Roman" w:eastAsia="Times New Roman" w:hAnsi="Times New Roman" w:cs="Times New Roman"/>
                <w:color w:val="000000"/>
              </w:rPr>
              <w:t>5</w:t>
            </w:r>
            <w:r w:rsidRPr="00537498">
              <w:rPr>
                <w:rFonts w:ascii="Times New Roman" w:eastAsia="Times New Roman" w:hAnsi="Times New Roman" w:cs="Times New Roman"/>
                <w:color w:val="000000"/>
              </w:rPr>
              <w:t>%</w:t>
            </w:r>
          </w:p>
        </w:tc>
      </w:tr>
      <w:tr w:rsidR="006E5A7D" w14:paraId="5CBC0383" w14:textId="77777777" w:rsidTr="00296FEB">
        <w:tc>
          <w:tcPr>
            <w:tcW w:w="2178" w:type="dxa"/>
            <w:tcBorders>
              <w:top w:val="triple" w:sz="4" w:space="0" w:color="auto"/>
              <w:bottom w:val="triple" w:sz="4" w:space="0" w:color="auto"/>
              <w:right w:val="single" w:sz="18" w:space="0" w:color="auto"/>
            </w:tcBorders>
            <w:vAlign w:val="bottom"/>
          </w:tcPr>
          <w:p w14:paraId="2C2765DB" w14:textId="77777777" w:rsidR="006E5A7D" w:rsidRPr="00537498" w:rsidRDefault="006E5A7D" w:rsidP="00085430">
            <w:pPr>
              <w:keepNext/>
              <w:keepLines/>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Maximum</w:t>
            </w:r>
          </w:p>
        </w:tc>
        <w:tc>
          <w:tcPr>
            <w:tcW w:w="1620" w:type="dxa"/>
            <w:tcBorders>
              <w:top w:val="triple" w:sz="4" w:space="0" w:color="auto"/>
              <w:left w:val="single" w:sz="18" w:space="0" w:color="auto"/>
              <w:bottom w:val="triple" w:sz="4" w:space="0" w:color="auto"/>
            </w:tcBorders>
          </w:tcPr>
          <w:p w14:paraId="7E7B3CD9"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$180,000</w:t>
            </w:r>
          </w:p>
        </w:tc>
        <w:tc>
          <w:tcPr>
            <w:tcW w:w="1515" w:type="dxa"/>
            <w:tcBorders>
              <w:top w:val="triple" w:sz="4" w:space="0" w:color="auto"/>
              <w:bottom w:val="triple" w:sz="4" w:space="0" w:color="auto"/>
              <w:right w:val="single" w:sz="18" w:space="0" w:color="auto"/>
            </w:tcBorders>
          </w:tcPr>
          <w:p w14:paraId="58DA5D2C"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$50,000</w:t>
            </w:r>
          </w:p>
        </w:tc>
        <w:tc>
          <w:tcPr>
            <w:tcW w:w="1771" w:type="dxa"/>
            <w:tcBorders>
              <w:top w:val="triple" w:sz="4" w:space="0" w:color="auto"/>
              <w:left w:val="single" w:sz="18" w:space="0" w:color="auto"/>
              <w:bottom w:val="triple" w:sz="4" w:space="0" w:color="auto"/>
            </w:tcBorders>
          </w:tcPr>
          <w:p w14:paraId="4C354311"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933FD2">
              <w:rPr>
                <w:rFonts w:ascii="Times New Roman" w:eastAsia="Times New Roman" w:hAnsi="Times New Roman" w:cs="Times New Roman"/>
                <w:color w:val="000000"/>
              </w:rPr>
              <w:t>$180,000</w:t>
            </w:r>
          </w:p>
        </w:tc>
        <w:tc>
          <w:tcPr>
            <w:tcW w:w="1772" w:type="dxa"/>
            <w:tcBorders>
              <w:top w:val="triple" w:sz="4" w:space="0" w:color="auto"/>
              <w:bottom w:val="triple" w:sz="4" w:space="0" w:color="auto"/>
              <w:right w:val="single" w:sz="18" w:space="0" w:color="auto"/>
            </w:tcBorders>
          </w:tcPr>
          <w:p w14:paraId="325AB419"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$101,424</w:t>
            </w:r>
          </w:p>
        </w:tc>
      </w:tr>
      <w:tr w:rsidR="006E5A7D" w14:paraId="3D6C8909" w14:textId="77777777" w:rsidTr="00296FEB">
        <w:tc>
          <w:tcPr>
            <w:tcW w:w="2178" w:type="dxa"/>
            <w:tcBorders>
              <w:top w:val="triple" w:sz="4" w:space="0" w:color="auto"/>
              <w:right w:val="single" w:sz="18" w:space="0" w:color="auto"/>
            </w:tcBorders>
            <w:vAlign w:val="bottom"/>
          </w:tcPr>
          <w:p w14:paraId="33DFB007" w14:textId="77777777" w:rsidR="006E5A7D" w:rsidRDefault="006E5A7D" w:rsidP="00085430">
            <w:pPr>
              <w:keepNext/>
              <w:keepLines/>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Av</w:t>
            </w:r>
            <w:r>
              <w:rPr>
                <w:rFonts w:ascii="Times New Roman" w:eastAsia="Times New Roman" w:hAnsi="Times New Roman" w:cs="Times New Roman"/>
                <w:color w:val="000000"/>
              </w:rPr>
              <w:t>era</w:t>
            </w:r>
            <w:r w:rsidRPr="00537498">
              <w:rPr>
                <w:rFonts w:ascii="Times New Roman" w:eastAsia="Times New Roman" w:hAnsi="Times New Roman" w:cs="Times New Roman"/>
                <w:color w:val="000000"/>
              </w:rPr>
              <w:t>g</w:t>
            </w:r>
            <w:r>
              <w:rPr>
                <w:rFonts w:ascii="Times New Roman" w:eastAsia="Times New Roman" w:hAnsi="Times New Roman" w:cs="Times New Roman"/>
                <w:color w:val="000000"/>
              </w:rPr>
              <w:t>e</w:t>
            </w:r>
          </w:p>
        </w:tc>
        <w:tc>
          <w:tcPr>
            <w:tcW w:w="1620" w:type="dxa"/>
            <w:tcBorders>
              <w:top w:val="triple" w:sz="4" w:space="0" w:color="auto"/>
              <w:left w:val="single" w:sz="18" w:space="0" w:color="auto"/>
            </w:tcBorders>
          </w:tcPr>
          <w:p w14:paraId="2770C48D"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$15,</w:t>
            </w:r>
            <w:r>
              <w:rPr>
                <w:rFonts w:ascii="Times New Roman" w:eastAsia="Times New Roman" w:hAnsi="Times New Roman" w:cs="Times New Roman"/>
                <w:color w:val="000000"/>
              </w:rPr>
              <w:t>801</w:t>
            </w:r>
          </w:p>
        </w:tc>
        <w:tc>
          <w:tcPr>
            <w:tcW w:w="1515" w:type="dxa"/>
            <w:tcBorders>
              <w:top w:val="triple" w:sz="4" w:space="0" w:color="auto"/>
              <w:right w:val="single" w:sz="18" w:space="0" w:color="auto"/>
            </w:tcBorders>
          </w:tcPr>
          <w:p w14:paraId="2C311E0E"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$9,855</w:t>
            </w:r>
          </w:p>
        </w:tc>
        <w:tc>
          <w:tcPr>
            <w:tcW w:w="1771" w:type="dxa"/>
            <w:tcBorders>
              <w:top w:val="triple" w:sz="4" w:space="0" w:color="auto"/>
              <w:left w:val="single" w:sz="18" w:space="0" w:color="auto"/>
            </w:tcBorders>
          </w:tcPr>
          <w:p w14:paraId="735AC7D7"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933FD2">
              <w:rPr>
                <w:rFonts w:ascii="Times New Roman" w:eastAsia="Times New Roman" w:hAnsi="Times New Roman" w:cs="Times New Roman"/>
                <w:color w:val="000000"/>
              </w:rPr>
              <w:t>$16,</w:t>
            </w:r>
            <w:r>
              <w:rPr>
                <w:rFonts w:ascii="Times New Roman" w:eastAsia="Times New Roman" w:hAnsi="Times New Roman" w:cs="Times New Roman"/>
                <w:color w:val="000000"/>
              </w:rPr>
              <w:t>588</w:t>
            </w:r>
          </w:p>
        </w:tc>
        <w:tc>
          <w:tcPr>
            <w:tcW w:w="1772" w:type="dxa"/>
            <w:tcBorders>
              <w:top w:val="triple" w:sz="4" w:space="0" w:color="auto"/>
              <w:right w:val="single" w:sz="18" w:space="0" w:color="auto"/>
            </w:tcBorders>
          </w:tcPr>
          <w:p w14:paraId="7CB16B41"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$14,653</w:t>
            </w:r>
          </w:p>
        </w:tc>
      </w:tr>
      <w:tr w:rsidR="006E5A7D" w14:paraId="4A6D42C9" w14:textId="77777777" w:rsidTr="00296FEB">
        <w:tc>
          <w:tcPr>
            <w:tcW w:w="2178" w:type="dxa"/>
            <w:tcBorders>
              <w:right w:val="single" w:sz="18" w:space="0" w:color="auto"/>
            </w:tcBorders>
            <w:vAlign w:val="bottom"/>
          </w:tcPr>
          <w:p w14:paraId="07D1F1D1" w14:textId="77777777" w:rsidR="006E5A7D" w:rsidRDefault="006E5A7D" w:rsidP="00085430">
            <w:pPr>
              <w:keepNext/>
              <w:keepLines/>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Median</w:t>
            </w:r>
          </w:p>
        </w:tc>
        <w:tc>
          <w:tcPr>
            <w:tcW w:w="1620" w:type="dxa"/>
            <w:tcBorders>
              <w:left w:val="single" w:sz="18" w:space="0" w:color="auto"/>
            </w:tcBorders>
          </w:tcPr>
          <w:p w14:paraId="1C36A6B6"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$8,363</w:t>
            </w:r>
          </w:p>
        </w:tc>
        <w:tc>
          <w:tcPr>
            <w:tcW w:w="1515" w:type="dxa"/>
            <w:tcBorders>
              <w:right w:val="single" w:sz="18" w:space="0" w:color="auto"/>
            </w:tcBorders>
          </w:tcPr>
          <w:p w14:paraId="77A6480A"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$7,500</w:t>
            </w:r>
          </w:p>
        </w:tc>
        <w:tc>
          <w:tcPr>
            <w:tcW w:w="1771" w:type="dxa"/>
            <w:tcBorders>
              <w:left w:val="single" w:sz="18" w:space="0" w:color="auto"/>
            </w:tcBorders>
          </w:tcPr>
          <w:p w14:paraId="4126A31D"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933FD2">
              <w:rPr>
                <w:rFonts w:ascii="Times New Roman" w:eastAsia="Times New Roman" w:hAnsi="Times New Roman" w:cs="Times New Roman"/>
                <w:color w:val="000000"/>
              </w:rPr>
              <w:t>$10,000</w:t>
            </w:r>
          </w:p>
        </w:tc>
        <w:tc>
          <w:tcPr>
            <w:tcW w:w="1772" w:type="dxa"/>
            <w:tcBorders>
              <w:right w:val="single" w:sz="18" w:space="0" w:color="auto"/>
            </w:tcBorders>
          </w:tcPr>
          <w:p w14:paraId="024C7691" w14:textId="77777777" w:rsidR="006E5A7D" w:rsidRDefault="006E5A7D" w:rsidP="00085430">
            <w:pPr>
              <w:keepNext/>
              <w:keepLines/>
              <w:jc w:val="right"/>
              <w:rPr>
                <w:rFonts w:ascii="Times New Roman" w:eastAsiaTheme="majorEastAsia" w:hAnsi="Times New Roman" w:cs="Times New Roman"/>
                <w:color w:val="404040" w:themeColor="text1" w:themeTint="BF"/>
                <w:sz w:val="20"/>
                <w:szCs w:val="20"/>
              </w:rPr>
            </w:pPr>
            <w:r w:rsidRPr="00537498">
              <w:rPr>
                <w:rFonts w:ascii="Times New Roman" w:eastAsia="Times New Roman" w:hAnsi="Times New Roman" w:cs="Times New Roman"/>
                <w:color w:val="000000"/>
              </w:rPr>
              <w:t>$10,287</w:t>
            </w:r>
          </w:p>
        </w:tc>
      </w:tr>
    </w:tbl>
    <w:p w14:paraId="5CA7F602" w14:textId="77777777" w:rsidR="006E5A7D" w:rsidRPr="00995C17" w:rsidRDefault="006E5A7D" w:rsidP="006E5A7D">
      <w:pPr>
        <w:spacing w:line="480" w:lineRule="auto"/>
        <w:ind w:firstLine="720"/>
        <w:rPr>
          <w:rFonts w:ascii="Times New Roman" w:hAnsi="Times New Roman" w:cs="Times New Roman"/>
          <w:i/>
        </w:rPr>
      </w:pPr>
    </w:p>
    <w:p w14:paraId="0AA21F76" w14:textId="1E041BAE" w:rsidR="00A353A1" w:rsidRDefault="006E5A7D" w:rsidP="008373AC">
      <w:pPr>
        <w:spacing w:line="480" w:lineRule="auto"/>
        <w:ind w:firstLine="720"/>
        <w:rPr>
          <w:rFonts w:ascii="Times New Roman" w:hAnsi="Times New Roman" w:cs="Times New Roman"/>
        </w:rPr>
      </w:pPr>
      <w:r>
        <w:rPr>
          <w:rFonts w:ascii="Times New Roman" w:hAnsi="Times New Roman" w:cs="Times New Roman"/>
        </w:rPr>
        <w:t>Finally, w</w:t>
      </w:r>
      <w:r w:rsidR="008373AC" w:rsidRPr="00B026E4">
        <w:rPr>
          <w:rFonts w:ascii="Times New Roman" w:hAnsi="Times New Roman" w:cs="Times New Roman"/>
        </w:rPr>
        <w:t xml:space="preserve">e were curious </w:t>
      </w:r>
      <w:r w:rsidR="00BE1A41">
        <w:rPr>
          <w:rFonts w:ascii="Times New Roman" w:hAnsi="Times New Roman" w:cs="Times New Roman"/>
        </w:rPr>
        <w:t>whether</w:t>
      </w:r>
      <w:r w:rsidR="008373AC" w:rsidRPr="00B026E4">
        <w:rPr>
          <w:rFonts w:ascii="Times New Roman" w:hAnsi="Times New Roman" w:cs="Times New Roman"/>
        </w:rPr>
        <w:t xml:space="preserve"> debtors </w:t>
      </w:r>
      <w:r w:rsidR="00A353A1">
        <w:rPr>
          <w:rFonts w:ascii="Times New Roman" w:hAnsi="Times New Roman" w:cs="Times New Roman"/>
        </w:rPr>
        <w:t xml:space="preserve">filed </w:t>
      </w:r>
      <w:r w:rsidR="008373AC" w:rsidRPr="00B026E4">
        <w:rPr>
          <w:rFonts w:ascii="Times New Roman" w:hAnsi="Times New Roman" w:cs="Times New Roman"/>
        </w:rPr>
        <w:t xml:space="preserve">for </w:t>
      </w:r>
      <w:r w:rsidR="00AA091B">
        <w:rPr>
          <w:rFonts w:ascii="Times New Roman" w:hAnsi="Times New Roman" w:cs="Times New Roman"/>
        </w:rPr>
        <w:t>chapter</w:t>
      </w:r>
      <w:r w:rsidR="008373AC" w:rsidRPr="00B026E4">
        <w:rPr>
          <w:rFonts w:ascii="Times New Roman" w:hAnsi="Times New Roman" w:cs="Times New Roman"/>
        </w:rPr>
        <w:t xml:space="preserve"> 11 in an attempt to avoid a trustee’s scrutiny of their expenses. </w:t>
      </w:r>
      <w:r w:rsidR="00A148F1">
        <w:rPr>
          <w:rFonts w:ascii="Times New Roman" w:hAnsi="Times New Roman" w:cs="Times New Roman"/>
        </w:rPr>
        <w:t>Most of these debtors ha</w:t>
      </w:r>
      <w:r w:rsidR="00A353A1">
        <w:rPr>
          <w:rFonts w:ascii="Times New Roman" w:hAnsi="Times New Roman" w:cs="Times New Roman"/>
        </w:rPr>
        <w:t>d</w:t>
      </w:r>
      <w:r w:rsidR="00A148F1">
        <w:rPr>
          <w:rFonts w:ascii="Times New Roman" w:hAnsi="Times New Roman" w:cs="Times New Roman"/>
        </w:rPr>
        <w:t xml:space="preserve"> some expenses that the average American</w:t>
      </w:r>
      <w:r w:rsidR="00A353A1">
        <w:rPr>
          <w:rFonts w:ascii="Times New Roman" w:hAnsi="Times New Roman" w:cs="Times New Roman"/>
        </w:rPr>
        <w:t xml:space="preserve"> would label as a luxury</w:t>
      </w:r>
      <w:r w:rsidR="00A148F1">
        <w:rPr>
          <w:rFonts w:ascii="Times New Roman" w:hAnsi="Times New Roman" w:cs="Times New Roman"/>
        </w:rPr>
        <w:t>. Our median debtor claim</w:t>
      </w:r>
      <w:r w:rsidR="00A353A1">
        <w:rPr>
          <w:rFonts w:ascii="Times New Roman" w:hAnsi="Times New Roman" w:cs="Times New Roman"/>
        </w:rPr>
        <w:t>ed</w:t>
      </w:r>
      <w:r w:rsidR="00A148F1">
        <w:rPr>
          <w:rFonts w:ascii="Times New Roman" w:hAnsi="Times New Roman" w:cs="Times New Roman"/>
        </w:rPr>
        <w:t xml:space="preserve"> monthly expenses </w:t>
      </w:r>
      <w:r w:rsidR="00A353A1">
        <w:rPr>
          <w:rFonts w:ascii="Times New Roman" w:hAnsi="Times New Roman" w:cs="Times New Roman"/>
        </w:rPr>
        <w:t>of approximately $8</w:t>
      </w:r>
      <w:r w:rsidR="00EF781C">
        <w:rPr>
          <w:rFonts w:ascii="Times New Roman" w:hAnsi="Times New Roman" w:cs="Times New Roman"/>
        </w:rPr>
        <w:t>,</w:t>
      </w:r>
      <w:r w:rsidR="00A353A1">
        <w:rPr>
          <w:rFonts w:ascii="Times New Roman" w:hAnsi="Times New Roman" w:cs="Times New Roman"/>
        </w:rPr>
        <w:t>200 to $9</w:t>
      </w:r>
      <w:r w:rsidR="00EF781C">
        <w:rPr>
          <w:rFonts w:ascii="Times New Roman" w:hAnsi="Times New Roman" w:cs="Times New Roman"/>
        </w:rPr>
        <w:t>,</w:t>
      </w:r>
      <w:r w:rsidR="00A353A1">
        <w:rPr>
          <w:rFonts w:ascii="Times New Roman" w:hAnsi="Times New Roman" w:cs="Times New Roman"/>
        </w:rPr>
        <w:t xml:space="preserve">200, or about </w:t>
      </w:r>
      <w:r w:rsidR="00A148F1">
        <w:rPr>
          <w:rFonts w:ascii="Times New Roman" w:hAnsi="Times New Roman" w:cs="Times New Roman"/>
        </w:rPr>
        <w:t>$9</w:t>
      </w:r>
      <w:r w:rsidR="00A353A1">
        <w:rPr>
          <w:rFonts w:ascii="Times New Roman" w:hAnsi="Times New Roman" w:cs="Times New Roman"/>
        </w:rPr>
        <w:t>8</w:t>
      </w:r>
      <w:r w:rsidR="00A148F1">
        <w:rPr>
          <w:rFonts w:ascii="Times New Roman" w:hAnsi="Times New Roman" w:cs="Times New Roman"/>
        </w:rPr>
        <w:t>,000 to $1</w:t>
      </w:r>
      <w:r w:rsidR="00A353A1">
        <w:rPr>
          <w:rFonts w:ascii="Times New Roman" w:hAnsi="Times New Roman" w:cs="Times New Roman"/>
        </w:rPr>
        <w:t>11</w:t>
      </w:r>
      <w:r w:rsidR="00A148F1">
        <w:rPr>
          <w:rFonts w:ascii="Times New Roman" w:hAnsi="Times New Roman" w:cs="Times New Roman"/>
        </w:rPr>
        <w:t>,000 per year</w:t>
      </w:r>
      <w:r w:rsidR="00A353A1">
        <w:rPr>
          <w:rFonts w:ascii="Times New Roman" w:hAnsi="Times New Roman" w:cs="Times New Roman"/>
        </w:rPr>
        <w:t>,</w:t>
      </w:r>
      <w:r w:rsidR="00A148F1">
        <w:rPr>
          <w:rFonts w:ascii="Times New Roman" w:hAnsi="Times New Roman" w:cs="Times New Roman"/>
        </w:rPr>
        <w:t xml:space="preserve"> while median household income in the United States was $49,276 in 2010 and $53,595 in 2013.</w:t>
      </w:r>
      <w:r w:rsidR="003562A5">
        <w:rPr>
          <w:rStyle w:val="FootnoteReference"/>
          <w:rFonts w:ascii="Times New Roman" w:hAnsi="Times New Roman" w:cs="Times New Roman"/>
        </w:rPr>
        <w:footnoteReference w:id="156"/>
      </w:r>
      <w:r w:rsidR="00A148F1">
        <w:rPr>
          <w:rFonts w:ascii="Times New Roman" w:hAnsi="Times New Roman" w:cs="Times New Roman"/>
        </w:rPr>
        <w:t xml:space="preserve"> </w:t>
      </w:r>
    </w:p>
    <w:p w14:paraId="7E54F6AD" w14:textId="59836D35" w:rsidR="008373AC" w:rsidRPr="00B026E4" w:rsidRDefault="00A148F1" w:rsidP="008373AC">
      <w:pPr>
        <w:spacing w:line="480" w:lineRule="auto"/>
        <w:ind w:firstLine="720"/>
        <w:rPr>
          <w:rFonts w:ascii="Times New Roman" w:hAnsi="Times New Roman" w:cs="Times New Roman"/>
          <w:i/>
        </w:rPr>
      </w:pPr>
      <w:r>
        <w:rPr>
          <w:rFonts w:ascii="Times New Roman" w:hAnsi="Times New Roman" w:cs="Times New Roman"/>
        </w:rPr>
        <w:t xml:space="preserve">But that </w:t>
      </w:r>
      <w:r w:rsidR="004C6402">
        <w:rPr>
          <w:rFonts w:ascii="Times New Roman" w:hAnsi="Times New Roman" w:cs="Times New Roman"/>
        </w:rPr>
        <w:t xml:space="preserve">comparison may be inapt. </w:t>
      </w:r>
      <w:r w:rsidR="00EC2483">
        <w:rPr>
          <w:rFonts w:ascii="Times New Roman" w:hAnsi="Times New Roman" w:cs="Times New Roman"/>
        </w:rPr>
        <w:t xml:space="preserve">First, some of these expenses </w:t>
      </w:r>
      <w:r w:rsidR="00D3181D">
        <w:rPr>
          <w:rFonts w:ascii="Times New Roman" w:hAnsi="Times New Roman" w:cs="Times New Roman"/>
        </w:rPr>
        <w:t>were</w:t>
      </w:r>
      <w:r w:rsidR="00EC2483">
        <w:rPr>
          <w:rFonts w:ascii="Times New Roman" w:hAnsi="Times New Roman" w:cs="Times New Roman"/>
        </w:rPr>
        <w:t xml:space="preserve"> business expenses. Second, </w:t>
      </w:r>
      <w:r w:rsidR="00453981">
        <w:rPr>
          <w:rFonts w:ascii="Times New Roman" w:hAnsi="Times New Roman" w:cs="Times New Roman"/>
        </w:rPr>
        <w:t xml:space="preserve">it may be appropriate, as </w:t>
      </w:r>
      <w:r w:rsidR="00EC2483">
        <w:rPr>
          <w:rFonts w:ascii="Times New Roman" w:hAnsi="Times New Roman" w:cs="Times New Roman"/>
        </w:rPr>
        <w:t>o</w:t>
      </w:r>
      <w:r w:rsidR="007C0DE8">
        <w:rPr>
          <w:rFonts w:ascii="Times New Roman" w:hAnsi="Times New Roman" w:cs="Times New Roman"/>
        </w:rPr>
        <w:t>ne of us has argued</w:t>
      </w:r>
      <w:r w:rsidR="00453981">
        <w:rPr>
          <w:rFonts w:ascii="Times New Roman" w:hAnsi="Times New Roman" w:cs="Times New Roman"/>
        </w:rPr>
        <w:t>,</w:t>
      </w:r>
      <w:r w:rsidR="007C0DE8">
        <w:rPr>
          <w:rFonts w:ascii="Times New Roman" w:hAnsi="Times New Roman" w:cs="Times New Roman"/>
        </w:rPr>
        <w:t xml:space="preserve"> to allow higher-income debtors to claim greater expenses in bankruptcy.</w:t>
      </w:r>
      <w:r w:rsidR="007C0DE8">
        <w:rPr>
          <w:rStyle w:val="FootnoteReference"/>
          <w:rFonts w:ascii="Times New Roman" w:hAnsi="Times New Roman" w:cs="Times New Roman"/>
        </w:rPr>
        <w:footnoteReference w:id="157"/>
      </w:r>
      <w:r w:rsidR="007C0DE8">
        <w:rPr>
          <w:rFonts w:ascii="Times New Roman" w:hAnsi="Times New Roman" w:cs="Times New Roman"/>
        </w:rPr>
        <w:t xml:space="preserve"> </w:t>
      </w:r>
      <w:r w:rsidR="003F528C">
        <w:rPr>
          <w:rFonts w:ascii="Times New Roman" w:hAnsi="Times New Roman" w:cs="Times New Roman"/>
        </w:rPr>
        <w:t xml:space="preserve">We could not develop workable criteria as to what constituted a luxury expense. Instead, </w:t>
      </w:r>
      <w:r w:rsidR="004C6402">
        <w:rPr>
          <w:rFonts w:ascii="Times New Roman" w:hAnsi="Times New Roman" w:cs="Times New Roman"/>
        </w:rPr>
        <w:t xml:space="preserve">we instructed </w:t>
      </w:r>
      <w:r w:rsidR="00D500E8">
        <w:rPr>
          <w:rFonts w:ascii="Times New Roman" w:hAnsi="Times New Roman" w:cs="Times New Roman"/>
        </w:rPr>
        <w:t xml:space="preserve">our </w:t>
      </w:r>
      <w:r w:rsidR="00DA2C25">
        <w:rPr>
          <w:rFonts w:ascii="Times New Roman" w:hAnsi="Times New Roman" w:cs="Times New Roman"/>
        </w:rPr>
        <w:t xml:space="preserve">research assistants to look for “unusual and large expenses that some might think are indicative of a luxurious lifestyle” and told them to be sure to include tuition for private school or </w:t>
      </w:r>
      <w:r w:rsidR="00273BDB">
        <w:rPr>
          <w:rFonts w:ascii="Times New Roman" w:hAnsi="Times New Roman" w:cs="Times New Roman"/>
        </w:rPr>
        <w:t xml:space="preserve">for </w:t>
      </w:r>
      <w:r w:rsidR="00DA2C25">
        <w:rPr>
          <w:rFonts w:ascii="Times New Roman" w:hAnsi="Times New Roman" w:cs="Times New Roman"/>
        </w:rPr>
        <w:t>any college</w:t>
      </w:r>
      <w:r w:rsidR="009629EF">
        <w:rPr>
          <w:rFonts w:ascii="Times New Roman" w:hAnsi="Times New Roman" w:cs="Times New Roman"/>
        </w:rPr>
        <w:t>, whether public or private</w:t>
      </w:r>
      <w:r w:rsidR="00DA2C25">
        <w:rPr>
          <w:rFonts w:ascii="Times New Roman" w:hAnsi="Times New Roman" w:cs="Times New Roman"/>
        </w:rPr>
        <w:t>.</w:t>
      </w:r>
      <w:r w:rsidR="00D500E8">
        <w:rPr>
          <w:rFonts w:ascii="Times New Roman" w:hAnsi="Times New Roman" w:cs="Times New Roman"/>
        </w:rPr>
        <w:t xml:space="preserve"> Because there were several research assistants, the standard likely varied from case to case just as the identity of the trustee or bankruptcy judge will cause the standard to vary. </w:t>
      </w:r>
      <w:r w:rsidR="007575ED">
        <w:rPr>
          <w:rFonts w:ascii="Times New Roman" w:hAnsi="Times New Roman" w:cs="Times New Roman"/>
        </w:rPr>
        <w:t>Some of the</w:t>
      </w:r>
      <w:r w:rsidR="004C6402">
        <w:rPr>
          <w:rFonts w:ascii="Times New Roman" w:hAnsi="Times New Roman" w:cs="Times New Roman"/>
        </w:rPr>
        <w:t xml:space="preserve"> research assistants’</w:t>
      </w:r>
      <w:r w:rsidR="007575ED">
        <w:rPr>
          <w:rFonts w:ascii="Times New Roman" w:hAnsi="Times New Roman" w:cs="Times New Roman"/>
        </w:rPr>
        <w:t xml:space="preserve"> entries showed large expenses for real property (utilities, mortgage, etc.) or business and medical expenses that perhaps should have been </w:t>
      </w:r>
      <w:r w:rsidR="00453981">
        <w:rPr>
          <w:rFonts w:ascii="Times New Roman" w:hAnsi="Times New Roman" w:cs="Times New Roman"/>
        </w:rPr>
        <w:t>included elsewhere on the form.</w:t>
      </w:r>
      <w:r w:rsidR="007575ED">
        <w:rPr>
          <w:rFonts w:ascii="Times New Roman" w:hAnsi="Times New Roman" w:cs="Times New Roman"/>
        </w:rPr>
        <w:t xml:space="preserve"> </w:t>
      </w:r>
      <w:r w:rsidR="00453981">
        <w:rPr>
          <w:rFonts w:ascii="Times New Roman" w:hAnsi="Times New Roman" w:cs="Times New Roman"/>
        </w:rPr>
        <w:t>W</w:t>
      </w:r>
      <w:r w:rsidR="007575ED">
        <w:rPr>
          <w:rFonts w:ascii="Times New Roman" w:hAnsi="Times New Roman" w:cs="Times New Roman"/>
        </w:rPr>
        <w:t>e did find</w:t>
      </w:r>
      <w:r w:rsidR="00453981">
        <w:rPr>
          <w:rFonts w:ascii="Times New Roman" w:hAnsi="Times New Roman" w:cs="Times New Roman"/>
        </w:rPr>
        <w:t>, however, that</w:t>
      </w:r>
      <w:r w:rsidR="007575ED">
        <w:rPr>
          <w:rFonts w:ascii="Times New Roman" w:hAnsi="Times New Roman" w:cs="Times New Roman"/>
        </w:rPr>
        <w:t xml:space="preserve"> </w:t>
      </w:r>
      <w:r w:rsidR="00085430">
        <w:rPr>
          <w:rFonts w:ascii="Times New Roman" w:hAnsi="Times New Roman" w:cs="Times New Roman"/>
        </w:rPr>
        <w:t>at least twelve (11%) of the 2010 and sixteen</w:t>
      </w:r>
      <w:r w:rsidR="00D500E8">
        <w:rPr>
          <w:rFonts w:ascii="Times New Roman" w:hAnsi="Times New Roman" w:cs="Times New Roman"/>
        </w:rPr>
        <w:t xml:space="preserve"> (14%) of </w:t>
      </w:r>
      <w:r w:rsidR="004C6402">
        <w:rPr>
          <w:rFonts w:ascii="Times New Roman" w:hAnsi="Times New Roman" w:cs="Times New Roman"/>
        </w:rPr>
        <w:t xml:space="preserve">the </w:t>
      </w:r>
      <w:r w:rsidR="00D500E8">
        <w:rPr>
          <w:rFonts w:ascii="Times New Roman" w:hAnsi="Times New Roman" w:cs="Times New Roman"/>
        </w:rPr>
        <w:t xml:space="preserve">2013 </w:t>
      </w:r>
      <w:r w:rsidR="004C6402">
        <w:rPr>
          <w:rFonts w:ascii="Times New Roman" w:hAnsi="Times New Roman" w:cs="Times New Roman"/>
        </w:rPr>
        <w:t xml:space="preserve">cases </w:t>
      </w:r>
      <w:r w:rsidR="00453981">
        <w:rPr>
          <w:rFonts w:ascii="Times New Roman" w:hAnsi="Times New Roman" w:cs="Times New Roman"/>
        </w:rPr>
        <w:t xml:space="preserve">had </w:t>
      </w:r>
      <w:r w:rsidR="00D500E8">
        <w:rPr>
          <w:rFonts w:ascii="Times New Roman" w:hAnsi="Times New Roman" w:cs="Times New Roman"/>
        </w:rPr>
        <w:t>expenses that might draw the scrutiny of a trustee</w:t>
      </w:r>
      <w:r w:rsidR="004C6402">
        <w:rPr>
          <w:rFonts w:ascii="Times New Roman" w:hAnsi="Times New Roman" w:cs="Times New Roman"/>
        </w:rPr>
        <w:t>.</w:t>
      </w:r>
      <w:r w:rsidR="00D500E8">
        <w:rPr>
          <w:rFonts w:ascii="Times New Roman" w:hAnsi="Times New Roman" w:cs="Times New Roman"/>
        </w:rPr>
        <w:t xml:space="preserve"> These </w:t>
      </w:r>
      <w:r w:rsidR="004C6402">
        <w:rPr>
          <w:rFonts w:ascii="Times New Roman" w:hAnsi="Times New Roman" w:cs="Times New Roman"/>
        </w:rPr>
        <w:t xml:space="preserve">expenses </w:t>
      </w:r>
      <w:r w:rsidR="00D500E8">
        <w:rPr>
          <w:rFonts w:ascii="Times New Roman" w:hAnsi="Times New Roman" w:cs="Times New Roman"/>
        </w:rPr>
        <w:t xml:space="preserve">included </w:t>
      </w:r>
      <w:r w:rsidR="004C6402">
        <w:rPr>
          <w:rFonts w:ascii="Times New Roman" w:hAnsi="Times New Roman" w:cs="Times New Roman"/>
        </w:rPr>
        <w:t xml:space="preserve">(1) </w:t>
      </w:r>
      <w:r w:rsidR="00D500E8">
        <w:rPr>
          <w:rFonts w:ascii="Times New Roman" w:hAnsi="Times New Roman" w:cs="Times New Roman"/>
        </w:rPr>
        <w:t xml:space="preserve">tuition </w:t>
      </w:r>
      <w:r w:rsidR="004C6402">
        <w:rPr>
          <w:rFonts w:ascii="Times New Roman" w:hAnsi="Times New Roman" w:cs="Times New Roman"/>
        </w:rPr>
        <w:t xml:space="preserve">of </w:t>
      </w:r>
      <w:r w:rsidR="00085430">
        <w:rPr>
          <w:rFonts w:ascii="Times New Roman" w:hAnsi="Times New Roman" w:cs="Times New Roman"/>
        </w:rPr>
        <w:t>at least $1,000 a month (nine</w:t>
      </w:r>
      <w:r w:rsidR="00D500E8">
        <w:rPr>
          <w:rFonts w:ascii="Times New Roman" w:hAnsi="Times New Roman" w:cs="Times New Roman"/>
        </w:rPr>
        <w:t xml:space="preserve"> cases with a</w:t>
      </w:r>
      <w:r w:rsidR="007575ED">
        <w:rPr>
          <w:rFonts w:ascii="Times New Roman" w:hAnsi="Times New Roman" w:cs="Times New Roman"/>
        </w:rPr>
        <w:t xml:space="preserve"> </w:t>
      </w:r>
      <w:r w:rsidR="00D500E8">
        <w:rPr>
          <w:rFonts w:ascii="Times New Roman" w:hAnsi="Times New Roman" w:cs="Times New Roman"/>
        </w:rPr>
        <w:t xml:space="preserve">high of $4,525 per month), </w:t>
      </w:r>
      <w:r w:rsidR="004C6402">
        <w:rPr>
          <w:rFonts w:ascii="Times New Roman" w:hAnsi="Times New Roman" w:cs="Times New Roman"/>
        </w:rPr>
        <w:t xml:space="preserve">(2) </w:t>
      </w:r>
      <w:r w:rsidR="00D500E8">
        <w:rPr>
          <w:rFonts w:ascii="Times New Roman" w:hAnsi="Times New Roman" w:cs="Times New Roman"/>
        </w:rPr>
        <w:t xml:space="preserve">food </w:t>
      </w:r>
      <w:r w:rsidR="004C6402">
        <w:rPr>
          <w:rFonts w:ascii="Times New Roman" w:hAnsi="Times New Roman" w:cs="Times New Roman"/>
        </w:rPr>
        <w:t xml:space="preserve">of </w:t>
      </w:r>
      <w:r w:rsidR="00D500E8">
        <w:rPr>
          <w:rFonts w:ascii="Times New Roman" w:hAnsi="Times New Roman" w:cs="Times New Roman"/>
        </w:rPr>
        <w:t>at least $1,000 per month (</w:t>
      </w:r>
      <w:r w:rsidR="00085430">
        <w:rPr>
          <w:rFonts w:ascii="Times New Roman" w:hAnsi="Times New Roman" w:cs="Times New Roman"/>
        </w:rPr>
        <w:t>five</w:t>
      </w:r>
      <w:r w:rsidR="007575ED">
        <w:rPr>
          <w:rFonts w:ascii="Times New Roman" w:hAnsi="Times New Roman" w:cs="Times New Roman"/>
        </w:rPr>
        <w:t xml:space="preserve"> cases with a high of $3,000 per month for a household of three),</w:t>
      </w:r>
      <w:r w:rsidR="004C6402">
        <w:rPr>
          <w:rFonts w:ascii="Times New Roman" w:hAnsi="Times New Roman" w:cs="Times New Roman"/>
        </w:rPr>
        <w:t xml:space="preserve"> and</w:t>
      </w:r>
      <w:r w:rsidR="007575ED">
        <w:rPr>
          <w:rFonts w:ascii="Times New Roman" w:hAnsi="Times New Roman" w:cs="Times New Roman"/>
        </w:rPr>
        <w:t xml:space="preserve"> </w:t>
      </w:r>
      <w:r w:rsidR="004C6402">
        <w:rPr>
          <w:rFonts w:ascii="Times New Roman" w:hAnsi="Times New Roman" w:cs="Times New Roman"/>
        </w:rPr>
        <w:t xml:space="preserve">(3) </w:t>
      </w:r>
      <w:r w:rsidR="007575ED">
        <w:rPr>
          <w:rFonts w:ascii="Times New Roman" w:hAnsi="Times New Roman" w:cs="Times New Roman"/>
        </w:rPr>
        <w:t xml:space="preserve">a large number of miscellaneous entries </w:t>
      </w:r>
      <w:r w:rsidR="004C6402">
        <w:rPr>
          <w:rFonts w:ascii="Times New Roman" w:hAnsi="Times New Roman" w:cs="Times New Roman"/>
        </w:rPr>
        <w:t xml:space="preserve">for </w:t>
      </w:r>
      <w:r w:rsidR="00344EFF">
        <w:rPr>
          <w:rFonts w:ascii="Times New Roman" w:hAnsi="Times New Roman" w:cs="Times New Roman"/>
        </w:rPr>
        <w:t xml:space="preserve">such things as </w:t>
      </w:r>
      <w:r w:rsidR="007575ED">
        <w:rPr>
          <w:rFonts w:ascii="Times New Roman" w:hAnsi="Times New Roman" w:cs="Times New Roman"/>
        </w:rPr>
        <w:t xml:space="preserve"> entertainment or recreation  (</w:t>
      </w:r>
      <w:r w:rsidR="003F528C">
        <w:rPr>
          <w:rFonts w:ascii="Times New Roman" w:hAnsi="Times New Roman" w:cs="Times New Roman"/>
        </w:rPr>
        <w:t xml:space="preserve">several cases ranging from </w:t>
      </w:r>
      <w:r w:rsidR="007575ED">
        <w:rPr>
          <w:rFonts w:ascii="Times New Roman" w:hAnsi="Times New Roman" w:cs="Times New Roman"/>
        </w:rPr>
        <w:t xml:space="preserve">$1,720 </w:t>
      </w:r>
      <w:r w:rsidR="003F528C">
        <w:rPr>
          <w:rFonts w:ascii="Times New Roman" w:hAnsi="Times New Roman" w:cs="Times New Roman"/>
        </w:rPr>
        <w:t xml:space="preserve">to </w:t>
      </w:r>
      <w:r w:rsidR="007575ED">
        <w:rPr>
          <w:rFonts w:ascii="Times New Roman" w:hAnsi="Times New Roman" w:cs="Times New Roman"/>
        </w:rPr>
        <w:t xml:space="preserve"> $3,487 per month), gardeners, pool service, golf club fees, boats and recreational vehicles, and  $4,237  for a life insurance policy on a business associate.</w:t>
      </w:r>
    </w:p>
    <w:p w14:paraId="1C884F79" w14:textId="77777777" w:rsidR="008373AC" w:rsidRPr="006C66BD" w:rsidRDefault="008373AC" w:rsidP="008373AC">
      <w:pPr>
        <w:spacing w:line="480" w:lineRule="auto"/>
        <w:rPr>
          <w:rFonts w:ascii="Times New Roman" w:hAnsi="Times New Roman" w:cs="Times New Roman"/>
          <w:i/>
        </w:rPr>
      </w:pPr>
      <w:r w:rsidRPr="006C66BD">
        <w:rPr>
          <w:rFonts w:ascii="Times New Roman" w:hAnsi="Times New Roman" w:cs="Times New Roman"/>
          <w:i/>
        </w:rPr>
        <w:t>2.</w:t>
      </w:r>
      <w:r w:rsidRPr="006C66BD">
        <w:rPr>
          <w:rFonts w:ascii="Times New Roman" w:hAnsi="Times New Roman" w:cs="Times New Roman"/>
          <w:i/>
        </w:rPr>
        <w:tab/>
        <w:t>Debt</w:t>
      </w:r>
    </w:p>
    <w:p w14:paraId="6B501641" w14:textId="1552998A" w:rsidR="008373AC" w:rsidRPr="00EC104F" w:rsidRDefault="008373AC" w:rsidP="00EC104F">
      <w:pPr>
        <w:spacing w:line="480" w:lineRule="auto"/>
        <w:ind w:firstLine="720"/>
        <w:rPr>
          <w:rFonts w:ascii="Times New Roman" w:hAnsi="Times New Roman" w:cs="Times New Roman"/>
        </w:rPr>
      </w:pPr>
      <w:r w:rsidRPr="00CC5835">
        <w:rPr>
          <w:rFonts w:ascii="Times New Roman" w:hAnsi="Times New Roman" w:cs="Times New Roman"/>
        </w:rPr>
        <w:t xml:space="preserve">Table </w:t>
      </w:r>
      <w:r>
        <w:rPr>
          <w:rFonts w:ascii="Times New Roman" w:hAnsi="Times New Roman" w:cs="Times New Roman"/>
        </w:rPr>
        <w:t>2</w:t>
      </w:r>
      <w:r w:rsidR="00296FEB">
        <w:rPr>
          <w:rFonts w:ascii="Times New Roman" w:hAnsi="Times New Roman" w:cs="Times New Roman"/>
        </w:rPr>
        <w:t>9</w:t>
      </w:r>
      <w:r w:rsidRPr="00CC5835">
        <w:rPr>
          <w:rFonts w:ascii="Times New Roman" w:hAnsi="Times New Roman" w:cs="Times New Roman"/>
        </w:rPr>
        <w:t xml:space="preserve"> provides </w:t>
      </w:r>
      <w:r w:rsidR="00344EFF">
        <w:rPr>
          <w:rFonts w:ascii="Times New Roman" w:hAnsi="Times New Roman" w:cs="Times New Roman"/>
        </w:rPr>
        <w:t xml:space="preserve">data on debtors’ total liabilities </w:t>
      </w:r>
      <w:r w:rsidR="00453981">
        <w:rPr>
          <w:rFonts w:ascii="Times New Roman" w:hAnsi="Times New Roman" w:cs="Times New Roman"/>
        </w:rPr>
        <w:t xml:space="preserve">reported </w:t>
      </w:r>
      <w:r w:rsidR="00344EFF">
        <w:rPr>
          <w:rFonts w:ascii="Times New Roman" w:hAnsi="Times New Roman" w:cs="Times New Roman"/>
        </w:rPr>
        <w:t xml:space="preserve">on the summary of schedules, as well as a breakdown by secured and non-priority unsecured debt. </w:t>
      </w:r>
      <w:r w:rsidR="00453981">
        <w:rPr>
          <w:rFonts w:ascii="Times New Roman" w:hAnsi="Times New Roman" w:cs="Times New Roman"/>
        </w:rPr>
        <w:t>I</w:t>
      </w:r>
      <w:r w:rsidRPr="00CC5835">
        <w:rPr>
          <w:rFonts w:ascii="Times New Roman" w:hAnsi="Times New Roman" w:cs="Times New Roman"/>
        </w:rPr>
        <w:t xml:space="preserve">nformation in the summary of schedules often differed from information in the full schedules because debtors amended </w:t>
      </w:r>
      <w:r>
        <w:rPr>
          <w:rFonts w:ascii="Times New Roman" w:hAnsi="Times New Roman" w:cs="Times New Roman"/>
        </w:rPr>
        <w:t xml:space="preserve">some or all of their </w:t>
      </w:r>
      <w:r w:rsidRPr="00CC5835">
        <w:rPr>
          <w:rFonts w:ascii="Times New Roman" w:hAnsi="Times New Roman" w:cs="Times New Roman"/>
        </w:rPr>
        <w:t xml:space="preserve">schedules without amending the summary. </w:t>
      </w:r>
      <w:r w:rsidR="005F2307">
        <w:rPr>
          <w:rFonts w:ascii="Times New Roman" w:hAnsi="Times New Roman" w:cs="Times New Roman"/>
        </w:rPr>
        <w:t>It is not clear which numbers are more accurate</w:t>
      </w:r>
      <w:r w:rsidR="006F48A0">
        <w:rPr>
          <w:rFonts w:ascii="Times New Roman" w:hAnsi="Times New Roman" w:cs="Times New Roman"/>
        </w:rPr>
        <w:t>.</w:t>
      </w:r>
      <w:r w:rsidRPr="00CC5835">
        <w:rPr>
          <w:rFonts w:ascii="Times New Roman" w:hAnsi="Times New Roman" w:cs="Times New Roman"/>
        </w:rPr>
        <w:t xml:space="preserve"> Total</w:t>
      </w:r>
      <w:r w:rsidR="006F48A0">
        <w:rPr>
          <w:rFonts w:ascii="Times New Roman" w:hAnsi="Times New Roman" w:cs="Times New Roman"/>
        </w:rPr>
        <w:t>s</w:t>
      </w:r>
      <w:r w:rsidRPr="00CC5835">
        <w:rPr>
          <w:rFonts w:ascii="Times New Roman" w:hAnsi="Times New Roman" w:cs="Times New Roman"/>
        </w:rPr>
        <w:t xml:space="preserve"> </w:t>
      </w:r>
      <w:r w:rsidR="006F48A0">
        <w:rPr>
          <w:rFonts w:ascii="Times New Roman" w:hAnsi="Times New Roman" w:cs="Times New Roman"/>
        </w:rPr>
        <w:t>on</w:t>
      </w:r>
      <w:r w:rsidRPr="00CC5835">
        <w:rPr>
          <w:rFonts w:ascii="Times New Roman" w:hAnsi="Times New Roman" w:cs="Times New Roman"/>
        </w:rPr>
        <w:t xml:space="preserve"> the </w:t>
      </w:r>
      <w:r w:rsidR="006F48A0">
        <w:rPr>
          <w:rFonts w:ascii="Times New Roman" w:hAnsi="Times New Roman" w:cs="Times New Roman"/>
        </w:rPr>
        <w:t xml:space="preserve">individual </w:t>
      </w:r>
      <w:r w:rsidRPr="00CC5835">
        <w:rPr>
          <w:rFonts w:ascii="Times New Roman" w:hAnsi="Times New Roman" w:cs="Times New Roman"/>
        </w:rPr>
        <w:t xml:space="preserve">schedules often reflect the </w:t>
      </w:r>
      <w:r w:rsidR="00453981">
        <w:rPr>
          <w:rFonts w:ascii="Times New Roman" w:hAnsi="Times New Roman" w:cs="Times New Roman"/>
        </w:rPr>
        <w:t xml:space="preserve">debtor’s </w:t>
      </w:r>
      <w:r w:rsidRPr="00CC5835">
        <w:rPr>
          <w:rFonts w:ascii="Times New Roman" w:hAnsi="Times New Roman" w:cs="Times New Roman"/>
        </w:rPr>
        <w:t>last estimates and</w:t>
      </w:r>
      <w:r>
        <w:rPr>
          <w:rFonts w:ascii="Times New Roman" w:hAnsi="Times New Roman" w:cs="Times New Roman"/>
        </w:rPr>
        <w:t>,</w:t>
      </w:r>
      <w:r w:rsidRPr="00CC5835">
        <w:rPr>
          <w:rFonts w:ascii="Times New Roman" w:hAnsi="Times New Roman" w:cs="Times New Roman"/>
        </w:rPr>
        <w:t xml:space="preserve"> therefore</w:t>
      </w:r>
      <w:r>
        <w:rPr>
          <w:rFonts w:ascii="Times New Roman" w:hAnsi="Times New Roman" w:cs="Times New Roman"/>
        </w:rPr>
        <w:t>,</w:t>
      </w:r>
      <w:r w:rsidR="0068245A">
        <w:rPr>
          <w:rFonts w:ascii="Times New Roman" w:hAnsi="Times New Roman" w:cs="Times New Roman"/>
        </w:rPr>
        <w:t xml:space="preserve"> may be more accurate.</w:t>
      </w:r>
      <w:r w:rsidRPr="00CC5835">
        <w:rPr>
          <w:rFonts w:ascii="Times New Roman" w:hAnsi="Times New Roman" w:cs="Times New Roman"/>
        </w:rPr>
        <w:t xml:space="preserve"> On the other hand, debtors </w:t>
      </w:r>
      <w:r>
        <w:rPr>
          <w:rFonts w:ascii="Times New Roman" w:hAnsi="Times New Roman" w:cs="Times New Roman"/>
        </w:rPr>
        <w:t xml:space="preserve">at times </w:t>
      </w:r>
      <w:r w:rsidRPr="00CC5835">
        <w:rPr>
          <w:rFonts w:ascii="Times New Roman" w:hAnsi="Times New Roman" w:cs="Times New Roman"/>
        </w:rPr>
        <w:t xml:space="preserve">were unclear as to whether their amended schedules supplemented or replaced prior schedules, </w:t>
      </w:r>
      <w:r w:rsidR="00EC104F">
        <w:rPr>
          <w:rFonts w:ascii="Times New Roman" w:hAnsi="Times New Roman" w:cs="Times New Roman"/>
        </w:rPr>
        <w:t>making it</w:t>
      </w:r>
      <w:r>
        <w:rPr>
          <w:rFonts w:ascii="Times New Roman" w:hAnsi="Times New Roman" w:cs="Times New Roman"/>
        </w:rPr>
        <w:t xml:space="preserve"> difficult for our research assistants to determine schedule totals in some cases. </w:t>
      </w:r>
      <w:r w:rsidR="008E62F5">
        <w:rPr>
          <w:rFonts w:ascii="Times New Roman" w:hAnsi="Times New Roman" w:cs="Times New Roman"/>
        </w:rPr>
        <w:t xml:space="preserve">The results are not usually materially different, so we present the information from the </w:t>
      </w:r>
      <w:r w:rsidR="00D56A5E">
        <w:rPr>
          <w:rFonts w:ascii="Times New Roman" w:hAnsi="Times New Roman" w:cs="Times New Roman"/>
        </w:rPr>
        <w:t>s</w:t>
      </w:r>
      <w:r w:rsidR="008E62F5">
        <w:rPr>
          <w:rFonts w:ascii="Times New Roman" w:hAnsi="Times New Roman" w:cs="Times New Roman"/>
        </w:rPr>
        <w:t xml:space="preserve">ummary of </w:t>
      </w:r>
      <w:r w:rsidR="00D56A5E">
        <w:rPr>
          <w:rFonts w:ascii="Times New Roman" w:hAnsi="Times New Roman" w:cs="Times New Roman"/>
        </w:rPr>
        <w:t>s</w:t>
      </w:r>
      <w:r w:rsidR="008E62F5">
        <w:rPr>
          <w:rFonts w:ascii="Times New Roman" w:hAnsi="Times New Roman" w:cs="Times New Roman"/>
        </w:rPr>
        <w:t xml:space="preserve">chedules unless there is a good reason not to do so. </w:t>
      </w:r>
    </w:p>
    <w:p w14:paraId="7A72BB83" w14:textId="4E8E377D" w:rsidR="008373AC" w:rsidRDefault="008373AC" w:rsidP="00085430">
      <w:pPr>
        <w:keepNext/>
        <w:keepLines/>
        <w:jc w:val="center"/>
        <w:rPr>
          <w:rFonts w:ascii="Times New Roman" w:hAnsi="Times New Roman" w:cs="Times New Roman"/>
          <w:b/>
        </w:rPr>
      </w:pPr>
      <w:r w:rsidRPr="00B026E4">
        <w:rPr>
          <w:rFonts w:ascii="Times New Roman" w:hAnsi="Times New Roman" w:cs="Times New Roman"/>
          <w:b/>
        </w:rPr>
        <w:t xml:space="preserve">Table </w:t>
      </w:r>
      <w:r>
        <w:rPr>
          <w:rFonts w:ascii="Times New Roman" w:hAnsi="Times New Roman" w:cs="Times New Roman"/>
          <w:b/>
        </w:rPr>
        <w:t>2</w:t>
      </w:r>
      <w:r w:rsidR="00296FEB">
        <w:rPr>
          <w:rFonts w:ascii="Times New Roman" w:hAnsi="Times New Roman" w:cs="Times New Roman"/>
          <w:b/>
        </w:rPr>
        <w:t>9</w:t>
      </w:r>
      <w:r w:rsidRPr="00B026E4">
        <w:rPr>
          <w:rFonts w:ascii="Times New Roman" w:hAnsi="Times New Roman" w:cs="Times New Roman"/>
          <w:b/>
        </w:rPr>
        <w:t>: Distribution of Indebtedness</w:t>
      </w:r>
      <w:r w:rsidR="00D56A5E">
        <w:rPr>
          <w:rFonts w:ascii="Times New Roman" w:hAnsi="Times New Roman" w:cs="Times New Roman"/>
          <w:b/>
        </w:rPr>
        <w:t>—</w:t>
      </w:r>
      <w:r>
        <w:rPr>
          <w:rFonts w:ascii="Times New Roman" w:hAnsi="Times New Roman" w:cs="Times New Roman"/>
          <w:b/>
        </w:rPr>
        <w:t>Liabilities from Summary of Schedules</w:t>
      </w:r>
    </w:p>
    <w:p w14:paraId="05B9B258" w14:textId="77777777" w:rsidR="00511606" w:rsidRDefault="00511606" w:rsidP="00085430">
      <w:pPr>
        <w:keepNext/>
        <w:keepLines/>
        <w:rPr>
          <w:rFonts w:ascii="Times New Roman" w:eastAsia="Times New Roman" w:hAnsi="Times New Roman" w:cs="Times New Roman"/>
          <w:color w:val="000000"/>
        </w:rPr>
      </w:pPr>
    </w:p>
    <w:tbl>
      <w:tblPr>
        <w:tblStyle w:val="TableGrid"/>
        <w:tblW w:w="8748" w:type="dxa"/>
        <w:tblLook w:val="04A0" w:firstRow="1" w:lastRow="0" w:firstColumn="1" w:lastColumn="0" w:noHBand="0" w:noVBand="1"/>
      </w:tblPr>
      <w:tblGrid>
        <w:gridCol w:w="1458"/>
        <w:gridCol w:w="1170"/>
        <w:gridCol w:w="1260"/>
        <w:gridCol w:w="1260"/>
        <w:gridCol w:w="1170"/>
        <w:gridCol w:w="1216"/>
        <w:gridCol w:w="1214"/>
      </w:tblGrid>
      <w:tr w:rsidR="00511606" w:rsidRPr="003F528C" w14:paraId="7B28ECCD" w14:textId="77777777" w:rsidTr="00296FEB">
        <w:tc>
          <w:tcPr>
            <w:tcW w:w="1458" w:type="dxa"/>
            <w:vMerge w:val="restart"/>
            <w:tcBorders>
              <w:top w:val="nil"/>
              <w:left w:val="nil"/>
              <w:right w:val="single" w:sz="18" w:space="0" w:color="auto"/>
            </w:tcBorders>
          </w:tcPr>
          <w:p w14:paraId="3FFB9FBA" w14:textId="77777777" w:rsidR="00511606" w:rsidRPr="003F528C" w:rsidRDefault="00511606" w:rsidP="00085430">
            <w:pPr>
              <w:keepNext/>
              <w:keepLines/>
              <w:rPr>
                <w:rFonts w:eastAsia="Times New Roman" w:cstheme="minorHAnsi"/>
                <w:color w:val="000000"/>
                <w:sz w:val="20"/>
                <w:szCs w:val="20"/>
              </w:rPr>
            </w:pPr>
          </w:p>
        </w:tc>
        <w:tc>
          <w:tcPr>
            <w:tcW w:w="2430" w:type="dxa"/>
            <w:gridSpan w:val="2"/>
            <w:tcBorders>
              <w:top w:val="single" w:sz="18" w:space="0" w:color="auto"/>
              <w:left w:val="single" w:sz="18" w:space="0" w:color="auto"/>
              <w:bottom w:val="single" w:sz="18" w:space="0" w:color="auto"/>
              <w:right w:val="single" w:sz="18" w:space="0" w:color="auto"/>
            </w:tcBorders>
          </w:tcPr>
          <w:p w14:paraId="332B8088" w14:textId="77777777" w:rsidR="00511606" w:rsidRPr="003F528C" w:rsidRDefault="00511606" w:rsidP="00085430">
            <w:pPr>
              <w:keepNext/>
              <w:keepLines/>
              <w:jc w:val="center"/>
              <w:rPr>
                <w:rFonts w:eastAsia="Times New Roman" w:cstheme="minorHAnsi"/>
                <w:b/>
                <w:color w:val="000000"/>
                <w:sz w:val="20"/>
                <w:szCs w:val="20"/>
              </w:rPr>
            </w:pPr>
            <w:r w:rsidRPr="003F528C">
              <w:rPr>
                <w:rFonts w:eastAsia="Times New Roman" w:cstheme="minorHAnsi"/>
                <w:b/>
                <w:color w:val="000000"/>
                <w:sz w:val="20"/>
                <w:szCs w:val="20"/>
              </w:rPr>
              <w:t>Secured Claims</w:t>
            </w:r>
          </w:p>
        </w:tc>
        <w:tc>
          <w:tcPr>
            <w:tcW w:w="2430" w:type="dxa"/>
            <w:gridSpan w:val="2"/>
            <w:tcBorders>
              <w:top w:val="single" w:sz="18" w:space="0" w:color="auto"/>
              <w:left w:val="single" w:sz="18" w:space="0" w:color="auto"/>
              <w:bottom w:val="single" w:sz="18" w:space="0" w:color="auto"/>
              <w:right w:val="single" w:sz="18" w:space="0" w:color="auto"/>
            </w:tcBorders>
          </w:tcPr>
          <w:p w14:paraId="26EEB2B5" w14:textId="60A52BF9" w:rsidR="00511606" w:rsidRPr="003F528C" w:rsidRDefault="00511606" w:rsidP="00085430">
            <w:pPr>
              <w:keepNext/>
              <w:keepLines/>
              <w:jc w:val="center"/>
              <w:rPr>
                <w:rFonts w:eastAsia="Times New Roman" w:cstheme="minorHAnsi"/>
                <w:b/>
                <w:color w:val="000000"/>
                <w:sz w:val="20"/>
                <w:szCs w:val="20"/>
              </w:rPr>
            </w:pPr>
            <w:r w:rsidRPr="003F528C">
              <w:rPr>
                <w:rFonts w:eastAsia="Times New Roman" w:cstheme="minorHAnsi"/>
                <w:b/>
                <w:color w:val="000000"/>
                <w:sz w:val="20"/>
                <w:szCs w:val="20"/>
              </w:rPr>
              <w:t xml:space="preserve">Unsecured </w:t>
            </w:r>
            <w:r w:rsidR="00E12702" w:rsidRPr="003F528C">
              <w:rPr>
                <w:rFonts w:eastAsia="Times New Roman" w:cstheme="minorHAnsi"/>
                <w:b/>
                <w:color w:val="000000"/>
                <w:sz w:val="20"/>
                <w:szCs w:val="20"/>
              </w:rPr>
              <w:t>Non-</w:t>
            </w:r>
            <w:r w:rsidRPr="003F528C">
              <w:rPr>
                <w:rFonts w:eastAsia="Times New Roman" w:cstheme="minorHAnsi"/>
                <w:b/>
                <w:color w:val="000000"/>
                <w:sz w:val="20"/>
                <w:szCs w:val="20"/>
              </w:rPr>
              <w:t>Priority Claims</w:t>
            </w:r>
          </w:p>
        </w:tc>
        <w:tc>
          <w:tcPr>
            <w:tcW w:w="2430" w:type="dxa"/>
            <w:gridSpan w:val="2"/>
            <w:tcBorders>
              <w:top w:val="single" w:sz="18" w:space="0" w:color="auto"/>
              <w:left w:val="single" w:sz="18" w:space="0" w:color="auto"/>
              <w:bottom w:val="single" w:sz="18" w:space="0" w:color="auto"/>
              <w:right w:val="single" w:sz="18" w:space="0" w:color="auto"/>
            </w:tcBorders>
          </w:tcPr>
          <w:p w14:paraId="2E4A804E" w14:textId="129CF16F" w:rsidR="00511606" w:rsidRPr="003F528C" w:rsidRDefault="00E12702" w:rsidP="00085430">
            <w:pPr>
              <w:keepNext/>
              <w:keepLines/>
              <w:jc w:val="center"/>
              <w:rPr>
                <w:rFonts w:eastAsia="Times New Roman" w:cstheme="minorHAnsi"/>
                <w:b/>
                <w:color w:val="000000"/>
                <w:sz w:val="20"/>
                <w:szCs w:val="20"/>
              </w:rPr>
            </w:pPr>
            <w:r w:rsidRPr="003F528C">
              <w:rPr>
                <w:rFonts w:eastAsia="Times New Roman" w:cstheme="minorHAnsi"/>
                <w:b/>
                <w:color w:val="000000"/>
                <w:sz w:val="20"/>
                <w:szCs w:val="20"/>
              </w:rPr>
              <w:t>Total Liabilities</w:t>
            </w:r>
          </w:p>
        </w:tc>
      </w:tr>
      <w:tr w:rsidR="00511606" w:rsidRPr="003F528C" w14:paraId="53959036" w14:textId="77777777" w:rsidTr="00296FEB">
        <w:tc>
          <w:tcPr>
            <w:tcW w:w="1458" w:type="dxa"/>
            <w:vMerge/>
            <w:tcBorders>
              <w:left w:val="nil"/>
              <w:bottom w:val="single" w:sz="18" w:space="0" w:color="auto"/>
              <w:right w:val="single" w:sz="18" w:space="0" w:color="auto"/>
            </w:tcBorders>
          </w:tcPr>
          <w:p w14:paraId="6C1164B6" w14:textId="77777777" w:rsidR="00511606" w:rsidRPr="003F528C" w:rsidRDefault="00511606" w:rsidP="00085430">
            <w:pPr>
              <w:keepNext/>
              <w:keepLines/>
              <w:rPr>
                <w:rFonts w:eastAsia="Times New Roman" w:cstheme="minorHAnsi"/>
                <w:color w:val="000000"/>
                <w:sz w:val="20"/>
                <w:szCs w:val="20"/>
              </w:rPr>
            </w:pPr>
          </w:p>
        </w:tc>
        <w:tc>
          <w:tcPr>
            <w:tcW w:w="1170" w:type="dxa"/>
            <w:tcBorders>
              <w:top w:val="single" w:sz="18" w:space="0" w:color="auto"/>
              <w:left w:val="single" w:sz="18" w:space="0" w:color="auto"/>
              <w:bottom w:val="single" w:sz="18" w:space="0" w:color="auto"/>
            </w:tcBorders>
          </w:tcPr>
          <w:p w14:paraId="72519E37" w14:textId="77777777" w:rsidR="00511606" w:rsidRPr="003F528C" w:rsidRDefault="00511606" w:rsidP="00085430">
            <w:pPr>
              <w:keepNext/>
              <w:keepLines/>
              <w:jc w:val="center"/>
              <w:rPr>
                <w:rFonts w:eastAsia="Times New Roman" w:cstheme="minorHAnsi"/>
                <w:b/>
                <w:color w:val="000000"/>
                <w:sz w:val="20"/>
                <w:szCs w:val="20"/>
              </w:rPr>
            </w:pPr>
            <w:r w:rsidRPr="003F528C">
              <w:rPr>
                <w:rFonts w:eastAsia="Times New Roman" w:cstheme="minorHAnsi"/>
                <w:b/>
                <w:color w:val="000000"/>
                <w:sz w:val="20"/>
                <w:szCs w:val="20"/>
              </w:rPr>
              <w:t>2010</w:t>
            </w:r>
          </w:p>
        </w:tc>
        <w:tc>
          <w:tcPr>
            <w:tcW w:w="1260" w:type="dxa"/>
            <w:tcBorders>
              <w:top w:val="single" w:sz="18" w:space="0" w:color="auto"/>
              <w:bottom w:val="single" w:sz="18" w:space="0" w:color="auto"/>
              <w:right w:val="single" w:sz="18" w:space="0" w:color="auto"/>
            </w:tcBorders>
          </w:tcPr>
          <w:p w14:paraId="402F86D0" w14:textId="77777777" w:rsidR="00511606" w:rsidRPr="003F528C" w:rsidRDefault="00511606" w:rsidP="00085430">
            <w:pPr>
              <w:keepNext/>
              <w:keepLines/>
              <w:jc w:val="center"/>
              <w:rPr>
                <w:rFonts w:eastAsia="Times New Roman" w:cstheme="minorHAnsi"/>
                <w:b/>
                <w:color w:val="000000"/>
                <w:sz w:val="20"/>
                <w:szCs w:val="20"/>
              </w:rPr>
            </w:pPr>
            <w:r w:rsidRPr="003F528C">
              <w:rPr>
                <w:rFonts w:eastAsia="Times New Roman" w:cstheme="minorHAnsi"/>
                <w:b/>
                <w:color w:val="000000"/>
                <w:sz w:val="20"/>
                <w:szCs w:val="20"/>
              </w:rPr>
              <w:t>2013</w:t>
            </w:r>
          </w:p>
        </w:tc>
        <w:tc>
          <w:tcPr>
            <w:tcW w:w="1260" w:type="dxa"/>
            <w:tcBorders>
              <w:top w:val="single" w:sz="18" w:space="0" w:color="auto"/>
              <w:left w:val="single" w:sz="18" w:space="0" w:color="auto"/>
              <w:bottom w:val="single" w:sz="18" w:space="0" w:color="auto"/>
            </w:tcBorders>
          </w:tcPr>
          <w:p w14:paraId="7A53A383" w14:textId="77777777" w:rsidR="00511606" w:rsidRPr="003F528C" w:rsidRDefault="00511606" w:rsidP="00085430">
            <w:pPr>
              <w:keepNext/>
              <w:keepLines/>
              <w:jc w:val="center"/>
              <w:rPr>
                <w:rFonts w:eastAsia="Times New Roman" w:cstheme="minorHAnsi"/>
                <w:b/>
                <w:color w:val="000000"/>
                <w:sz w:val="20"/>
                <w:szCs w:val="20"/>
              </w:rPr>
            </w:pPr>
            <w:r w:rsidRPr="003F528C">
              <w:rPr>
                <w:rFonts w:eastAsia="Times New Roman" w:cstheme="minorHAnsi"/>
                <w:b/>
                <w:color w:val="000000"/>
                <w:sz w:val="20"/>
                <w:szCs w:val="20"/>
              </w:rPr>
              <w:t>2010</w:t>
            </w:r>
          </w:p>
        </w:tc>
        <w:tc>
          <w:tcPr>
            <w:tcW w:w="1170" w:type="dxa"/>
            <w:tcBorders>
              <w:top w:val="single" w:sz="18" w:space="0" w:color="auto"/>
              <w:bottom w:val="single" w:sz="18" w:space="0" w:color="auto"/>
              <w:right w:val="single" w:sz="18" w:space="0" w:color="auto"/>
            </w:tcBorders>
          </w:tcPr>
          <w:p w14:paraId="75B4E381" w14:textId="77777777" w:rsidR="00511606" w:rsidRPr="003F528C" w:rsidRDefault="00511606" w:rsidP="00085430">
            <w:pPr>
              <w:keepNext/>
              <w:keepLines/>
              <w:jc w:val="center"/>
              <w:rPr>
                <w:rFonts w:eastAsia="Times New Roman" w:cstheme="minorHAnsi"/>
                <w:b/>
                <w:color w:val="000000"/>
                <w:sz w:val="20"/>
                <w:szCs w:val="20"/>
              </w:rPr>
            </w:pPr>
            <w:r w:rsidRPr="003F528C">
              <w:rPr>
                <w:rFonts w:eastAsia="Times New Roman" w:cstheme="minorHAnsi"/>
                <w:b/>
                <w:color w:val="000000"/>
                <w:sz w:val="20"/>
                <w:szCs w:val="20"/>
              </w:rPr>
              <w:t>2013</w:t>
            </w:r>
          </w:p>
        </w:tc>
        <w:tc>
          <w:tcPr>
            <w:tcW w:w="1216" w:type="dxa"/>
            <w:tcBorders>
              <w:top w:val="single" w:sz="18" w:space="0" w:color="auto"/>
              <w:left w:val="single" w:sz="18" w:space="0" w:color="auto"/>
              <w:bottom w:val="single" w:sz="18" w:space="0" w:color="auto"/>
            </w:tcBorders>
          </w:tcPr>
          <w:p w14:paraId="3788C313" w14:textId="77777777" w:rsidR="00511606" w:rsidRPr="003F528C" w:rsidRDefault="00511606" w:rsidP="00085430">
            <w:pPr>
              <w:keepNext/>
              <w:keepLines/>
              <w:jc w:val="center"/>
              <w:rPr>
                <w:rFonts w:eastAsia="Times New Roman" w:cstheme="minorHAnsi"/>
                <w:b/>
                <w:color w:val="000000"/>
                <w:sz w:val="20"/>
                <w:szCs w:val="20"/>
              </w:rPr>
            </w:pPr>
            <w:r w:rsidRPr="003F528C">
              <w:rPr>
                <w:rFonts w:eastAsia="Times New Roman" w:cstheme="minorHAnsi"/>
                <w:b/>
                <w:color w:val="000000"/>
                <w:sz w:val="20"/>
                <w:szCs w:val="20"/>
              </w:rPr>
              <w:t>2010</w:t>
            </w:r>
          </w:p>
        </w:tc>
        <w:tc>
          <w:tcPr>
            <w:tcW w:w="1214" w:type="dxa"/>
            <w:tcBorders>
              <w:top w:val="single" w:sz="18" w:space="0" w:color="auto"/>
              <w:bottom w:val="single" w:sz="18" w:space="0" w:color="auto"/>
              <w:right w:val="single" w:sz="18" w:space="0" w:color="auto"/>
            </w:tcBorders>
          </w:tcPr>
          <w:p w14:paraId="14B08972" w14:textId="77777777" w:rsidR="00511606" w:rsidRPr="003F528C" w:rsidRDefault="00511606" w:rsidP="00085430">
            <w:pPr>
              <w:keepNext/>
              <w:keepLines/>
              <w:jc w:val="center"/>
              <w:rPr>
                <w:rFonts w:eastAsia="Times New Roman" w:cstheme="minorHAnsi"/>
                <w:b/>
                <w:color w:val="000000"/>
                <w:sz w:val="20"/>
                <w:szCs w:val="20"/>
              </w:rPr>
            </w:pPr>
            <w:r w:rsidRPr="003F528C">
              <w:rPr>
                <w:rFonts w:eastAsia="Times New Roman" w:cstheme="minorHAnsi"/>
                <w:b/>
                <w:color w:val="000000"/>
                <w:sz w:val="20"/>
                <w:szCs w:val="20"/>
              </w:rPr>
              <w:t>2013</w:t>
            </w:r>
          </w:p>
        </w:tc>
      </w:tr>
      <w:tr w:rsidR="00511606" w:rsidRPr="003F528C" w14:paraId="1255348D" w14:textId="77777777" w:rsidTr="00296FEB">
        <w:tc>
          <w:tcPr>
            <w:tcW w:w="1458" w:type="dxa"/>
            <w:tcBorders>
              <w:top w:val="single" w:sz="18" w:space="0" w:color="auto"/>
              <w:right w:val="single" w:sz="18" w:space="0" w:color="auto"/>
            </w:tcBorders>
            <w:vAlign w:val="bottom"/>
          </w:tcPr>
          <w:p w14:paraId="2BCA517E" w14:textId="77777777" w:rsidR="00511606" w:rsidRPr="003F528C" w:rsidRDefault="00511606" w:rsidP="00085430">
            <w:pPr>
              <w:keepNext/>
              <w:keepLines/>
              <w:rPr>
                <w:rFonts w:eastAsia="Times New Roman" w:cstheme="minorHAnsi"/>
                <w:color w:val="000000"/>
                <w:sz w:val="20"/>
                <w:szCs w:val="20"/>
              </w:rPr>
            </w:pPr>
            <w:r w:rsidRPr="003F528C">
              <w:rPr>
                <w:rFonts w:eastAsia="Times New Roman" w:cstheme="minorHAnsi"/>
                <w:b/>
                <w:bCs/>
                <w:color w:val="000000"/>
                <w:sz w:val="20"/>
                <w:szCs w:val="20"/>
              </w:rPr>
              <w:t>Over $10M</w:t>
            </w:r>
          </w:p>
        </w:tc>
        <w:tc>
          <w:tcPr>
            <w:tcW w:w="1170" w:type="dxa"/>
            <w:tcBorders>
              <w:top w:val="single" w:sz="18" w:space="0" w:color="auto"/>
              <w:left w:val="single" w:sz="18" w:space="0" w:color="auto"/>
            </w:tcBorders>
            <w:vAlign w:val="bottom"/>
          </w:tcPr>
          <w:p w14:paraId="0BA51B81"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2.8%</w:t>
            </w:r>
          </w:p>
        </w:tc>
        <w:tc>
          <w:tcPr>
            <w:tcW w:w="1260" w:type="dxa"/>
            <w:tcBorders>
              <w:top w:val="single" w:sz="18" w:space="0" w:color="auto"/>
              <w:right w:val="single" w:sz="18" w:space="0" w:color="auto"/>
            </w:tcBorders>
            <w:vAlign w:val="bottom"/>
          </w:tcPr>
          <w:p w14:paraId="581CD756"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2.6%</w:t>
            </w:r>
          </w:p>
        </w:tc>
        <w:tc>
          <w:tcPr>
            <w:tcW w:w="1260" w:type="dxa"/>
            <w:tcBorders>
              <w:top w:val="single" w:sz="18" w:space="0" w:color="auto"/>
              <w:left w:val="single" w:sz="18" w:space="0" w:color="auto"/>
            </w:tcBorders>
            <w:vAlign w:val="bottom"/>
          </w:tcPr>
          <w:p w14:paraId="657DF646"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4.6%</w:t>
            </w:r>
          </w:p>
        </w:tc>
        <w:tc>
          <w:tcPr>
            <w:tcW w:w="1170" w:type="dxa"/>
            <w:tcBorders>
              <w:top w:val="single" w:sz="18" w:space="0" w:color="auto"/>
              <w:right w:val="single" w:sz="18" w:space="0" w:color="auto"/>
            </w:tcBorders>
            <w:vAlign w:val="bottom"/>
          </w:tcPr>
          <w:p w14:paraId="2C5DDB2F"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5.3%</w:t>
            </w:r>
          </w:p>
        </w:tc>
        <w:tc>
          <w:tcPr>
            <w:tcW w:w="1216" w:type="dxa"/>
            <w:tcBorders>
              <w:top w:val="single" w:sz="18" w:space="0" w:color="auto"/>
              <w:left w:val="single" w:sz="18" w:space="0" w:color="auto"/>
            </w:tcBorders>
            <w:vAlign w:val="bottom"/>
          </w:tcPr>
          <w:p w14:paraId="27AE684D"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7.3%</w:t>
            </w:r>
          </w:p>
        </w:tc>
        <w:tc>
          <w:tcPr>
            <w:tcW w:w="1214" w:type="dxa"/>
            <w:tcBorders>
              <w:top w:val="single" w:sz="18" w:space="0" w:color="auto"/>
              <w:right w:val="single" w:sz="18" w:space="0" w:color="auto"/>
            </w:tcBorders>
            <w:vAlign w:val="bottom"/>
          </w:tcPr>
          <w:p w14:paraId="68E41DB9"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9.6%</w:t>
            </w:r>
          </w:p>
        </w:tc>
      </w:tr>
      <w:tr w:rsidR="00511606" w:rsidRPr="003F528C" w14:paraId="065A59B4" w14:textId="77777777" w:rsidTr="00296FEB">
        <w:tc>
          <w:tcPr>
            <w:tcW w:w="1458" w:type="dxa"/>
            <w:tcBorders>
              <w:right w:val="single" w:sz="18" w:space="0" w:color="auto"/>
            </w:tcBorders>
            <w:vAlign w:val="bottom"/>
          </w:tcPr>
          <w:p w14:paraId="69CDBFBD" w14:textId="77777777" w:rsidR="00511606" w:rsidRPr="003F528C" w:rsidRDefault="00511606" w:rsidP="00085430">
            <w:pPr>
              <w:keepNext/>
              <w:keepLines/>
              <w:rPr>
                <w:rFonts w:eastAsia="Times New Roman" w:cstheme="minorHAnsi"/>
                <w:color w:val="000000"/>
                <w:sz w:val="20"/>
                <w:szCs w:val="20"/>
              </w:rPr>
            </w:pPr>
            <w:r w:rsidRPr="003F528C">
              <w:rPr>
                <w:rFonts w:eastAsia="Times New Roman" w:cstheme="minorHAnsi"/>
                <w:b/>
                <w:bCs/>
                <w:color w:val="000000"/>
                <w:sz w:val="20"/>
                <w:szCs w:val="20"/>
              </w:rPr>
              <w:t>$5M to $10M</w:t>
            </w:r>
          </w:p>
        </w:tc>
        <w:tc>
          <w:tcPr>
            <w:tcW w:w="1170" w:type="dxa"/>
            <w:tcBorders>
              <w:left w:val="single" w:sz="18" w:space="0" w:color="auto"/>
            </w:tcBorders>
            <w:vAlign w:val="bottom"/>
          </w:tcPr>
          <w:p w14:paraId="1541B08C"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7.3%</w:t>
            </w:r>
          </w:p>
        </w:tc>
        <w:tc>
          <w:tcPr>
            <w:tcW w:w="1260" w:type="dxa"/>
            <w:tcBorders>
              <w:right w:val="single" w:sz="18" w:space="0" w:color="auto"/>
            </w:tcBorders>
            <w:vAlign w:val="bottom"/>
          </w:tcPr>
          <w:p w14:paraId="141E9A24"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4.4%</w:t>
            </w:r>
          </w:p>
        </w:tc>
        <w:tc>
          <w:tcPr>
            <w:tcW w:w="1260" w:type="dxa"/>
            <w:tcBorders>
              <w:left w:val="single" w:sz="18" w:space="0" w:color="auto"/>
            </w:tcBorders>
            <w:vAlign w:val="bottom"/>
          </w:tcPr>
          <w:p w14:paraId="750C2227"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2.8%</w:t>
            </w:r>
          </w:p>
        </w:tc>
        <w:tc>
          <w:tcPr>
            <w:tcW w:w="1170" w:type="dxa"/>
            <w:tcBorders>
              <w:right w:val="single" w:sz="18" w:space="0" w:color="auto"/>
            </w:tcBorders>
            <w:vAlign w:val="bottom"/>
          </w:tcPr>
          <w:p w14:paraId="6D873285"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3.5%</w:t>
            </w:r>
          </w:p>
        </w:tc>
        <w:tc>
          <w:tcPr>
            <w:tcW w:w="1216" w:type="dxa"/>
            <w:tcBorders>
              <w:left w:val="single" w:sz="18" w:space="0" w:color="auto"/>
            </w:tcBorders>
            <w:vAlign w:val="bottom"/>
          </w:tcPr>
          <w:p w14:paraId="76A9F7FF"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8.3%</w:t>
            </w:r>
          </w:p>
        </w:tc>
        <w:tc>
          <w:tcPr>
            <w:tcW w:w="1214" w:type="dxa"/>
            <w:tcBorders>
              <w:right w:val="single" w:sz="18" w:space="0" w:color="auto"/>
            </w:tcBorders>
            <w:vAlign w:val="bottom"/>
          </w:tcPr>
          <w:p w14:paraId="719BF030"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5.3%</w:t>
            </w:r>
          </w:p>
        </w:tc>
      </w:tr>
      <w:tr w:rsidR="00511606" w:rsidRPr="003F528C" w14:paraId="3881EA4A" w14:textId="77777777" w:rsidTr="00296FEB">
        <w:tc>
          <w:tcPr>
            <w:tcW w:w="1458" w:type="dxa"/>
            <w:tcBorders>
              <w:right w:val="single" w:sz="18" w:space="0" w:color="auto"/>
            </w:tcBorders>
            <w:vAlign w:val="bottom"/>
          </w:tcPr>
          <w:p w14:paraId="532FF008" w14:textId="77777777" w:rsidR="00511606" w:rsidRPr="003F528C" w:rsidRDefault="00511606" w:rsidP="00085430">
            <w:pPr>
              <w:keepNext/>
              <w:keepLines/>
              <w:rPr>
                <w:rFonts w:eastAsia="Times New Roman" w:cstheme="minorHAnsi"/>
                <w:color w:val="000000"/>
                <w:sz w:val="20"/>
                <w:szCs w:val="20"/>
              </w:rPr>
            </w:pPr>
            <w:r w:rsidRPr="003F528C">
              <w:rPr>
                <w:rFonts w:eastAsia="Times New Roman" w:cstheme="minorHAnsi"/>
                <w:b/>
                <w:bCs/>
                <w:color w:val="000000"/>
                <w:sz w:val="20"/>
                <w:szCs w:val="20"/>
              </w:rPr>
              <w:t>$2.5M to $5M</w:t>
            </w:r>
          </w:p>
        </w:tc>
        <w:tc>
          <w:tcPr>
            <w:tcW w:w="1170" w:type="dxa"/>
            <w:tcBorders>
              <w:left w:val="single" w:sz="18" w:space="0" w:color="auto"/>
            </w:tcBorders>
            <w:vAlign w:val="bottom"/>
          </w:tcPr>
          <w:p w14:paraId="71185219"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11.9%</w:t>
            </w:r>
          </w:p>
        </w:tc>
        <w:tc>
          <w:tcPr>
            <w:tcW w:w="1260" w:type="dxa"/>
            <w:tcBorders>
              <w:right w:val="single" w:sz="18" w:space="0" w:color="auto"/>
            </w:tcBorders>
            <w:vAlign w:val="bottom"/>
          </w:tcPr>
          <w:p w14:paraId="4D127833"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9.6%</w:t>
            </w:r>
          </w:p>
        </w:tc>
        <w:tc>
          <w:tcPr>
            <w:tcW w:w="1260" w:type="dxa"/>
            <w:tcBorders>
              <w:left w:val="single" w:sz="18" w:space="0" w:color="auto"/>
            </w:tcBorders>
            <w:vAlign w:val="bottom"/>
          </w:tcPr>
          <w:p w14:paraId="589A24C0"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3.7%</w:t>
            </w:r>
          </w:p>
        </w:tc>
        <w:tc>
          <w:tcPr>
            <w:tcW w:w="1170" w:type="dxa"/>
            <w:tcBorders>
              <w:right w:val="single" w:sz="18" w:space="0" w:color="auto"/>
            </w:tcBorders>
            <w:vAlign w:val="bottom"/>
          </w:tcPr>
          <w:p w14:paraId="2C80CCFE"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4.4%</w:t>
            </w:r>
          </w:p>
        </w:tc>
        <w:tc>
          <w:tcPr>
            <w:tcW w:w="1216" w:type="dxa"/>
            <w:tcBorders>
              <w:left w:val="single" w:sz="18" w:space="0" w:color="auto"/>
            </w:tcBorders>
            <w:vAlign w:val="bottom"/>
          </w:tcPr>
          <w:p w14:paraId="6444EDAF"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19.3%</w:t>
            </w:r>
          </w:p>
        </w:tc>
        <w:tc>
          <w:tcPr>
            <w:tcW w:w="1214" w:type="dxa"/>
            <w:tcBorders>
              <w:right w:val="single" w:sz="18" w:space="0" w:color="auto"/>
            </w:tcBorders>
            <w:vAlign w:val="bottom"/>
          </w:tcPr>
          <w:p w14:paraId="435F425E"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15.8%</w:t>
            </w:r>
          </w:p>
        </w:tc>
      </w:tr>
      <w:tr w:rsidR="00511606" w:rsidRPr="003F528C" w14:paraId="3B00FE61" w14:textId="77777777" w:rsidTr="00296FEB">
        <w:tc>
          <w:tcPr>
            <w:tcW w:w="1458" w:type="dxa"/>
            <w:tcBorders>
              <w:right w:val="single" w:sz="18" w:space="0" w:color="auto"/>
            </w:tcBorders>
            <w:vAlign w:val="bottom"/>
          </w:tcPr>
          <w:p w14:paraId="6B05E010" w14:textId="77777777" w:rsidR="00511606" w:rsidRPr="003F528C" w:rsidRDefault="00511606" w:rsidP="00085430">
            <w:pPr>
              <w:keepNext/>
              <w:keepLines/>
              <w:rPr>
                <w:rFonts w:eastAsia="Times New Roman" w:cstheme="minorHAnsi"/>
                <w:color w:val="000000"/>
                <w:sz w:val="20"/>
                <w:szCs w:val="20"/>
              </w:rPr>
            </w:pPr>
            <w:r w:rsidRPr="003F528C">
              <w:rPr>
                <w:rFonts w:eastAsia="Times New Roman" w:cstheme="minorHAnsi"/>
                <w:b/>
                <w:bCs/>
                <w:color w:val="000000"/>
                <w:sz w:val="20"/>
                <w:szCs w:val="20"/>
              </w:rPr>
              <w:t>$1M to $2.5M</w:t>
            </w:r>
          </w:p>
        </w:tc>
        <w:tc>
          <w:tcPr>
            <w:tcW w:w="1170" w:type="dxa"/>
            <w:tcBorders>
              <w:left w:val="single" w:sz="18" w:space="0" w:color="auto"/>
            </w:tcBorders>
            <w:vAlign w:val="bottom"/>
          </w:tcPr>
          <w:p w14:paraId="5B71B514"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33.9%</w:t>
            </w:r>
          </w:p>
        </w:tc>
        <w:tc>
          <w:tcPr>
            <w:tcW w:w="1260" w:type="dxa"/>
            <w:tcBorders>
              <w:right w:val="single" w:sz="18" w:space="0" w:color="auto"/>
            </w:tcBorders>
            <w:vAlign w:val="bottom"/>
          </w:tcPr>
          <w:p w14:paraId="343CB66E"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23.7%</w:t>
            </w:r>
          </w:p>
        </w:tc>
        <w:tc>
          <w:tcPr>
            <w:tcW w:w="1260" w:type="dxa"/>
            <w:tcBorders>
              <w:left w:val="single" w:sz="18" w:space="0" w:color="auto"/>
            </w:tcBorders>
            <w:vAlign w:val="bottom"/>
          </w:tcPr>
          <w:p w14:paraId="182F5E99"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10.1%</w:t>
            </w:r>
          </w:p>
        </w:tc>
        <w:tc>
          <w:tcPr>
            <w:tcW w:w="1170" w:type="dxa"/>
            <w:tcBorders>
              <w:right w:val="single" w:sz="18" w:space="0" w:color="auto"/>
            </w:tcBorders>
            <w:vAlign w:val="bottom"/>
          </w:tcPr>
          <w:p w14:paraId="6C4CD5BE"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13.2%</w:t>
            </w:r>
          </w:p>
        </w:tc>
        <w:tc>
          <w:tcPr>
            <w:tcW w:w="1216" w:type="dxa"/>
            <w:tcBorders>
              <w:left w:val="single" w:sz="18" w:space="0" w:color="auto"/>
            </w:tcBorders>
            <w:vAlign w:val="bottom"/>
          </w:tcPr>
          <w:p w14:paraId="5AB0C2C6"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41.3%</w:t>
            </w:r>
          </w:p>
        </w:tc>
        <w:tc>
          <w:tcPr>
            <w:tcW w:w="1214" w:type="dxa"/>
            <w:tcBorders>
              <w:right w:val="single" w:sz="18" w:space="0" w:color="auto"/>
            </w:tcBorders>
            <w:vAlign w:val="bottom"/>
          </w:tcPr>
          <w:p w14:paraId="4A2CFD5F"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30.7%</w:t>
            </w:r>
          </w:p>
        </w:tc>
      </w:tr>
      <w:tr w:rsidR="00511606" w:rsidRPr="003F528C" w14:paraId="50B1A0A7" w14:textId="77777777" w:rsidTr="00296FEB">
        <w:tc>
          <w:tcPr>
            <w:tcW w:w="1458" w:type="dxa"/>
            <w:tcBorders>
              <w:right w:val="single" w:sz="18" w:space="0" w:color="auto"/>
            </w:tcBorders>
            <w:vAlign w:val="bottom"/>
          </w:tcPr>
          <w:p w14:paraId="302B930D" w14:textId="77777777" w:rsidR="00511606" w:rsidRPr="003F528C" w:rsidRDefault="00511606" w:rsidP="00085430">
            <w:pPr>
              <w:keepNext/>
              <w:keepLines/>
              <w:rPr>
                <w:rFonts w:eastAsia="Times New Roman" w:cstheme="minorHAnsi"/>
                <w:color w:val="000000"/>
                <w:sz w:val="20"/>
                <w:szCs w:val="20"/>
              </w:rPr>
            </w:pPr>
            <w:r w:rsidRPr="003F528C">
              <w:rPr>
                <w:rFonts w:eastAsia="Times New Roman" w:cstheme="minorHAnsi"/>
                <w:b/>
                <w:bCs/>
                <w:color w:val="000000"/>
                <w:sz w:val="20"/>
                <w:szCs w:val="20"/>
              </w:rPr>
              <w:t>$500K to $1M</w:t>
            </w:r>
          </w:p>
        </w:tc>
        <w:tc>
          <w:tcPr>
            <w:tcW w:w="1170" w:type="dxa"/>
            <w:tcBorders>
              <w:left w:val="single" w:sz="18" w:space="0" w:color="auto"/>
            </w:tcBorders>
            <w:vAlign w:val="bottom"/>
          </w:tcPr>
          <w:p w14:paraId="12B51BF6"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16.5%</w:t>
            </w:r>
          </w:p>
        </w:tc>
        <w:tc>
          <w:tcPr>
            <w:tcW w:w="1260" w:type="dxa"/>
            <w:tcBorders>
              <w:right w:val="single" w:sz="18" w:space="0" w:color="auto"/>
            </w:tcBorders>
            <w:vAlign w:val="bottom"/>
          </w:tcPr>
          <w:p w14:paraId="48FE75B9"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30.7%</w:t>
            </w:r>
          </w:p>
        </w:tc>
        <w:tc>
          <w:tcPr>
            <w:tcW w:w="1260" w:type="dxa"/>
            <w:tcBorders>
              <w:left w:val="single" w:sz="18" w:space="0" w:color="auto"/>
            </w:tcBorders>
            <w:vAlign w:val="bottom"/>
          </w:tcPr>
          <w:p w14:paraId="64F70D60"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16.5%</w:t>
            </w:r>
          </w:p>
        </w:tc>
        <w:tc>
          <w:tcPr>
            <w:tcW w:w="1170" w:type="dxa"/>
            <w:tcBorders>
              <w:right w:val="single" w:sz="18" w:space="0" w:color="auto"/>
            </w:tcBorders>
            <w:vAlign w:val="bottom"/>
          </w:tcPr>
          <w:p w14:paraId="74C90D8A"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8.8%</w:t>
            </w:r>
          </w:p>
        </w:tc>
        <w:tc>
          <w:tcPr>
            <w:tcW w:w="1216" w:type="dxa"/>
            <w:tcBorders>
              <w:left w:val="single" w:sz="18" w:space="0" w:color="auto"/>
            </w:tcBorders>
            <w:vAlign w:val="bottom"/>
          </w:tcPr>
          <w:p w14:paraId="60195606"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11.0%</w:t>
            </w:r>
          </w:p>
        </w:tc>
        <w:tc>
          <w:tcPr>
            <w:tcW w:w="1214" w:type="dxa"/>
            <w:tcBorders>
              <w:right w:val="single" w:sz="18" w:space="0" w:color="auto"/>
            </w:tcBorders>
            <w:vAlign w:val="bottom"/>
          </w:tcPr>
          <w:p w14:paraId="47061DCA"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21.9%</w:t>
            </w:r>
          </w:p>
        </w:tc>
      </w:tr>
      <w:tr w:rsidR="00511606" w:rsidRPr="003F528C" w14:paraId="6080D60F" w14:textId="77777777" w:rsidTr="00296FEB">
        <w:tc>
          <w:tcPr>
            <w:tcW w:w="1458" w:type="dxa"/>
            <w:tcBorders>
              <w:right w:val="single" w:sz="18" w:space="0" w:color="auto"/>
            </w:tcBorders>
            <w:vAlign w:val="bottom"/>
          </w:tcPr>
          <w:p w14:paraId="496D1171" w14:textId="77777777" w:rsidR="00511606" w:rsidRPr="003F528C" w:rsidRDefault="00511606" w:rsidP="00085430">
            <w:pPr>
              <w:keepNext/>
              <w:keepLines/>
              <w:rPr>
                <w:rFonts w:eastAsia="Times New Roman" w:cstheme="minorHAnsi"/>
                <w:color w:val="000000"/>
                <w:sz w:val="20"/>
                <w:szCs w:val="20"/>
              </w:rPr>
            </w:pPr>
            <w:r w:rsidRPr="003F528C">
              <w:rPr>
                <w:rFonts w:eastAsia="Times New Roman" w:cstheme="minorHAnsi"/>
                <w:b/>
                <w:bCs/>
                <w:color w:val="000000"/>
                <w:sz w:val="20"/>
                <w:szCs w:val="20"/>
              </w:rPr>
              <w:t>$1 to $500K</w:t>
            </w:r>
          </w:p>
        </w:tc>
        <w:tc>
          <w:tcPr>
            <w:tcW w:w="1170" w:type="dxa"/>
            <w:tcBorders>
              <w:left w:val="single" w:sz="18" w:space="0" w:color="auto"/>
            </w:tcBorders>
            <w:vAlign w:val="bottom"/>
          </w:tcPr>
          <w:p w14:paraId="7842EFAB"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16.5%</w:t>
            </w:r>
          </w:p>
        </w:tc>
        <w:tc>
          <w:tcPr>
            <w:tcW w:w="1260" w:type="dxa"/>
            <w:tcBorders>
              <w:right w:val="single" w:sz="18" w:space="0" w:color="auto"/>
            </w:tcBorders>
            <w:vAlign w:val="bottom"/>
          </w:tcPr>
          <w:p w14:paraId="3AF1683C"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20.2%</w:t>
            </w:r>
          </w:p>
        </w:tc>
        <w:tc>
          <w:tcPr>
            <w:tcW w:w="1260" w:type="dxa"/>
            <w:tcBorders>
              <w:left w:val="single" w:sz="18" w:space="0" w:color="auto"/>
            </w:tcBorders>
            <w:vAlign w:val="bottom"/>
          </w:tcPr>
          <w:p w14:paraId="5A389C0A"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52.3%</w:t>
            </w:r>
          </w:p>
        </w:tc>
        <w:tc>
          <w:tcPr>
            <w:tcW w:w="1170" w:type="dxa"/>
            <w:tcBorders>
              <w:right w:val="single" w:sz="18" w:space="0" w:color="auto"/>
            </w:tcBorders>
            <w:vAlign w:val="bottom"/>
          </w:tcPr>
          <w:p w14:paraId="48C70818"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56.1%</w:t>
            </w:r>
          </w:p>
        </w:tc>
        <w:tc>
          <w:tcPr>
            <w:tcW w:w="1216" w:type="dxa"/>
            <w:tcBorders>
              <w:left w:val="single" w:sz="18" w:space="0" w:color="auto"/>
            </w:tcBorders>
            <w:vAlign w:val="bottom"/>
          </w:tcPr>
          <w:p w14:paraId="168E601B"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5.5%</w:t>
            </w:r>
          </w:p>
        </w:tc>
        <w:tc>
          <w:tcPr>
            <w:tcW w:w="1214" w:type="dxa"/>
            <w:tcBorders>
              <w:right w:val="single" w:sz="18" w:space="0" w:color="auto"/>
            </w:tcBorders>
            <w:vAlign w:val="bottom"/>
          </w:tcPr>
          <w:p w14:paraId="6F09A80C"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10.5%</w:t>
            </w:r>
          </w:p>
        </w:tc>
      </w:tr>
      <w:tr w:rsidR="00511606" w:rsidRPr="003F528C" w14:paraId="193C904E" w14:textId="77777777" w:rsidTr="00296FEB">
        <w:tc>
          <w:tcPr>
            <w:tcW w:w="1458" w:type="dxa"/>
            <w:tcBorders>
              <w:right w:val="single" w:sz="18" w:space="0" w:color="auto"/>
            </w:tcBorders>
            <w:vAlign w:val="bottom"/>
          </w:tcPr>
          <w:p w14:paraId="49A0E779" w14:textId="77777777" w:rsidR="00511606" w:rsidRPr="003F528C" w:rsidRDefault="00511606" w:rsidP="00085430">
            <w:pPr>
              <w:keepNext/>
              <w:keepLines/>
              <w:rPr>
                <w:rFonts w:eastAsia="Times New Roman" w:cstheme="minorHAnsi"/>
                <w:color w:val="000000"/>
                <w:sz w:val="20"/>
                <w:szCs w:val="20"/>
              </w:rPr>
            </w:pPr>
            <w:r w:rsidRPr="003F528C">
              <w:rPr>
                <w:rFonts w:eastAsia="Times New Roman" w:cstheme="minorHAnsi"/>
                <w:b/>
                <w:bCs/>
                <w:color w:val="000000"/>
                <w:sz w:val="20"/>
                <w:szCs w:val="20"/>
              </w:rPr>
              <w:t>0</w:t>
            </w:r>
          </w:p>
        </w:tc>
        <w:tc>
          <w:tcPr>
            <w:tcW w:w="1170" w:type="dxa"/>
            <w:tcBorders>
              <w:left w:val="single" w:sz="18" w:space="0" w:color="auto"/>
            </w:tcBorders>
            <w:vAlign w:val="bottom"/>
          </w:tcPr>
          <w:p w14:paraId="3CDCE79F"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4.6%</w:t>
            </w:r>
          </w:p>
        </w:tc>
        <w:tc>
          <w:tcPr>
            <w:tcW w:w="1260" w:type="dxa"/>
            <w:tcBorders>
              <w:right w:val="single" w:sz="18" w:space="0" w:color="auto"/>
            </w:tcBorders>
            <w:vAlign w:val="bottom"/>
          </w:tcPr>
          <w:p w14:paraId="01AE905D"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2.6%</w:t>
            </w:r>
          </w:p>
        </w:tc>
        <w:tc>
          <w:tcPr>
            <w:tcW w:w="1260" w:type="dxa"/>
            <w:tcBorders>
              <w:left w:val="single" w:sz="18" w:space="0" w:color="auto"/>
            </w:tcBorders>
            <w:vAlign w:val="bottom"/>
          </w:tcPr>
          <w:p w14:paraId="20E4EBD8"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2.8%</w:t>
            </w:r>
          </w:p>
        </w:tc>
        <w:tc>
          <w:tcPr>
            <w:tcW w:w="1170" w:type="dxa"/>
            <w:tcBorders>
              <w:right w:val="single" w:sz="18" w:space="0" w:color="auto"/>
            </w:tcBorders>
            <w:vAlign w:val="bottom"/>
          </w:tcPr>
          <w:p w14:paraId="09388FD2"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2.6%</w:t>
            </w:r>
          </w:p>
        </w:tc>
        <w:tc>
          <w:tcPr>
            <w:tcW w:w="1216" w:type="dxa"/>
            <w:tcBorders>
              <w:left w:val="single" w:sz="18" w:space="0" w:color="auto"/>
            </w:tcBorders>
            <w:vAlign w:val="bottom"/>
          </w:tcPr>
          <w:p w14:paraId="59F2274E"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0.9%</w:t>
            </w:r>
          </w:p>
        </w:tc>
        <w:tc>
          <w:tcPr>
            <w:tcW w:w="1214" w:type="dxa"/>
            <w:tcBorders>
              <w:right w:val="single" w:sz="18" w:space="0" w:color="auto"/>
            </w:tcBorders>
            <w:vAlign w:val="bottom"/>
          </w:tcPr>
          <w:p w14:paraId="39DAC822"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0.0%</w:t>
            </w:r>
          </w:p>
        </w:tc>
      </w:tr>
      <w:tr w:rsidR="00511606" w:rsidRPr="003F528C" w14:paraId="696397ED" w14:textId="77777777" w:rsidTr="00296FEB">
        <w:tc>
          <w:tcPr>
            <w:tcW w:w="1458" w:type="dxa"/>
            <w:tcBorders>
              <w:bottom w:val="thinThickSmallGap" w:sz="12" w:space="0" w:color="auto"/>
              <w:right w:val="single" w:sz="18" w:space="0" w:color="auto"/>
            </w:tcBorders>
            <w:vAlign w:val="bottom"/>
          </w:tcPr>
          <w:p w14:paraId="4378AC8B" w14:textId="77777777" w:rsidR="00511606" w:rsidRPr="003F528C" w:rsidRDefault="00511606" w:rsidP="00085430">
            <w:pPr>
              <w:keepNext/>
              <w:keepLines/>
              <w:rPr>
                <w:rFonts w:eastAsia="Times New Roman" w:cstheme="minorHAnsi"/>
                <w:color w:val="000000"/>
                <w:sz w:val="20"/>
                <w:szCs w:val="20"/>
              </w:rPr>
            </w:pPr>
            <w:r w:rsidRPr="003F528C">
              <w:rPr>
                <w:rFonts w:eastAsia="Times New Roman" w:cstheme="minorHAnsi"/>
                <w:b/>
                <w:bCs/>
                <w:color w:val="000000"/>
                <w:sz w:val="20"/>
                <w:szCs w:val="20"/>
              </w:rPr>
              <w:t>n/a</w:t>
            </w:r>
          </w:p>
        </w:tc>
        <w:tc>
          <w:tcPr>
            <w:tcW w:w="1170" w:type="dxa"/>
            <w:tcBorders>
              <w:left w:val="single" w:sz="18" w:space="0" w:color="auto"/>
              <w:bottom w:val="thinThickSmallGap" w:sz="12" w:space="0" w:color="auto"/>
            </w:tcBorders>
            <w:vAlign w:val="bottom"/>
          </w:tcPr>
          <w:p w14:paraId="078030C8"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6.4%</w:t>
            </w:r>
          </w:p>
        </w:tc>
        <w:tc>
          <w:tcPr>
            <w:tcW w:w="1260" w:type="dxa"/>
            <w:tcBorders>
              <w:bottom w:val="thinThickSmallGap" w:sz="12" w:space="0" w:color="auto"/>
              <w:right w:val="single" w:sz="18" w:space="0" w:color="auto"/>
            </w:tcBorders>
            <w:vAlign w:val="bottom"/>
          </w:tcPr>
          <w:p w14:paraId="5BDC2BCA"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6.1%</w:t>
            </w:r>
          </w:p>
        </w:tc>
        <w:tc>
          <w:tcPr>
            <w:tcW w:w="1260" w:type="dxa"/>
            <w:tcBorders>
              <w:left w:val="single" w:sz="18" w:space="0" w:color="auto"/>
              <w:bottom w:val="thinThickSmallGap" w:sz="12" w:space="0" w:color="auto"/>
            </w:tcBorders>
            <w:vAlign w:val="bottom"/>
          </w:tcPr>
          <w:p w14:paraId="2888DAFF"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7.3%</w:t>
            </w:r>
          </w:p>
        </w:tc>
        <w:tc>
          <w:tcPr>
            <w:tcW w:w="1170" w:type="dxa"/>
            <w:tcBorders>
              <w:bottom w:val="thinThickSmallGap" w:sz="12" w:space="0" w:color="auto"/>
              <w:right w:val="single" w:sz="18" w:space="0" w:color="auto"/>
            </w:tcBorders>
            <w:vAlign w:val="bottom"/>
          </w:tcPr>
          <w:p w14:paraId="254630B8"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6.1%</w:t>
            </w:r>
          </w:p>
        </w:tc>
        <w:tc>
          <w:tcPr>
            <w:tcW w:w="1216" w:type="dxa"/>
            <w:tcBorders>
              <w:left w:val="single" w:sz="18" w:space="0" w:color="auto"/>
              <w:bottom w:val="thinThickSmallGap" w:sz="12" w:space="0" w:color="auto"/>
            </w:tcBorders>
            <w:vAlign w:val="bottom"/>
          </w:tcPr>
          <w:p w14:paraId="10C7D2A5"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6.4%</w:t>
            </w:r>
          </w:p>
        </w:tc>
        <w:tc>
          <w:tcPr>
            <w:tcW w:w="1214" w:type="dxa"/>
            <w:tcBorders>
              <w:bottom w:val="thinThickSmallGap" w:sz="12" w:space="0" w:color="auto"/>
              <w:right w:val="single" w:sz="18" w:space="0" w:color="auto"/>
            </w:tcBorders>
            <w:vAlign w:val="bottom"/>
          </w:tcPr>
          <w:p w14:paraId="5CE8C893"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6.1%</w:t>
            </w:r>
          </w:p>
        </w:tc>
      </w:tr>
      <w:tr w:rsidR="00511606" w:rsidRPr="003F528C" w14:paraId="112134AA" w14:textId="77777777" w:rsidTr="00296FEB">
        <w:tc>
          <w:tcPr>
            <w:tcW w:w="1458" w:type="dxa"/>
            <w:tcBorders>
              <w:top w:val="thinThickSmallGap" w:sz="12" w:space="0" w:color="auto"/>
              <w:right w:val="single" w:sz="18" w:space="0" w:color="auto"/>
            </w:tcBorders>
            <w:vAlign w:val="bottom"/>
          </w:tcPr>
          <w:p w14:paraId="2CC847D9" w14:textId="77777777" w:rsidR="00511606" w:rsidRPr="003F528C" w:rsidRDefault="00511606" w:rsidP="00085430">
            <w:pPr>
              <w:keepNext/>
              <w:keepLines/>
              <w:rPr>
                <w:rFonts w:eastAsia="Times New Roman" w:cstheme="minorHAnsi"/>
                <w:b/>
                <w:color w:val="000000"/>
                <w:sz w:val="20"/>
                <w:szCs w:val="20"/>
              </w:rPr>
            </w:pPr>
            <w:r w:rsidRPr="003F528C">
              <w:rPr>
                <w:rFonts w:eastAsia="Times New Roman" w:cstheme="minorHAnsi"/>
                <w:b/>
                <w:color w:val="000000"/>
                <w:sz w:val="20"/>
                <w:szCs w:val="20"/>
              </w:rPr>
              <w:t>Maximum</w:t>
            </w:r>
          </w:p>
        </w:tc>
        <w:tc>
          <w:tcPr>
            <w:tcW w:w="1170" w:type="dxa"/>
            <w:tcBorders>
              <w:top w:val="thinThickSmallGap" w:sz="12" w:space="0" w:color="auto"/>
              <w:left w:val="single" w:sz="18" w:space="0" w:color="auto"/>
            </w:tcBorders>
            <w:vAlign w:val="bottom"/>
          </w:tcPr>
          <w:p w14:paraId="1A792720"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56,634,114</w:t>
            </w:r>
          </w:p>
        </w:tc>
        <w:tc>
          <w:tcPr>
            <w:tcW w:w="1260" w:type="dxa"/>
            <w:tcBorders>
              <w:top w:val="thinThickSmallGap" w:sz="12" w:space="0" w:color="auto"/>
              <w:right w:val="single" w:sz="18" w:space="0" w:color="auto"/>
            </w:tcBorders>
            <w:vAlign w:val="bottom"/>
          </w:tcPr>
          <w:p w14:paraId="34DEC18E"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23,440,918</w:t>
            </w:r>
          </w:p>
        </w:tc>
        <w:tc>
          <w:tcPr>
            <w:tcW w:w="1260" w:type="dxa"/>
            <w:tcBorders>
              <w:top w:val="thinThickSmallGap" w:sz="12" w:space="0" w:color="auto"/>
              <w:left w:val="single" w:sz="18" w:space="0" w:color="auto"/>
            </w:tcBorders>
            <w:vAlign w:val="bottom"/>
          </w:tcPr>
          <w:p w14:paraId="60B430A3"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153,710,706</w:t>
            </w:r>
          </w:p>
        </w:tc>
        <w:tc>
          <w:tcPr>
            <w:tcW w:w="1170" w:type="dxa"/>
            <w:tcBorders>
              <w:top w:val="thinThickSmallGap" w:sz="12" w:space="0" w:color="auto"/>
              <w:right w:val="single" w:sz="18" w:space="0" w:color="auto"/>
            </w:tcBorders>
            <w:vAlign w:val="bottom"/>
          </w:tcPr>
          <w:p w14:paraId="7BBAC510"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43,399,184</w:t>
            </w:r>
          </w:p>
        </w:tc>
        <w:tc>
          <w:tcPr>
            <w:tcW w:w="1216" w:type="dxa"/>
            <w:tcBorders>
              <w:top w:val="thinThickSmallGap" w:sz="12" w:space="0" w:color="auto"/>
              <w:left w:val="single" w:sz="18" w:space="0" w:color="auto"/>
            </w:tcBorders>
            <w:vAlign w:val="bottom"/>
          </w:tcPr>
          <w:p w14:paraId="4726ED93"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161,757,352</w:t>
            </w:r>
          </w:p>
        </w:tc>
        <w:tc>
          <w:tcPr>
            <w:tcW w:w="1214" w:type="dxa"/>
            <w:tcBorders>
              <w:top w:val="thinThickSmallGap" w:sz="12" w:space="0" w:color="auto"/>
              <w:right w:val="single" w:sz="18" w:space="0" w:color="auto"/>
            </w:tcBorders>
            <w:vAlign w:val="bottom"/>
          </w:tcPr>
          <w:p w14:paraId="3B74F67F" w14:textId="77777777" w:rsidR="00511606" w:rsidRPr="003F528C" w:rsidRDefault="00511606" w:rsidP="00085430">
            <w:pPr>
              <w:keepNext/>
              <w:keepLines/>
              <w:jc w:val="right"/>
              <w:rPr>
                <w:rFonts w:eastAsia="Times New Roman" w:cstheme="minorHAnsi"/>
                <w:color w:val="000000"/>
                <w:sz w:val="20"/>
                <w:szCs w:val="20"/>
              </w:rPr>
            </w:pPr>
            <w:r w:rsidRPr="003F528C">
              <w:rPr>
                <w:rFonts w:eastAsia="Times New Roman" w:cstheme="minorHAnsi"/>
                <w:color w:val="000000"/>
                <w:sz w:val="20"/>
                <w:szCs w:val="20"/>
              </w:rPr>
              <w:t>43,439,884</w:t>
            </w:r>
          </w:p>
        </w:tc>
      </w:tr>
      <w:tr w:rsidR="00511606" w14:paraId="68C53164" w14:textId="77777777" w:rsidTr="00296FEB">
        <w:tc>
          <w:tcPr>
            <w:tcW w:w="1458" w:type="dxa"/>
            <w:tcBorders>
              <w:right w:val="single" w:sz="18" w:space="0" w:color="auto"/>
            </w:tcBorders>
            <w:vAlign w:val="bottom"/>
          </w:tcPr>
          <w:p w14:paraId="41EE1F05" w14:textId="77777777" w:rsidR="00511606" w:rsidRPr="003F528C" w:rsidRDefault="00511606" w:rsidP="00085430">
            <w:pPr>
              <w:keepNext/>
              <w:keepLines/>
              <w:rPr>
                <w:rFonts w:ascii="Times New Roman" w:eastAsia="Times New Roman" w:hAnsi="Times New Roman" w:cs="Times New Roman"/>
                <w:color w:val="000000"/>
                <w:sz w:val="20"/>
                <w:szCs w:val="20"/>
              </w:rPr>
            </w:pPr>
            <w:r w:rsidRPr="003F528C">
              <w:rPr>
                <w:rFonts w:ascii="Times New Roman" w:eastAsia="Times New Roman" w:hAnsi="Times New Roman" w:cs="Times New Roman"/>
                <w:b/>
                <w:bCs/>
                <w:color w:val="000000"/>
                <w:sz w:val="20"/>
                <w:szCs w:val="20"/>
              </w:rPr>
              <w:t>Average</w:t>
            </w:r>
          </w:p>
        </w:tc>
        <w:tc>
          <w:tcPr>
            <w:tcW w:w="1170" w:type="dxa"/>
            <w:tcBorders>
              <w:left w:val="single" w:sz="18" w:space="0" w:color="auto"/>
            </w:tcBorders>
            <w:vAlign w:val="bottom"/>
          </w:tcPr>
          <w:p w14:paraId="6728E4AC" w14:textId="77777777" w:rsidR="00511606" w:rsidRPr="003F528C" w:rsidRDefault="00511606" w:rsidP="00085430">
            <w:pPr>
              <w:keepNext/>
              <w:keepLines/>
              <w:jc w:val="right"/>
              <w:rPr>
                <w:rFonts w:ascii="Times New Roman" w:eastAsia="Times New Roman" w:hAnsi="Times New Roman" w:cs="Times New Roman"/>
                <w:color w:val="000000"/>
                <w:sz w:val="20"/>
                <w:szCs w:val="20"/>
              </w:rPr>
            </w:pPr>
            <w:r w:rsidRPr="003F528C">
              <w:rPr>
                <w:rFonts w:ascii="Times New Roman" w:eastAsia="Times New Roman" w:hAnsi="Times New Roman" w:cs="Times New Roman"/>
                <w:color w:val="000000"/>
                <w:sz w:val="20"/>
                <w:szCs w:val="20"/>
              </w:rPr>
              <w:t>2,454,233</w:t>
            </w:r>
          </w:p>
        </w:tc>
        <w:tc>
          <w:tcPr>
            <w:tcW w:w="1260" w:type="dxa"/>
            <w:tcBorders>
              <w:right w:val="single" w:sz="18" w:space="0" w:color="auto"/>
            </w:tcBorders>
            <w:vAlign w:val="bottom"/>
          </w:tcPr>
          <w:p w14:paraId="26D97CDE" w14:textId="77777777" w:rsidR="00511606" w:rsidRPr="003F528C" w:rsidRDefault="00511606" w:rsidP="00085430">
            <w:pPr>
              <w:keepNext/>
              <w:keepLines/>
              <w:jc w:val="right"/>
              <w:rPr>
                <w:rFonts w:ascii="Times New Roman" w:eastAsia="Times New Roman" w:hAnsi="Times New Roman" w:cs="Times New Roman"/>
                <w:color w:val="000000"/>
                <w:sz w:val="20"/>
                <w:szCs w:val="20"/>
              </w:rPr>
            </w:pPr>
            <w:r w:rsidRPr="003F528C">
              <w:rPr>
                <w:rFonts w:ascii="Times New Roman" w:eastAsia="Times New Roman" w:hAnsi="Times New Roman" w:cs="Times New Roman"/>
                <w:color w:val="000000"/>
                <w:sz w:val="20"/>
                <w:szCs w:val="20"/>
              </w:rPr>
              <w:t>1,925,596</w:t>
            </w:r>
          </w:p>
        </w:tc>
        <w:tc>
          <w:tcPr>
            <w:tcW w:w="1260" w:type="dxa"/>
            <w:tcBorders>
              <w:left w:val="single" w:sz="18" w:space="0" w:color="auto"/>
            </w:tcBorders>
            <w:vAlign w:val="bottom"/>
          </w:tcPr>
          <w:p w14:paraId="00981716" w14:textId="77777777" w:rsidR="00511606" w:rsidRPr="003F528C" w:rsidRDefault="00511606" w:rsidP="00085430">
            <w:pPr>
              <w:keepNext/>
              <w:keepLines/>
              <w:jc w:val="right"/>
              <w:rPr>
                <w:rFonts w:ascii="Times New Roman" w:eastAsia="Times New Roman" w:hAnsi="Times New Roman" w:cs="Times New Roman"/>
                <w:color w:val="000000"/>
                <w:sz w:val="20"/>
                <w:szCs w:val="20"/>
              </w:rPr>
            </w:pPr>
            <w:r w:rsidRPr="003F528C">
              <w:rPr>
                <w:rFonts w:ascii="Times New Roman" w:eastAsia="Times New Roman" w:hAnsi="Times New Roman" w:cs="Times New Roman"/>
                <w:color w:val="000000"/>
                <w:sz w:val="20"/>
                <w:szCs w:val="20"/>
              </w:rPr>
              <w:t>3,409,150</w:t>
            </w:r>
          </w:p>
        </w:tc>
        <w:tc>
          <w:tcPr>
            <w:tcW w:w="1170" w:type="dxa"/>
            <w:tcBorders>
              <w:right w:val="single" w:sz="18" w:space="0" w:color="auto"/>
            </w:tcBorders>
            <w:vAlign w:val="bottom"/>
          </w:tcPr>
          <w:p w14:paraId="65BA5093" w14:textId="77777777" w:rsidR="00511606" w:rsidRPr="003F528C" w:rsidRDefault="00511606" w:rsidP="00085430">
            <w:pPr>
              <w:keepNext/>
              <w:keepLines/>
              <w:jc w:val="right"/>
              <w:rPr>
                <w:rFonts w:ascii="Times New Roman" w:eastAsia="Times New Roman" w:hAnsi="Times New Roman" w:cs="Times New Roman"/>
                <w:color w:val="000000"/>
                <w:sz w:val="20"/>
                <w:szCs w:val="20"/>
              </w:rPr>
            </w:pPr>
            <w:r w:rsidRPr="003F528C">
              <w:rPr>
                <w:rFonts w:ascii="Times New Roman" w:eastAsia="Times New Roman" w:hAnsi="Times New Roman" w:cs="Times New Roman"/>
                <w:color w:val="000000"/>
                <w:sz w:val="20"/>
                <w:szCs w:val="20"/>
              </w:rPr>
              <w:t>2,085,418</w:t>
            </w:r>
          </w:p>
        </w:tc>
        <w:tc>
          <w:tcPr>
            <w:tcW w:w="1216" w:type="dxa"/>
            <w:tcBorders>
              <w:left w:val="single" w:sz="18" w:space="0" w:color="auto"/>
            </w:tcBorders>
            <w:vAlign w:val="bottom"/>
          </w:tcPr>
          <w:p w14:paraId="37B21057" w14:textId="77777777" w:rsidR="00511606" w:rsidRPr="003F528C" w:rsidRDefault="00511606" w:rsidP="00085430">
            <w:pPr>
              <w:keepNext/>
              <w:keepLines/>
              <w:jc w:val="right"/>
              <w:rPr>
                <w:rFonts w:ascii="Times New Roman" w:eastAsia="Times New Roman" w:hAnsi="Times New Roman" w:cs="Times New Roman"/>
                <w:color w:val="000000"/>
                <w:sz w:val="20"/>
                <w:szCs w:val="20"/>
              </w:rPr>
            </w:pPr>
            <w:r w:rsidRPr="003F528C">
              <w:rPr>
                <w:rFonts w:ascii="Times New Roman" w:eastAsia="Times New Roman" w:hAnsi="Times New Roman" w:cs="Times New Roman"/>
                <w:color w:val="000000"/>
                <w:sz w:val="20"/>
                <w:szCs w:val="20"/>
              </w:rPr>
              <w:t>5,859,607</w:t>
            </w:r>
          </w:p>
        </w:tc>
        <w:tc>
          <w:tcPr>
            <w:tcW w:w="1214" w:type="dxa"/>
            <w:tcBorders>
              <w:right w:val="single" w:sz="18" w:space="0" w:color="auto"/>
            </w:tcBorders>
            <w:vAlign w:val="bottom"/>
          </w:tcPr>
          <w:p w14:paraId="45299EFD" w14:textId="77777777" w:rsidR="00511606" w:rsidRPr="003F528C" w:rsidRDefault="00511606" w:rsidP="00085430">
            <w:pPr>
              <w:keepNext/>
              <w:keepLines/>
              <w:jc w:val="right"/>
              <w:rPr>
                <w:rFonts w:ascii="Times New Roman" w:eastAsia="Times New Roman" w:hAnsi="Times New Roman" w:cs="Times New Roman"/>
                <w:color w:val="000000"/>
                <w:sz w:val="20"/>
                <w:szCs w:val="20"/>
              </w:rPr>
            </w:pPr>
            <w:r w:rsidRPr="003F528C">
              <w:rPr>
                <w:rFonts w:ascii="Times New Roman" w:eastAsia="Times New Roman" w:hAnsi="Times New Roman" w:cs="Times New Roman"/>
                <w:color w:val="000000"/>
                <w:sz w:val="20"/>
                <w:szCs w:val="20"/>
              </w:rPr>
              <w:t>3,685,636</w:t>
            </w:r>
          </w:p>
        </w:tc>
      </w:tr>
      <w:tr w:rsidR="00511606" w14:paraId="750EAFD3" w14:textId="77777777" w:rsidTr="00296FEB">
        <w:tc>
          <w:tcPr>
            <w:tcW w:w="1458" w:type="dxa"/>
            <w:tcBorders>
              <w:right w:val="single" w:sz="18" w:space="0" w:color="auto"/>
            </w:tcBorders>
            <w:vAlign w:val="bottom"/>
          </w:tcPr>
          <w:p w14:paraId="7004AF3A" w14:textId="77777777" w:rsidR="00511606" w:rsidRPr="003F528C" w:rsidRDefault="00511606" w:rsidP="00085430">
            <w:pPr>
              <w:keepNext/>
              <w:keepLines/>
              <w:rPr>
                <w:rFonts w:ascii="Times New Roman" w:eastAsia="Times New Roman" w:hAnsi="Times New Roman" w:cs="Times New Roman"/>
                <w:color w:val="000000"/>
                <w:sz w:val="20"/>
                <w:szCs w:val="20"/>
              </w:rPr>
            </w:pPr>
            <w:r w:rsidRPr="003F528C">
              <w:rPr>
                <w:rFonts w:ascii="Times New Roman" w:eastAsia="Times New Roman" w:hAnsi="Times New Roman" w:cs="Times New Roman"/>
                <w:b/>
                <w:bCs/>
                <w:color w:val="000000"/>
                <w:sz w:val="20"/>
                <w:szCs w:val="20"/>
              </w:rPr>
              <w:t>Median</w:t>
            </w:r>
          </w:p>
        </w:tc>
        <w:tc>
          <w:tcPr>
            <w:tcW w:w="1170" w:type="dxa"/>
            <w:tcBorders>
              <w:left w:val="single" w:sz="18" w:space="0" w:color="auto"/>
            </w:tcBorders>
            <w:vAlign w:val="bottom"/>
          </w:tcPr>
          <w:p w14:paraId="7EC34578" w14:textId="77777777" w:rsidR="00511606" w:rsidRPr="003F528C" w:rsidRDefault="00511606" w:rsidP="00085430">
            <w:pPr>
              <w:keepNext/>
              <w:keepLines/>
              <w:jc w:val="right"/>
              <w:rPr>
                <w:rFonts w:ascii="Times New Roman" w:eastAsia="Times New Roman" w:hAnsi="Times New Roman" w:cs="Times New Roman"/>
                <w:color w:val="000000"/>
                <w:sz w:val="20"/>
                <w:szCs w:val="20"/>
              </w:rPr>
            </w:pPr>
            <w:r w:rsidRPr="003F528C">
              <w:rPr>
                <w:rFonts w:ascii="Times New Roman" w:eastAsia="Times New Roman" w:hAnsi="Times New Roman" w:cs="Times New Roman"/>
                <w:color w:val="000000"/>
                <w:sz w:val="20"/>
                <w:szCs w:val="20"/>
              </w:rPr>
              <w:t>1,248,607</w:t>
            </w:r>
          </w:p>
        </w:tc>
        <w:tc>
          <w:tcPr>
            <w:tcW w:w="1260" w:type="dxa"/>
            <w:tcBorders>
              <w:right w:val="single" w:sz="18" w:space="0" w:color="auto"/>
            </w:tcBorders>
            <w:vAlign w:val="bottom"/>
          </w:tcPr>
          <w:p w14:paraId="244D011C" w14:textId="77777777" w:rsidR="00511606" w:rsidRPr="003F528C" w:rsidRDefault="00511606" w:rsidP="00085430">
            <w:pPr>
              <w:keepNext/>
              <w:keepLines/>
              <w:jc w:val="right"/>
              <w:rPr>
                <w:rFonts w:ascii="Times New Roman" w:eastAsia="Times New Roman" w:hAnsi="Times New Roman" w:cs="Times New Roman"/>
                <w:color w:val="000000"/>
                <w:sz w:val="20"/>
                <w:szCs w:val="20"/>
              </w:rPr>
            </w:pPr>
            <w:r w:rsidRPr="003F528C">
              <w:rPr>
                <w:rFonts w:ascii="Times New Roman" w:eastAsia="Times New Roman" w:hAnsi="Times New Roman" w:cs="Times New Roman"/>
                <w:color w:val="000000"/>
                <w:sz w:val="20"/>
                <w:szCs w:val="20"/>
              </w:rPr>
              <w:t>906,396</w:t>
            </w:r>
          </w:p>
        </w:tc>
        <w:tc>
          <w:tcPr>
            <w:tcW w:w="1260" w:type="dxa"/>
            <w:tcBorders>
              <w:left w:val="single" w:sz="18" w:space="0" w:color="auto"/>
            </w:tcBorders>
            <w:vAlign w:val="bottom"/>
          </w:tcPr>
          <w:p w14:paraId="39305408" w14:textId="77777777" w:rsidR="00511606" w:rsidRPr="003F528C" w:rsidRDefault="00511606" w:rsidP="00085430">
            <w:pPr>
              <w:keepNext/>
              <w:keepLines/>
              <w:jc w:val="right"/>
              <w:rPr>
                <w:rFonts w:ascii="Times New Roman" w:eastAsia="Times New Roman" w:hAnsi="Times New Roman" w:cs="Times New Roman"/>
                <w:color w:val="000000"/>
                <w:sz w:val="20"/>
                <w:szCs w:val="20"/>
              </w:rPr>
            </w:pPr>
            <w:r w:rsidRPr="003F528C">
              <w:rPr>
                <w:rFonts w:ascii="Times New Roman" w:eastAsia="Times New Roman" w:hAnsi="Times New Roman" w:cs="Times New Roman"/>
                <w:color w:val="000000"/>
                <w:sz w:val="20"/>
                <w:szCs w:val="20"/>
              </w:rPr>
              <w:t>229,367</w:t>
            </w:r>
          </w:p>
        </w:tc>
        <w:tc>
          <w:tcPr>
            <w:tcW w:w="1170" w:type="dxa"/>
            <w:tcBorders>
              <w:right w:val="single" w:sz="18" w:space="0" w:color="auto"/>
            </w:tcBorders>
            <w:vAlign w:val="bottom"/>
          </w:tcPr>
          <w:p w14:paraId="0E148DFA" w14:textId="77777777" w:rsidR="00511606" w:rsidRPr="003F528C" w:rsidRDefault="00511606" w:rsidP="00085430">
            <w:pPr>
              <w:keepNext/>
              <w:keepLines/>
              <w:jc w:val="right"/>
              <w:rPr>
                <w:rFonts w:ascii="Times New Roman" w:eastAsia="Times New Roman" w:hAnsi="Times New Roman" w:cs="Times New Roman"/>
                <w:color w:val="000000"/>
                <w:sz w:val="20"/>
                <w:szCs w:val="20"/>
              </w:rPr>
            </w:pPr>
            <w:r w:rsidRPr="003F528C">
              <w:rPr>
                <w:rFonts w:ascii="Times New Roman" w:eastAsia="Times New Roman" w:hAnsi="Times New Roman" w:cs="Times New Roman"/>
                <w:color w:val="000000"/>
                <w:sz w:val="20"/>
                <w:szCs w:val="20"/>
              </w:rPr>
              <w:t>208,207</w:t>
            </w:r>
          </w:p>
        </w:tc>
        <w:tc>
          <w:tcPr>
            <w:tcW w:w="1216" w:type="dxa"/>
            <w:tcBorders>
              <w:left w:val="single" w:sz="18" w:space="0" w:color="auto"/>
            </w:tcBorders>
            <w:vAlign w:val="bottom"/>
          </w:tcPr>
          <w:p w14:paraId="459765D8" w14:textId="77777777" w:rsidR="00511606" w:rsidRPr="003F528C" w:rsidRDefault="00511606" w:rsidP="00085430">
            <w:pPr>
              <w:keepNext/>
              <w:keepLines/>
              <w:jc w:val="right"/>
              <w:rPr>
                <w:rFonts w:ascii="Times New Roman" w:eastAsia="Times New Roman" w:hAnsi="Times New Roman" w:cs="Times New Roman"/>
                <w:color w:val="000000"/>
                <w:sz w:val="20"/>
                <w:szCs w:val="20"/>
              </w:rPr>
            </w:pPr>
            <w:r w:rsidRPr="003F528C">
              <w:rPr>
                <w:rFonts w:ascii="Times New Roman" w:eastAsia="Times New Roman" w:hAnsi="Times New Roman" w:cs="Times New Roman"/>
                <w:color w:val="000000"/>
                <w:sz w:val="20"/>
                <w:szCs w:val="20"/>
              </w:rPr>
              <w:t>1,837,241</w:t>
            </w:r>
          </w:p>
        </w:tc>
        <w:tc>
          <w:tcPr>
            <w:tcW w:w="1214" w:type="dxa"/>
            <w:tcBorders>
              <w:right w:val="single" w:sz="18" w:space="0" w:color="auto"/>
            </w:tcBorders>
            <w:vAlign w:val="bottom"/>
          </w:tcPr>
          <w:p w14:paraId="5C2AE7E2" w14:textId="77777777" w:rsidR="00511606" w:rsidRPr="003F528C" w:rsidRDefault="00511606" w:rsidP="00085430">
            <w:pPr>
              <w:keepNext/>
              <w:keepLines/>
              <w:jc w:val="right"/>
              <w:rPr>
                <w:rFonts w:ascii="Times New Roman" w:eastAsia="Times New Roman" w:hAnsi="Times New Roman" w:cs="Times New Roman"/>
                <w:color w:val="000000"/>
                <w:sz w:val="20"/>
                <w:szCs w:val="20"/>
              </w:rPr>
            </w:pPr>
            <w:r w:rsidRPr="003F528C">
              <w:rPr>
                <w:rFonts w:ascii="Times New Roman" w:eastAsia="Times New Roman" w:hAnsi="Times New Roman" w:cs="Times New Roman"/>
                <w:color w:val="000000"/>
                <w:sz w:val="20"/>
                <w:szCs w:val="20"/>
              </w:rPr>
              <w:t>1,544,138</w:t>
            </w:r>
          </w:p>
        </w:tc>
      </w:tr>
    </w:tbl>
    <w:p w14:paraId="4F7C32FA" w14:textId="77777777" w:rsidR="00511606" w:rsidRDefault="00511606" w:rsidP="00511606">
      <w:pPr>
        <w:rPr>
          <w:rFonts w:ascii="Times New Roman" w:eastAsia="Times New Roman" w:hAnsi="Times New Roman" w:cs="Times New Roman"/>
          <w:color w:val="000000"/>
        </w:rPr>
      </w:pPr>
    </w:p>
    <w:p w14:paraId="1F8CC552" w14:textId="6F05C276" w:rsidR="008373AC" w:rsidRPr="00B026E4" w:rsidRDefault="006F48A0" w:rsidP="008373AC">
      <w:pPr>
        <w:spacing w:line="480" w:lineRule="auto"/>
        <w:ind w:firstLine="720"/>
        <w:rPr>
          <w:rFonts w:ascii="Times New Roman" w:hAnsi="Times New Roman" w:cs="Times New Roman"/>
        </w:rPr>
      </w:pPr>
      <w:r>
        <w:rPr>
          <w:rFonts w:ascii="Times New Roman" w:hAnsi="Times New Roman" w:cs="Times New Roman"/>
        </w:rPr>
        <w:t>As the data in Table 2</w:t>
      </w:r>
      <w:r w:rsidR="00296FEB">
        <w:rPr>
          <w:rFonts w:ascii="Times New Roman" w:hAnsi="Times New Roman" w:cs="Times New Roman"/>
        </w:rPr>
        <w:t>9</w:t>
      </w:r>
      <w:r>
        <w:rPr>
          <w:rFonts w:ascii="Times New Roman" w:hAnsi="Times New Roman" w:cs="Times New Roman"/>
        </w:rPr>
        <w:t xml:space="preserve"> show, </w:t>
      </w:r>
      <w:r w:rsidR="008373AC" w:rsidRPr="00B026E4">
        <w:rPr>
          <w:rFonts w:ascii="Times New Roman" w:hAnsi="Times New Roman" w:cs="Times New Roman"/>
        </w:rPr>
        <w:t xml:space="preserve">the median debtor </w:t>
      </w:r>
      <w:r>
        <w:rPr>
          <w:rFonts w:ascii="Times New Roman" w:hAnsi="Times New Roman" w:cs="Times New Roman"/>
        </w:rPr>
        <w:t xml:space="preserve">in 2010 </w:t>
      </w:r>
      <w:r w:rsidR="008373AC" w:rsidRPr="00B026E4">
        <w:rPr>
          <w:rFonts w:ascii="Times New Roman" w:hAnsi="Times New Roman" w:cs="Times New Roman"/>
        </w:rPr>
        <w:t>had over $1.8 million in total debt</w:t>
      </w:r>
      <w:r w:rsidR="00EC104F">
        <w:rPr>
          <w:rFonts w:ascii="Times New Roman" w:hAnsi="Times New Roman" w:cs="Times New Roman"/>
        </w:rPr>
        <w:t>,</w:t>
      </w:r>
      <w:r>
        <w:rPr>
          <w:rFonts w:ascii="Times New Roman" w:hAnsi="Times New Roman" w:cs="Times New Roman"/>
        </w:rPr>
        <w:t xml:space="preserve"> of which </w:t>
      </w:r>
      <w:r w:rsidR="008373AC" w:rsidRPr="00B026E4">
        <w:rPr>
          <w:rFonts w:ascii="Times New Roman" w:hAnsi="Times New Roman" w:cs="Times New Roman"/>
        </w:rPr>
        <w:t xml:space="preserve">$1.25 million </w:t>
      </w:r>
      <w:r>
        <w:rPr>
          <w:rFonts w:ascii="Times New Roman" w:hAnsi="Times New Roman" w:cs="Times New Roman"/>
        </w:rPr>
        <w:t>was</w:t>
      </w:r>
      <w:r w:rsidR="008373AC" w:rsidRPr="00B026E4">
        <w:rPr>
          <w:rFonts w:ascii="Times New Roman" w:hAnsi="Times New Roman" w:cs="Times New Roman"/>
        </w:rPr>
        <w:t xml:space="preserve"> secured debt</w:t>
      </w:r>
      <w:r>
        <w:rPr>
          <w:rFonts w:ascii="Times New Roman" w:hAnsi="Times New Roman" w:cs="Times New Roman"/>
        </w:rPr>
        <w:t xml:space="preserve"> and approximately </w:t>
      </w:r>
      <w:r w:rsidR="008373AC" w:rsidRPr="00B026E4">
        <w:rPr>
          <w:rFonts w:ascii="Times New Roman" w:hAnsi="Times New Roman" w:cs="Times New Roman"/>
        </w:rPr>
        <w:t xml:space="preserve">$229,000 </w:t>
      </w:r>
      <w:r>
        <w:rPr>
          <w:rFonts w:ascii="Times New Roman" w:hAnsi="Times New Roman" w:cs="Times New Roman"/>
        </w:rPr>
        <w:t>was</w:t>
      </w:r>
      <w:r w:rsidR="008373AC" w:rsidRPr="00B026E4">
        <w:rPr>
          <w:rFonts w:ascii="Times New Roman" w:hAnsi="Times New Roman" w:cs="Times New Roman"/>
        </w:rPr>
        <w:t xml:space="preserve"> non-priority unsecured debt.  In 2013</w:t>
      </w:r>
      <w:r w:rsidR="008373AC">
        <w:rPr>
          <w:rFonts w:ascii="Times New Roman" w:hAnsi="Times New Roman" w:cs="Times New Roman"/>
        </w:rPr>
        <w:t>,</w:t>
      </w:r>
      <w:r w:rsidR="008373AC" w:rsidRPr="00B026E4">
        <w:rPr>
          <w:rFonts w:ascii="Times New Roman" w:hAnsi="Times New Roman" w:cs="Times New Roman"/>
        </w:rPr>
        <w:t xml:space="preserve"> these figures were a little lower: $1.5 million</w:t>
      </w:r>
      <w:r w:rsidR="008373AC">
        <w:rPr>
          <w:rFonts w:ascii="Times New Roman" w:hAnsi="Times New Roman" w:cs="Times New Roman"/>
        </w:rPr>
        <w:t xml:space="preserve"> in total debt</w:t>
      </w:r>
      <w:r w:rsidR="00EC104F">
        <w:rPr>
          <w:rFonts w:ascii="Times New Roman" w:hAnsi="Times New Roman" w:cs="Times New Roman"/>
        </w:rPr>
        <w:t>,</w:t>
      </w:r>
      <w:r>
        <w:rPr>
          <w:rFonts w:ascii="Times New Roman" w:hAnsi="Times New Roman" w:cs="Times New Roman"/>
        </w:rPr>
        <w:t xml:space="preserve"> of which</w:t>
      </w:r>
      <w:r w:rsidR="008373AC" w:rsidRPr="00B026E4">
        <w:rPr>
          <w:rFonts w:ascii="Times New Roman" w:hAnsi="Times New Roman" w:cs="Times New Roman"/>
        </w:rPr>
        <w:t xml:space="preserve"> </w:t>
      </w:r>
      <w:r w:rsidR="004D5CF2">
        <w:rPr>
          <w:rFonts w:ascii="Times New Roman" w:hAnsi="Times New Roman" w:cs="Times New Roman"/>
        </w:rPr>
        <w:t xml:space="preserve">approximately </w:t>
      </w:r>
      <w:r w:rsidR="008373AC" w:rsidRPr="00B026E4">
        <w:rPr>
          <w:rFonts w:ascii="Times New Roman" w:hAnsi="Times New Roman" w:cs="Times New Roman"/>
        </w:rPr>
        <w:t>$90</w:t>
      </w:r>
      <w:r w:rsidR="004D5CF2">
        <w:rPr>
          <w:rFonts w:ascii="Times New Roman" w:hAnsi="Times New Roman" w:cs="Times New Roman"/>
        </w:rPr>
        <w:t>6</w:t>
      </w:r>
      <w:r w:rsidR="008373AC" w:rsidRPr="00B026E4">
        <w:rPr>
          <w:rFonts w:ascii="Times New Roman" w:hAnsi="Times New Roman" w:cs="Times New Roman"/>
        </w:rPr>
        <w:t xml:space="preserve">,000 </w:t>
      </w:r>
      <w:r>
        <w:rPr>
          <w:rFonts w:ascii="Times New Roman" w:hAnsi="Times New Roman" w:cs="Times New Roman"/>
        </w:rPr>
        <w:t>was</w:t>
      </w:r>
      <w:r w:rsidR="008373AC">
        <w:rPr>
          <w:rFonts w:ascii="Times New Roman" w:hAnsi="Times New Roman" w:cs="Times New Roman"/>
        </w:rPr>
        <w:t xml:space="preserve"> secured debt </w:t>
      </w:r>
      <w:r w:rsidR="008373AC" w:rsidRPr="00B026E4">
        <w:rPr>
          <w:rFonts w:ascii="Times New Roman" w:hAnsi="Times New Roman" w:cs="Times New Roman"/>
        </w:rPr>
        <w:t>and $208,00</w:t>
      </w:r>
      <w:r w:rsidR="008373AC">
        <w:rPr>
          <w:rFonts w:ascii="Times New Roman" w:hAnsi="Times New Roman" w:cs="Times New Roman"/>
        </w:rPr>
        <w:t xml:space="preserve">0 </w:t>
      </w:r>
      <w:r>
        <w:rPr>
          <w:rFonts w:ascii="Times New Roman" w:hAnsi="Times New Roman" w:cs="Times New Roman"/>
        </w:rPr>
        <w:t>was</w:t>
      </w:r>
      <w:r w:rsidR="008373AC">
        <w:rPr>
          <w:rFonts w:ascii="Times New Roman" w:hAnsi="Times New Roman" w:cs="Times New Roman"/>
        </w:rPr>
        <w:t xml:space="preserve"> non-priority unsecured debt</w:t>
      </w:r>
      <w:r w:rsidR="008373AC" w:rsidRPr="00B026E4">
        <w:rPr>
          <w:rFonts w:ascii="Times New Roman" w:hAnsi="Times New Roman" w:cs="Times New Roman"/>
        </w:rPr>
        <w:t xml:space="preserve">. As </w:t>
      </w:r>
      <w:r w:rsidR="00B57A23">
        <w:rPr>
          <w:rFonts w:ascii="Times New Roman" w:hAnsi="Times New Roman" w:cs="Times New Roman"/>
        </w:rPr>
        <w:t>shown in Table 2</w:t>
      </w:r>
      <w:r w:rsidR="00296FEB">
        <w:rPr>
          <w:rFonts w:ascii="Times New Roman" w:hAnsi="Times New Roman" w:cs="Times New Roman"/>
        </w:rPr>
        <w:t>9</w:t>
      </w:r>
      <w:r w:rsidR="008373AC" w:rsidRPr="00B026E4">
        <w:rPr>
          <w:rFonts w:ascii="Times New Roman" w:hAnsi="Times New Roman" w:cs="Times New Roman"/>
        </w:rPr>
        <w:t xml:space="preserve">, most of the debtors </w:t>
      </w:r>
      <w:r w:rsidR="00B57A23">
        <w:rPr>
          <w:rFonts w:ascii="Times New Roman" w:hAnsi="Times New Roman" w:cs="Times New Roman"/>
        </w:rPr>
        <w:t xml:space="preserve">in 2010 and 2013 </w:t>
      </w:r>
      <w:r w:rsidR="008373AC" w:rsidRPr="00B026E4">
        <w:rPr>
          <w:rFonts w:ascii="Times New Roman" w:hAnsi="Times New Roman" w:cs="Times New Roman"/>
        </w:rPr>
        <w:t>had total debt between $500,000 and $2,500,000.</w:t>
      </w:r>
      <w:r w:rsidR="008373AC">
        <w:rPr>
          <w:rFonts w:ascii="Times New Roman" w:hAnsi="Times New Roman" w:cs="Times New Roman"/>
        </w:rPr>
        <w:t xml:space="preserve"> </w:t>
      </w:r>
    </w:p>
    <w:p w14:paraId="4E065652" w14:textId="42A89E4F" w:rsidR="008F7581" w:rsidRPr="008F7581" w:rsidRDefault="00D56A5E" w:rsidP="006B1443">
      <w:pPr>
        <w:spacing w:line="480" w:lineRule="auto"/>
        <w:ind w:firstLine="720"/>
        <w:rPr>
          <w:rFonts w:ascii="Times New Roman" w:hAnsi="Times New Roman" w:cs="Times New Roman"/>
        </w:rPr>
      </w:pPr>
      <w:r>
        <w:rPr>
          <w:rFonts w:ascii="Times New Roman" w:hAnsi="Times New Roman" w:cs="Times New Roman"/>
        </w:rPr>
        <w:t>Presumably,</w:t>
      </w:r>
      <w:r w:rsidR="008373AC" w:rsidRPr="00B026E4">
        <w:rPr>
          <w:rFonts w:ascii="Times New Roman" w:hAnsi="Times New Roman" w:cs="Times New Roman"/>
        </w:rPr>
        <w:t xml:space="preserve"> many debtors </w:t>
      </w:r>
      <w:r w:rsidR="008F7581">
        <w:rPr>
          <w:rFonts w:ascii="Times New Roman" w:hAnsi="Times New Roman" w:cs="Times New Roman"/>
        </w:rPr>
        <w:t>choose</w:t>
      </w:r>
      <w:r w:rsidR="008373AC" w:rsidRPr="00B026E4">
        <w:rPr>
          <w:rFonts w:ascii="Times New Roman" w:hAnsi="Times New Roman" w:cs="Times New Roman"/>
        </w:rPr>
        <w:t xml:space="preserve"> </w:t>
      </w:r>
      <w:r w:rsidR="00AA091B">
        <w:rPr>
          <w:rFonts w:ascii="Times New Roman" w:hAnsi="Times New Roman" w:cs="Times New Roman"/>
        </w:rPr>
        <w:t>chapter</w:t>
      </w:r>
      <w:r w:rsidR="008373AC" w:rsidRPr="00B026E4">
        <w:rPr>
          <w:rFonts w:ascii="Times New Roman" w:hAnsi="Times New Roman" w:cs="Times New Roman"/>
        </w:rPr>
        <w:t xml:space="preserve"> 11 because </w:t>
      </w:r>
      <w:r w:rsidR="007C21EE">
        <w:rPr>
          <w:rFonts w:ascii="Times New Roman" w:hAnsi="Times New Roman" w:cs="Times New Roman"/>
        </w:rPr>
        <w:t>they wish to reorganize but their debts make them</w:t>
      </w:r>
      <w:r w:rsidR="008F7581">
        <w:rPr>
          <w:rFonts w:ascii="Times New Roman" w:hAnsi="Times New Roman" w:cs="Times New Roman"/>
        </w:rPr>
        <w:t xml:space="preserve"> ineligible for </w:t>
      </w:r>
      <w:r w:rsidR="00AA091B">
        <w:rPr>
          <w:rFonts w:ascii="Times New Roman" w:hAnsi="Times New Roman" w:cs="Times New Roman"/>
        </w:rPr>
        <w:t>chapter</w:t>
      </w:r>
      <w:r w:rsidR="008373AC" w:rsidRPr="00B026E4">
        <w:rPr>
          <w:rFonts w:ascii="Times New Roman" w:hAnsi="Times New Roman" w:cs="Times New Roman"/>
        </w:rPr>
        <w:t xml:space="preserve"> 13.</w:t>
      </w:r>
      <w:r w:rsidR="00AC6343">
        <w:rPr>
          <w:rStyle w:val="FootnoteReference"/>
          <w:rFonts w:ascii="Times New Roman" w:hAnsi="Times New Roman" w:cs="Times New Roman"/>
        </w:rPr>
        <w:footnoteReference w:id="158"/>
      </w:r>
      <w:r w:rsidR="008373AC" w:rsidRPr="00B026E4">
        <w:rPr>
          <w:rFonts w:ascii="Times New Roman" w:hAnsi="Times New Roman" w:cs="Times New Roman"/>
        </w:rPr>
        <w:t xml:space="preserve"> </w:t>
      </w:r>
      <w:r w:rsidR="008F7581" w:rsidRPr="008F7581">
        <w:rPr>
          <w:rFonts w:asciiTheme="majorHAnsi" w:hAnsiTheme="majorHAnsi"/>
        </w:rPr>
        <w:t>Because individuals meeting chapter 13</w:t>
      </w:r>
      <w:r w:rsidR="007C21EE">
        <w:rPr>
          <w:rFonts w:asciiTheme="majorHAnsi" w:hAnsiTheme="majorHAnsi"/>
        </w:rPr>
        <w:t>’s</w:t>
      </w:r>
      <w:r w:rsidR="008F7581" w:rsidRPr="008F7581">
        <w:rPr>
          <w:rFonts w:asciiTheme="majorHAnsi" w:hAnsiTheme="majorHAnsi"/>
        </w:rPr>
        <w:t xml:space="preserve"> debt limits</w:t>
      </w:r>
      <w:bookmarkStart w:id="23" w:name="_Ref333839400"/>
      <w:r w:rsidR="007C21EE" w:rsidRPr="00B026E4">
        <w:rPr>
          <w:rStyle w:val="FootnoteReference"/>
          <w:rFonts w:ascii="Times New Roman" w:hAnsi="Times New Roman" w:cs="Times New Roman"/>
        </w:rPr>
        <w:footnoteReference w:id="159"/>
      </w:r>
      <w:bookmarkEnd w:id="23"/>
      <w:r w:rsidR="007C21EE" w:rsidRPr="00B026E4">
        <w:rPr>
          <w:rFonts w:ascii="Times New Roman" w:hAnsi="Times New Roman" w:cs="Times New Roman"/>
        </w:rPr>
        <w:t xml:space="preserve"> </w:t>
      </w:r>
      <w:r w:rsidR="008F7581" w:rsidRPr="008F7581">
        <w:rPr>
          <w:rFonts w:asciiTheme="majorHAnsi" w:hAnsiTheme="majorHAnsi"/>
        </w:rPr>
        <w:t xml:space="preserve">would be expected to choose that chapter (if, for no other reason, because it is substantially less costly), we </w:t>
      </w:r>
      <w:r w:rsidR="004D5CF2">
        <w:rPr>
          <w:rFonts w:asciiTheme="majorHAnsi" w:hAnsiTheme="majorHAnsi"/>
        </w:rPr>
        <w:t>were</w:t>
      </w:r>
      <w:r w:rsidR="008F7581" w:rsidRPr="008F7581">
        <w:rPr>
          <w:rFonts w:asciiTheme="majorHAnsi" w:hAnsiTheme="majorHAnsi"/>
        </w:rPr>
        <w:t xml:space="preserve"> particularly interested in</w:t>
      </w:r>
      <w:r w:rsidR="004D5CF2">
        <w:rPr>
          <w:rFonts w:asciiTheme="majorHAnsi" w:hAnsiTheme="majorHAnsi"/>
        </w:rPr>
        <w:t xml:space="preserve"> those</w:t>
      </w:r>
      <w:r w:rsidR="00EC104F">
        <w:rPr>
          <w:rFonts w:asciiTheme="majorHAnsi" w:hAnsiTheme="majorHAnsi"/>
        </w:rPr>
        <w:t xml:space="preserve"> </w:t>
      </w:r>
      <w:r w:rsidR="008F7581" w:rsidRPr="008F7581">
        <w:rPr>
          <w:rFonts w:asciiTheme="majorHAnsi" w:hAnsiTheme="majorHAnsi"/>
        </w:rPr>
        <w:t>debtors who nonetheless elect chapter 11.</w:t>
      </w:r>
    </w:p>
    <w:p w14:paraId="5AE3A801" w14:textId="68E6FB7C" w:rsidR="008373AC" w:rsidRPr="00B026E4" w:rsidRDefault="008373AC" w:rsidP="006B1443">
      <w:pPr>
        <w:spacing w:line="480" w:lineRule="auto"/>
        <w:ind w:firstLine="720"/>
        <w:rPr>
          <w:rFonts w:ascii="Times New Roman" w:hAnsi="Times New Roman" w:cs="Times New Roman"/>
        </w:rPr>
      </w:pPr>
      <w:r w:rsidRPr="00B026E4">
        <w:rPr>
          <w:rFonts w:ascii="Times New Roman" w:hAnsi="Times New Roman" w:cs="Times New Roman"/>
        </w:rPr>
        <w:t>To examine more carefully</w:t>
      </w:r>
      <w:r>
        <w:rPr>
          <w:rFonts w:ascii="Times New Roman" w:hAnsi="Times New Roman" w:cs="Times New Roman"/>
        </w:rPr>
        <w:t xml:space="preserve"> the impact of </w:t>
      </w:r>
      <w:r w:rsidR="00AA091B">
        <w:rPr>
          <w:rFonts w:ascii="Times New Roman" w:hAnsi="Times New Roman" w:cs="Times New Roman"/>
        </w:rPr>
        <w:t>chapter</w:t>
      </w:r>
      <w:r>
        <w:rPr>
          <w:rFonts w:ascii="Times New Roman" w:hAnsi="Times New Roman" w:cs="Times New Roman"/>
        </w:rPr>
        <w:t xml:space="preserve"> 13’s current debt limits</w:t>
      </w:r>
      <w:r w:rsidRPr="00B026E4">
        <w:rPr>
          <w:rFonts w:ascii="Times New Roman" w:hAnsi="Times New Roman" w:cs="Times New Roman"/>
        </w:rPr>
        <w:t>, we compared each debtor</w:t>
      </w:r>
      <w:r>
        <w:rPr>
          <w:rFonts w:ascii="Times New Roman" w:hAnsi="Times New Roman" w:cs="Times New Roman"/>
        </w:rPr>
        <w:t>’</w:t>
      </w:r>
      <w:r w:rsidRPr="00B026E4">
        <w:rPr>
          <w:rFonts w:ascii="Times New Roman" w:hAnsi="Times New Roman" w:cs="Times New Roman"/>
        </w:rPr>
        <w:t xml:space="preserve">s </w:t>
      </w:r>
      <w:r>
        <w:rPr>
          <w:rFonts w:ascii="Times New Roman" w:hAnsi="Times New Roman" w:cs="Times New Roman"/>
        </w:rPr>
        <w:t>liabilities</w:t>
      </w:r>
      <w:r w:rsidRPr="00B026E4">
        <w:rPr>
          <w:rFonts w:ascii="Times New Roman" w:hAnsi="Times New Roman" w:cs="Times New Roman"/>
        </w:rPr>
        <w:t xml:space="preserve"> against</w:t>
      </w:r>
      <w:r w:rsidR="003F528C">
        <w:rPr>
          <w:rFonts w:ascii="Times New Roman" w:hAnsi="Times New Roman" w:cs="Times New Roman"/>
        </w:rPr>
        <w:t xml:space="preserve"> (1)</w:t>
      </w:r>
      <w:r w:rsidR="00D56A5E">
        <w:rPr>
          <w:rFonts w:ascii="Times New Roman" w:hAnsi="Times New Roman" w:cs="Times New Roman"/>
        </w:rPr>
        <w:t xml:space="preserve"> </w:t>
      </w:r>
      <w:r w:rsidRPr="00B026E4">
        <w:rPr>
          <w:rFonts w:ascii="Times New Roman" w:hAnsi="Times New Roman" w:cs="Times New Roman"/>
        </w:rPr>
        <w:t>the debt limits in effect a</w:t>
      </w:r>
      <w:r>
        <w:rPr>
          <w:rFonts w:ascii="Times New Roman" w:hAnsi="Times New Roman" w:cs="Times New Roman"/>
        </w:rPr>
        <w:t>t</w:t>
      </w:r>
      <w:r w:rsidRPr="00B026E4">
        <w:rPr>
          <w:rFonts w:ascii="Times New Roman" w:hAnsi="Times New Roman" w:cs="Times New Roman"/>
        </w:rPr>
        <w:t xml:space="preserve"> the time </w:t>
      </w:r>
      <w:r>
        <w:rPr>
          <w:rFonts w:ascii="Times New Roman" w:hAnsi="Times New Roman" w:cs="Times New Roman"/>
        </w:rPr>
        <w:t>of bankruptcy</w:t>
      </w:r>
      <w:r w:rsidRPr="00B026E4">
        <w:rPr>
          <w:rFonts w:ascii="Times New Roman" w:hAnsi="Times New Roman" w:cs="Times New Roman"/>
        </w:rPr>
        <w:t xml:space="preserve"> filing </w:t>
      </w:r>
      <w:r w:rsidR="00024B78">
        <w:rPr>
          <w:rFonts w:ascii="Times New Roman" w:hAnsi="Times New Roman" w:cs="Times New Roman"/>
        </w:rPr>
        <w:t xml:space="preserve">(Column (A) of Table </w:t>
      </w:r>
      <w:r w:rsidR="00296FEB">
        <w:rPr>
          <w:rFonts w:ascii="Times New Roman" w:hAnsi="Times New Roman" w:cs="Times New Roman"/>
        </w:rPr>
        <w:t>30</w:t>
      </w:r>
      <w:r w:rsidR="00024B78">
        <w:rPr>
          <w:rFonts w:ascii="Times New Roman" w:hAnsi="Times New Roman" w:cs="Times New Roman"/>
        </w:rPr>
        <w:t>)</w:t>
      </w:r>
      <w:r w:rsidR="00D56A5E">
        <w:rPr>
          <w:rFonts w:ascii="Times New Roman" w:hAnsi="Times New Roman" w:cs="Times New Roman"/>
        </w:rPr>
        <w:t>,</w:t>
      </w:r>
      <w:r w:rsidR="00024B78">
        <w:rPr>
          <w:rFonts w:ascii="Times New Roman" w:hAnsi="Times New Roman" w:cs="Times New Roman"/>
        </w:rPr>
        <w:t xml:space="preserve"> </w:t>
      </w:r>
      <w:r>
        <w:rPr>
          <w:rFonts w:ascii="Times New Roman" w:hAnsi="Times New Roman" w:cs="Times New Roman"/>
        </w:rPr>
        <w:t>and</w:t>
      </w:r>
      <w:r w:rsidR="003F528C">
        <w:rPr>
          <w:rFonts w:ascii="Times New Roman" w:hAnsi="Times New Roman" w:cs="Times New Roman"/>
        </w:rPr>
        <w:t xml:space="preserve"> (2)</w:t>
      </w:r>
      <w:r>
        <w:rPr>
          <w:rFonts w:ascii="Times New Roman" w:hAnsi="Times New Roman" w:cs="Times New Roman"/>
        </w:rPr>
        <w:t xml:space="preserve"> the </w:t>
      </w:r>
      <w:r w:rsidRPr="00B026E4">
        <w:rPr>
          <w:rFonts w:ascii="Times New Roman" w:hAnsi="Times New Roman" w:cs="Times New Roman"/>
        </w:rPr>
        <w:t xml:space="preserve">debt limits </w:t>
      </w:r>
      <w:r>
        <w:rPr>
          <w:rFonts w:ascii="Times New Roman" w:hAnsi="Times New Roman" w:cs="Times New Roman"/>
        </w:rPr>
        <w:t>if Congress were to increase those limits by 50</w:t>
      </w:r>
      <w:r w:rsidR="00042036">
        <w:rPr>
          <w:rFonts w:ascii="Times New Roman" w:hAnsi="Times New Roman" w:cs="Times New Roman"/>
        </w:rPr>
        <w:t>%</w:t>
      </w:r>
      <w:r w:rsidR="00024B78">
        <w:rPr>
          <w:rFonts w:ascii="Times New Roman" w:hAnsi="Times New Roman" w:cs="Times New Roman"/>
        </w:rPr>
        <w:t xml:space="preserve"> (Column (B) of Table </w:t>
      </w:r>
      <w:r w:rsidR="00296FEB">
        <w:rPr>
          <w:rFonts w:ascii="Times New Roman" w:hAnsi="Times New Roman" w:cs="Times New Roman"/>
        </w:rPr>
        <w:t>30</w:t>
      </w:r>
      <w:r w:rsidR="00024B78">
        <w:rPr>
          <w:rFonts w:ascii="Times New Roman" w:hAnsi="Times New Roman" w:cs="Times New Roman"/>
        </w:rPr>
        <w:t>)</w:t>
      </w:r>
      <w:r w:rsidR="00B57A23">
        <w:rPr>
          <w:rFonts w:ascii="Times New Roman" w:hAnsi="Times New Roman" w:cs="Times New Roman"/>
        </w:rPr>
        <w:t>.</w:t>
      </w:r>
      <w:r w:rsidRPr="00B026E4">
        <w:rPr>
          <w:rFonts w:ascii="Times New Roman" w:hAnsi="Times New Roman" w:cs="Times New Roman"/>
        </w:rPr>
        <w:t xml:space="preserve"> We also used two different measures of debt</w:t>
      </w:r>
      <w:r w:rsidR="00807DE9">
        <w:rPr>
          <w:rFonts w:ascii="Times New Roman" w:hAnsi="Times New Roman" w:cs="Times New Roman"/>
        </w:rPr>
        <w:t xml:space="preserve">: </w:t>
      </w:r>
      <w:r w:rsidR="003F528C">
        <w:rPr>
          <w:rFonts w:ascii="Times New Roman" w:hAnsi="Times New Roman" w:cs="Times New Roman"/>
        </w:rPr>
        <w:t>1</w:t>
      </w:r>
      <w:r w:rsidR="00807DE9">
        <w:rPr>
          <w:rFonts w:ascii="Times New Roman" w:hAnsi="Times New Roman" w:cs="Times New Roman"/>
        </w:rPr>
        <w:t xml:space="preserve">) </w:t>
      </w:r>
      <w:r w:rsidRPr="00B026E4">
        <w:rPr>
          <w:rFonts w:ascii="Times New Roman" w:hAnsi="Times New Roman" w:cs="Times New Roman"/>
        </w:rPr>
        <w:t>the amount of debt listed on the summary of schedules</w:t>
      </w:r>
      <w:r w:rsidR="00EC104F">
        <w:rPr>
          <w:rFonts w:ascii="Times New Roman" w:hAnsi="Times New Roman" w:cs="Times New Roman"/>
        </w:rPr>
        <w:t>;</w:t>
      </w:r>
      <w:r w:rsidR="00807DE9">
        <w:rPr>
          <w:rFonts w:ascii="Times New Roman" w:hAnsi="Times New Roman" w:cs="Times New Roman"/>
        </w:rPr>
        <w:t xml:space="preserve"> and </w:t>
      </w:r>
      <w:r w:rsidR="003F528C">
        <w:rPr>
          <w:rFonts w:ascii="Times New Roman" w:hAnsi="Times New Roman" w:cs="Times New Roman"/>
        </w:rPr>
        <w:t>2</w:t>
      </w:r>
      <w:r w:rsidR="00807DE9">
        <w:rPr>
          <w:rFonts w:ascii="Times New Roman" w:hAnsi="Times New Roman" w:cs="Times New Roman"/>
        </w:rPr>
        <w:t xml:space="preserve">) the amount of debt listed on the </w:t>
      </w:r>
      <w:r w:rsidR="00B57A23">
        <w:rPr>
          <w:rFonts w:ascii="Times New Roman" w:hAnsi="Times New Roman" w:cs="Times New Roman"/>
        </w:rPr>
        <w:t xml:space="preserve">individual </w:t>
      </w:r>
      <w:r w:rsidR="00807DE9">
        <w:rPr>
          <w:rFonts w:ascii="Times New Roman" w:hAnsi="Times New Roman" w:cs="Times New Roman"/>
        </w:rPr>
        <w:t xml:space="preserve">schedules. Each </w:t>
      </w:r>
      <w:r w:rsidR="00024B78">
        <w:rPr>
          <w:rFonts w:ascii="Times New Roman" w:hAnsi="Times New Roman" w:cs="Times New Roman"/>
        </w:rPr>
        <w:t xml:space="preserve">measure </w:t>
      </w:r>
      <w:r w:rsidR="00807DE9">
        <w:rPr>
          <w:rFonts w:ascii="Times New Roman" w:hAnsi="Times New Roman" w:cs="Times New Roman"/>
        </w:rPr>
        <w:t xml:space="preserve">has its disadvantages. The summary of schedules </w:t>
      </w:r>
      <w:r w:rsidRPr="00B026E4">
        <w:rPr>
          <w:rFonts w:ascii="Times New Roman" w:hAnsi="Times New Roman" w:cs="Times New Roman"/>
        </w:rPr>
        <w:t>does not distinguish debts that are both non</w:t>
      </w:r>
      <w:r>
        <w:rPr>
          <w:rFonts w:ascii="Times New Roman" w:hAnsi="Times New Roman" w:cs="Times New Roman"/>
        </w:rPr>
        <w:t>-</w:t>
      </w:r>
      <w:r w:rsidRPr="00B026E4">
        <w:rPr>
          <w:rFonts w:ascii="Times New Roman" w:hAnsi="Times New Roman" w:cs="Times New Roman"/>
        </w:rPr>
        <w:t xml:space="preserve">contingent and liquidated </w:t>
      </w:r>
      <w:r w:rsidR="00D56A5E">
        <w:rPr>
          <w:rFonts w:ascii="Times New Roman" w:hAnsi="Times New Roman" w:cs="Times New Roman"/>
        </w:rPr>
        <w:t xml:space="preserve">from </w:t>
      </w:r>
      <w:r w:rsidRPr="00B026E4">
        <w:rPr>
          <w:rFonts w:ascii="Times New Roman" w:hAnsi="Times New Roman" w:cs="Times New Roman"/>
        </w:rPr>
        <w:t xml:space="preserve">those that are not, and only the former count toward the debt limits. </w:t>
      </w:r>
      <w:r w:rsidR="00807DE9">
        <w:rPr>
          <w:rFonts w:ascii="Times New Roman" w:hAnsi="Times New Roman" w:cs="Times New Roman"/>
        </w:rPr>
        <w:t>The full schedules do denote these debts, but it is not always clear whether amended schedules replace or supplement an original schedule, and so the total amount of debt is sometimes uncertain.</w:t>
      </w:r>
      <w:r w:rsidR="008E62F5">
        <w:rPr>
          <w:rFonts w:ascii="Times New Roman" w:hAnsi="Times New Roman" w:cs="Times New Roman"/>
        </w:rPr>
        <w:t xml:space="preserve"> Moreover, </w:t>
      </w:r>
      <w:r w:rsidR="003F528C">
        <w:rPr>
          <w:rFonts w:ascii="Times New Roman" w:hAnsi="Times New Roman" w:cs="Times New Roman"/>
        </w:rPr>
        <w:t xml:space="preserve">in chapter 11, </w:t>
      </w:r>
      <w:r w:rsidR="008E62F5">
        <w:rPr>
          <w:rFonts w:ascii="Times New Roman" w:hAnsi="Times New Roman" w:cs="Times New Roman"/>
        </w:rPr>
        <w:t>the debtor may check the boxes for contingent or unliquidated debt for strategic reasons.</w:t>
      </w:r>
      <w:r w:rsidR="003F528C">
        <w:rPr>
          <w:rStyle w:val="FootnoteReference"/>
          <w:rFonts w:ascii="Times New Roman" w:hAnsi="Times New Roman" w:cs="Times New Roman"/>
        </w:rPr>
        <w:footnoteReference w:id="160"/>
      </w:r>
    </w:p>
    <w:p w14:paraId="5078F895" w14:textId="1C40286D" w:rsidR="00024B78" w:rsidRDefault="008373AC" w:rsidP="008373AC">
      <w:pPr>
        <w:spacing w:line="480" w:lineRule="auto"/>
        <w:rPr>
          <w:rFonts w:ascii="Times New Roman" w:hAnsi="Times New Roman" w:cs="Times New Roman"/>
        </w:rPr>
      </w:pPr>
      <w:r w:rsidRPr="00537498">
        <w:rPr>
          <w:rFonts w:ascii="Times New Roman" w:hAnsi="Times New Roman" w:cs="Times New Roman"/>
        </w:rPr>
        <w:tab/>
      </w:r>
      <w:r w:rsidR="00024B78">
        <w:rPr>
          <w:rFonts w:ascii="Times New Roman" w:hAnsi="Times New Roman" w:cs="Times New Roman"/>
        </w:rPr>
        <w:t xml:space="preserve">As the data in Table </w:t>
      </w:r>
      <w:r w:rsidR="00296FEB">
        <w:rPr>
          <w:rFonts w:ascii="Times New Roman" w:hAnsi="Times New Roman" w:cs="Times New Roman"/>
        </w:rPr>
        <w:t>30</w:t>
      </w:r>
      <w:r w:rsidR="00024B78">
        <w:rPr>
          <w:rFonts w:ascii="Times New Roman" w:hAnsi="Times New Roman" w:cs="Times New Roman"/>
        </w:rPr>
        <w:t xml:space="preserve"> demonstrate, a significant number of the debtors in </w:t>
      </w:r>
      <w:r w:rsidR="00EC104F">
        <w:rPr>
          <w:rFonts w:ascii="Times New Roman" w:hAnsi="Times New Roman" w:cs="Times New Roman"/>
        </w:rPr>
        <w:t>our samples</w:t>
      </w:r>
      <w:r w:rsidR="00024B78">
        <w:rPr>
          <w:rFonts w:ascii="Times New Roman" w:hAnsi="Times New Roman" w:cs="Times New Roman"/>
        </w:rPr>
        <w:t xml:space="preserve"> had liabilities below the secured and unsecured debt ceilings for </w:t>
      </w:r>
      <w:r w:rsidR="00AA091B">
        <w:rPr>
          <w:rFonts w:ascii="Times New Roman" w:hAnsi="Times New Roman" w:cs="Times New Roman"/>
        </w:rPr>
        <w:t>chapter</w:t>
      </w:r>
      <w:r w:rsidR="00024B78">
        <w:rPr>
          <w:rFonts w:ascii="Times New Roman" w:hAnsi="Times New Roman" w:cs="Times New Roman"/>
        </w:rPr>
        <w:t xml:space="preserve"> 13.</w:t>
      </w:r>
      <w:r w:rsidRPr="00537498">
        <w:rPr>
          <w:rFonts w:ascii="Times New Roman" w:hAnsi="Times New Roman" w:cs="Times New Roman"/>
        </w:rPr>
        <w:t xml:space="preserve"> Our lowest estimate of </w:t>
      </w:r>
      <w:r w:rsidR="00AA091B">
        <w:rPr>
          <w:rFonts w:ascii="Times New Roman" w:hAnsi="Times New Roman" w:cs="Times New Roman"/>
        </w:rPr>
        <w:t>chapter</w:t>
      </w:r>
      <w:r w:rsidRPr="00537498">
        <w:rPr>
          <w:rFonts w:ascii="Times New Roman" w:hAnsi="Times New Roman" w:cs="Times New Roman"/>
        </w:rPr>
        <w:t xml:space="preserve"> 13 eligible debtors is 19.3</w:t>
      </w:r>
      <w:r w:rsidR="00042036">
        <w:rPr>
          <w:rFonts w:ascii="Times New Roman" w:hAnsi="Times New Roman" w:cs="Times New Roman"/>
        </w:rPr>
        <w:t>%</w:t>
      </w:r>
      <w:r w:rsidR="00024B78">
        <w:rPr>
          <w:rFonts w:ascii="Times New Roman" w:hAnsi="Times New Roman" w:cs="Times New Roman"/>
        </w:rPr>
        <w:t xml:space="preserve">, which is the figure </w:t>
      </w:r>
      <w:r w:rsidRPr="00537498">
        <w:rPr>
          <w:rFonts w:ascii="Times New Roman" w:hAnsi="Times New Roman" w:cs="Times New Roman"/>
        </w:rPr>
        <w:t>for 2010 debtors using the summary of schedule</w:t>
      </w:r>
      <w:r>
        <w:rPr>
          <w:rFonts w:ascii="Times New Roman" w:hAnsi="Times New Roman" w:cs="Times New Roman"/>
        </w:rPr>
        <w:t>s</w:t>
      </w:r>
      <w:r w:rsidRPr="00537498">
        <w:rPr>
          <w:rFonts w:ascii="Times New Roman" w:hAnsi="Times New Roman" w:cs="Times New Roman"/>
        </w:rPr>
        <w:t xml:space="preserve"> data</w:t>
      </w:r>
      <w:r w:rsidR="003F528C">
        <w:rPr>
          <w:rFonts w:ascii="Times New Roman" w:hAnsi="Times New Roman" w:cs="Times New Roman"/>
        </w:rPr>
        <w:t>.</w:t>
      </w:r>
      <w:r w:rsidRPr="00537498">
        <w:rPr>
          <w:rFonts w:ascii="Times New Roman" w:hAnsi="Times New Roman" w:cs="Times New Roman"/>
        </w:rPr>
        <w:t xml:space="preserve"> </w:t>
      </w:r>
      <w:r w:rsidR="003F528C">
        <w:rPr>
          <w:rFonts w:ascii="Times New Roman" w:hAnsi="Times New Roman" w:cs="Times New Roman"/>
        </w:rPr>
        <w:t>T</w:t>
      </w:r>
      <w:r w:rsidRPr="00537498">
        <w:rPr>
          <w:rFonts w:ascii="Times New Roman" w:hAnsi="Times New Roman" w:cs="Times New Roman"/>
        </w:rPr>
        <w:t xml:space="preserve">his </w:t>
      </w:r>
      <w:r w:rsidR="00024B78">
        <w:rPr>
          <w:rFonts w:ascii="Times New Roman" w:hAnsi="Times New Roman" w:cs="Times New Roman"/>
        </w:rPr>
        <w:t xml:space="preserve">13-eligible </w:t>
      </w:r>
      <w:r w:rsidRPr="00537498">
        <w:rPr>
          <w:rFonts w:ascii="Times New Roman" w:hAnsi="Times New Roman" w:cs="Times New Roman"/>
        </w:rPr>
        <w:t xml:space="preserve">figure rises </w:t>
      </w:r>
      <w:r w:rsidR="00024B78">
        <w:rPr>
          <w:rFonts w:ascii="Times New Roman" w:hAnsi="Times New Roman" w:cs="Times New Roman"/>
        </w:rPr>
        <w:t>from 19</w:t>
      </w:r>
      <w:r w:rsidR="00EC104F">
        <w:rPr>
          <w:rFonts w:ascii="Times New Roman" w:hAnsi="Times New Roman" w:cs="Times New Roman"/>
        </w:rPr>
        <w:t>%</w:t>
      </w:r>
      <w:r w:rsidR="00024B78">
        <w:rPr>
          <w:rFonts w:ascii="Times New Roman" w:hAnsi="Times New Roman" w:cs="Times New Roman"/>
        </w:rPr>
        <w:t xml:space="preserve"> to 45</w:t>
      </w:r>
      <w:r w:rsidR="00042036">
        <w:rPr>
          <w:rFonts w:ascii="Times New Roman" w:hAnsi="Times New Roman" w:cs="Times New Roman"/>
        </w:rPr>
        <w:t>%</w:t>
      </w:r>
      <w:r w:rsidR="003F528C">
        <w:rPr>
          <w:rFonts w:ascii="Times New Roman" w:hAnsi="Times New Roman" w:cs="Times New Roman"/>
        </w:rPr>
        <w:t xml:space="preserve"> for 2013 using the full schedules rather than the debtor’s summary of schedules.</w:t>
      </w:r>
      <w:r w:rsidRPr="00537498">
        <w:rPr>
          <w:rFonts w:ascii="Times New Roman" w:hAnsi="Times New Roman" w:cs="Times New Roman"/>
        </w:rPr>
        <w:t xml:space="preserve">  </w:t>
      </w:r>
    </w:p>
    <w:p w14:paraId="6AB1275F" w14:textId="39A67251" w:rsidR="008373AC" w:rsidRPr="00933FD2" w:rsidRDefault="005F2307" w:rsidP="006C66BD">
      <w:pPr>
        <w:spacing w:line="480" w:lineRule="auto"/>
        <w:ind w:firstLine="720"/>
        <w:rPr>
          <w:rFonts w:ascii="Times New Roman" w:hAnsi="Times New Roman" w:cs="Times New Roman"/>
        </w:rPr>
      </w:pPr>
      <w:r>
        <w:rPr>
          <w:rFonts w:ascii="Times New Roman" w:hAnsi="Times New Roman" w:cs="Times New Roman"/>
        </w:rPr>
        <w:t>R</w:t>
      </w:r>
      <w:r w:rsidR="008373AC" w:rsidRPr="00537498">
        <w:rPr>
          <w:rFonts w:ascii="Times New Roman" w:hAnsi="Times New Roman" w:cs="Times New Roman"/>
        </w:rPr>
        <w:t xml:space="preserve">aising the debt limit by </w:t>
      </w:r>
      <w:r w:rsidR="00024B78">
        <w:rPr>
          <w:rFonts w:ascii="Times New Roman" w:hAnsi="Times New Roman" w:cs="Times New Roman"/>
        </w:rPr>
        <w:t>50</w:t>
      </w:r>
      <w:r w:rsidR="00042036">
        <w:rPr>
          <w:rFonts w:ascii="Times New Roman" w:hAnsi="Times New Roman" w:cs="Times New Roman"/>
        </w:rPr>
        <w:t>%</w:t>
      </w:r>
      <w:r w:rsidR="008373AC" w:rsidRPr="00537498">
        <w:rPr>
          <w:rFonts w:ascii="Times New Roman" w:hAnsi="Times New Roman" w:cs="Times New Roman"/>
        </w:rPr>
        <w:t xml:space="preserve"> </w:t>
      </w:r>
      <w:r w:rsidR="006948D8">
        <w:rPr>
          <w:rFonts w:ascii="Times New Roman" w:hAnsi="Times New Roman" w:cs="Times New Roman"/>
        </w:rPr>
        <w:t>does</w:t>
      </w:r>
      <w:r w:rsidR="008373AC" w:rsidRPr="00537498">
        <w:rPr>
          <w:rFonts w:ascii="Times New Roman" w:hAnsi="Times New Roman" w:cs="Times New Roman"/>
        </w:rPr>
        <w:t xml:space="preserve"> </w:t>
      </w:r>
      <w:r w:rsidR="00024B78">
        <w:rPr>
          <w:rFonts w:ascii="Times New Roman" w:hAnsi="Times New Roman" w:cs="Times New Roman"/>
        </w:rPr>
        <w:t xml:space="preserve">not </w:t>
      </w:r>
      <w:r w:rsidR="00BE0933">
        <w:rPr>
          <w:rFonts w:ascii="Times New Roman" w:hAnsi="Times New Roman" w:cs="Times New Roman"/>
        </w:rPr>
        <w:t xml:space="preserve">significantly increase the </w:t>
      </w:r>
      <w:r w:rsidR="00D3165F">
        <w:rPr>
          <w:rFonts w:ascii="Times New Roman" w:hAnsi="Times New Roman" w:cs="Times New Roman"/>
        </w:rPr>
        <w:t xml:space="preserve">percentage </w:t>
      </w:r>
      <w:r w:rsidR="00BE0933">
        <w:rPr>
          <w:rFonts w:ascii="Times New Roman" w:hAnsi="Times New Roman" w:cs="Times New Roman"/>
        </w:rPr>
        <w:t xml:space="preserve">of </w:t>
      </w:r>
      <w:r w:rsidR="00024B78">
        <w:rPr>
          <w:rFonts w:ascii="Times New Roman" w:hAnsi="Times New Roman" w:cs="Times New Roman"/>
        </w:rPr>
        <w:t>13-eligible debtors</w:t>
      </w:r>
      <w:r w:rsidR="006948D8">
        <w:rPr>
          <w:rFonts w:ascii="Times New Roman" w:hAnsi="Times New Roman" w:cs="Times New Roman"/>
        </w:rPr>
        <w:t xml:space="preserve"> in our random sample</w:t>
      </w:r>
      <w:r w:rsidR="00024B78">
        <w:rPr>
          <w:rFonts w:ascii="Times New Roman" w:hAnsi="Times New Roman" w:cs="Times New Roman"/>
        </w:rPr>
        <w:t xml:space="preserve">. </w:t>
      </w:r>
      <w:r w:rsidR="008373AC" w:rsidRPr="00537498">
        <w:rPr>
          <w:rFonts w:ascii="Times New Roman" w:hAnsi="Times New Roman" w:cs="Times New Roman"/>
        </w:rPr>
        <w:t>The most dramatic impact is for the full</w:t>
      </w:r>
      <w:r w:rsidR="00BE0933">
        <w:rPr>
          <w:rFonts w:ascii="Times New Roman" w:hAnsi="Times New Roman" w:cs="Times New Roman"/>
        </w:rPr>
        <w:t>-</w:t>
      </w:r>
      <w:r w:rsidR="008373AC" w:rsidRPr="00537498">
        <w:rPr>
          <w:rFonts w:ascii="Times New Roman" w:hAnsi="Times New Roman" w:cs="Times New Roman"/>
        </w:rPr>
        <w:t>schedule analysis of debtors who filed in 2010</w:t>
      </w:r>
      <w:r w:rsidR="00BE0933">
        <w:rPr>
          <w:rFonts w:ascii="Times New Roman" w:hAnsi="Times New Roman" w:cs="Times New Roman"/>
        </w:rPr>
        <w:t>. Raising the debt limits by 50</w:t>
      </w:r>
      <w:r w:rsidR="00042036">
        <w:rPr>
          <w:rFonts w:ascii="Times New Roman" w:hAnsi="Times New Roman" w:cs="Times New Roman"/>
        </w:rPr>
        <w:t>%</w:t>
      </w:r>
      <w:r w:rsidR="008373AC" w:rsidRPr="00537498">
        <w:rPr>
          <w:rFonts w:ascii="Times New Roman" w:hAnsi="Times New Roman" w:cs="Times New Roman"/>
        </w:rPr>
        <w:t xml:space="preserve"> would </w:t>
      </w:r>
      <w:r w:rsidR="00BE0933">
        <w:rPr>
          <w:rFonts w:ascii="Times New Roman" w:hAnsi="Times New Roman" w:cs="Times New Roman"/>
        </w:rPr>
        <w:t>increase by 16</w:t>
      </w:r>
      <w:r w:rsidR="00042036">
        <w:rPr>
          <w:rFonts w:ascii="Times New Roman" w:hAnsi="Times New Roman" w:cs="Times New Roman"/>
        </w:rPr>
        <w:t>%</w:t>
      </w:r>
      <w:r w:rsidR="00BE3E0A">
        <w:rPr>
          <w:rFonts w:ascii="Times New Roman" w:hAnsi="Times New Roman" w:cs="Times New Roman"/>
        </w:rPr>
        <w:t>—</w:t>
      </w:r>
      <w:r w:rsidR="00BE0933">
        <w:rPr>
          <w:rFonts w:ascii="Times New Roman" w:hAnsi="Times New Roman" w:cs="Times New Roman"/>
        </w:rPr>
        <w:t>from 27</w:t>
      </w:r>
      <w:r w:rsidR="00042036">
        <w:rPr>
          <w:rFonts w:ascii="Times New Roman" w:hAnsi="Times New Roman" w:cs="Times New Roman"/>
        </w:rPr>
        <w:t>%</w:t>
      </w:r>
      <w:r w:rsidR="00BE0933">
        <w:rPr>
          <w:rFonts w:ascii="Times New Roman" w:hAnsi="Times New Roman" w:cs="Times New Roman"/>
        </w:rPr>
        <w:t xml:space="preserve"> to 42</w:t>
      </w:r>
      <w:r w:rsidR="00042036">
        <w:rPr>
          <w:rFonts w:ascii="Times New Roman" w:hAnsi="Times New Roman" w:cs="Times New Roman"/>
        </w:rPr>
        <w:t>%</w:t>
      </w:r>
      <w:r w:rsidR="00BE3E0A">
        <w:rPr>
          <w:rFonts w:ascii="Times New Roman" w:hAnsi="Times New Roman" w:cs="Times New Roman"/>
        </w:rPr>
        <w:t>—</w:t>
      </w:r>
      <w:r w:rsidR="00BE0933">
        <w:rPr>
          <w:rFonts w:ascii="Times New Roman" w:hAnsi="Times New Roman" w:cs="Times New Roman"/>
        </w:rPr>
        <w:t xml:space="preserve">the number of 13-eligible debtors. </w:t>
      </w:r>
      <w:r w:rsidR="008373AC" w:rsidRPr="00537498">
        <w:rPr>
          <w:rFonts w:ascii="Times New Roman" w:hAnsi="Times New Roman" w:cs="Times New Roman"/>
        </w:rPr>
        <w:t xml:space="preserve">By contrast, </w:t>
      </w:r>
      <w:r w:rsidR="00BE0933">
        <w:rPr>
          <w:rFonts w:ascii="Times New Roman" w:hAnsi="Times New Roman" w:cs="Times New Roman"/>
        </w:rPr>
        <w:t>for 2013, the debt-limit change would increase by only 9</w:t>
      </w:r>
      <w:r w:rsidR="00042036">
        <w:rPr>
          <w:rFonts w:ascii="Times New Roman" w:hAnsi="Times New Roman" w:cs="Times New Roman"/>
        </w:rPr>
        <w:t>%</w:t>
      </w:r>
      <w:r w:rsidR="00BE3E0A">
        <w:rPr>
          <w:rFonts w:ascii="Times New Roman" w:hAnsi="Times New Roman" w:cs="Times New Roman"/>
        </w:rPr>
        <w:t>—</w:t>
      </w:r>
      <w:r w:rsidR="00BE0933">
        <w:rPr>
          <w:rFonts w:ascii="Times New Roman" w:hAnsi="Times New Roman" w:cs="Times New Roman"/>
        </w:rPr>
        <w:t>from 4</w:t>
      </w:r>
      <w:r w:rsidR="004D5CF2">
        <w:rPr>
          <w:rFonts w:ascii="Times New Roman" w:hAnsi="Times New Roman" w:cs="Times New Roman"/>
        </w:rPr>
        <w:t>7</w:t>
      </w:r>
      <w:r w:rsidR="00042036">
        <w:rPr>
          <w:rFonts w:ascii="Times New Roman" w:hAnsi="Times New Roman" w:cs="Times New Roman"/>
        </w:rPr>
        <w:t>%</w:t>
      </w:r>
      <w:r w:rsidR="00BE0933">
        <w:rPr>
          <w:rFonts w:ascii="Times New Roman" w:hAnsi="Times New Roman" w:cs="Times New Roman"/>
        </w:rPr>
        <w:t xml:space="preserve"> to 55</w:t>
      </w:r>
      <w:r w:rsidR="00042036">
        <w:rPr>
          <w:rFonts w:ascii="Times New Roman" w:hAnsi="Times New Roman" w:cs="Times New Roman"/>
        </w:rPr>
        <w:t>%</w:t>
      </w:r>
      <w:r w:rsidR="00BE3E0A">
        <w:rPr>
          <w:rFonts w:ascii="Times New Roman" w:hAnsi="Times New Roman" w:cs="Times New Roman"/>
        </w:rPr>
        <w:t>—</w:t>
      </w:r>
      <w:r w:rsidR="00BE0933">
        <w:rPr>
          <w:rFonts w:ascii="Times New Roman" w:hAnsi="Times New Roman" w:cs="Times New Roman"/>
        </w:rPr>
        <w:t>the number of 13-eligible debtors</w:t>
      </w:r>
      <w:r w:rsidR="008E62F5">
        <w:rPr>
          <w:rFonts w:ascii="Times New Roman" w:hAnsi="Times New Roman" w:cs="Times New Roman"/>
        </w:rPr>
        <w:t>.</w:t>
      </w:r>
      <w:r w:rsidR="008373AC" w:rsidRPr="00537498">
        <w:rPr>
          <w:rFonts w:ascii="Times New Roman" w:hAnsi="Times New Roman" w:cs="Times New Roman"/>
        </w:rPr>
        <w:t xml:space="preserve"> Of course, a more dramatic change in the debt limit would have a greater impact.</w:t>
      </w:r>
    </w:p>
    <w:p w14:paraId="29404EC4" w14:textId="213D2911" w:rsidR="008373AC" w:rsidRPr="00B026E4" w:rsidRDefault="008373AC" w:rsidP="00EC104F">
      <w:pPr>
        <w:keepNext/>
        <w:keepLines/>
        <w:spacing w:line="480" w:lineRule="auto"/>
        <w:jc w:val="center"/>
        <w:rPr>
          <w:rFonts w:ascii="Times New Roman" w:hAnsi="Times New Roman" w:cs="Times New Roman"/>
          <w:b/>
        </w:rPr>
      </w:pPr>
      <w:r w:rsidRPr="00B026E4">
        <w:rPr>
          <w:rFonts w:ascii="Times New Roman" w:hAnsi="Times New Roman" w:cs="Times New Roman"/>
          <w:b/>
        </w:rPr>
        <w:t xml:space="preserve">Table </w:t>
      </w:r>
      <w:r w:rsidR="00296FEB">
        <w:rPr>
          <w:rFonts w:ascii="Times New Roman" w:hAnsi="Times New Roman" w:cs="Times New Roman"/>
          <w:b/>
        </w:rPr>
        <w:t>30</w:t>
      </w:r>
      <w:r w:rsidRPr="00B026E4">
        <w:rPr>
          <w:rFonts w:ascii="Times New Roman" w:hAnsi="Times New Roman" w:cs="Times New Roman"/>
          <w:b/>
        </w:rPr>
        <w:t xml:space="preserve">: </w:t>
      </w:r>
      <w:r>
        <w:rPr>
          <w:rFonts w:ascii="Times New Roman" w:hAnsi="Times New Roman" w:cs="Times New Roman"/>
          <w:b/>
        </w:rPr>
        <w:t>Impact of Chapter 13 Actual and Hypothetical Debt Limits</w:t>
      </w:r>
    </w:p>
    <w:tbl>
      <w:tblPr>
        <w:tblStyle w:val="TableGrid"/>
        <w:tblW w:w="8268" w:type="dxa"/>
        <w:tblLook w:val="04A0" w:firstRow="1" w:lastRow="0" w:firstColumn="1" w:lastColumn="0" w:noHBand="0" w:noVBand="1"/>
      </w:tblPr>
      <w:tblGrid>
        <w:gridCol w:w="1356"/>
        <w:gridCol w:w="1498"/>
        <w:gridCol w:w="1498"/>
        <w:gridCol w:w="1958"/>
        <w:gridCol w:w="1958"/>
      </w:tblGrid>
      <w:tr w:rsidR="00296FEB" w:rsidRPr="00537498" w14:paraId="08E09400" w14:textId="77777777" w:rsidTr="00296FEB">
        <w:trPr>
          <w:trHeight w:val="630"/>
        </w:trPr>
        <w:tc>
          <w:tcPr>
            <w:tcW w:w="1356" w:type="dxa"/>
            <w:vMerge w:val="restart"/>
            <w:tcBorders>
              <w:top w:val="nil"/>
              <w:left w:val="nil"/>
              <w:right w:val="single" w:sz="12" w:space="0" w:color="auto"/>
            </w:tcBorders>
            <w:noWrap/>
          </w:tcPr>
          <w:p w14:paraId="3B6872F8" w14:textId="77777777" w:rsidR="00296FEB" w:rsidRPr="00B026E4" w:rsidRDefault="00296FEB" w:rsidP="00EC104F">
            <w:pPr>
              <w:keepNext/>
              <w:keepLines/>
              <w:rPr>
                <w:rFonts w:ascii="Times New Roman" w:eastAsia="Times New Roman" w:hAnsi="Times New Roman" w:cs="Times New Roman"/>
                <w:color w:val="000000"/>
              </w:rPr>
            </w:pPr>
          </w:p>
        </w:tc>
        <w:tc>
          <w:tcPr>
            <w:tcW w:w="2996" w:type="dxa"/>
            <w:gridSpan w:val="2"/>
            <w:tcBorders>
              <w:top w:val="single" w:sz="12" w:space="0" w:color="auto"/>
              <w:left w:val="single" w:sz="12" w:space="0" w:color="auto"/>
              <w:right w:val="single" w:sz="12" w:space="0" w:color="auto"/>
            </w:tcBorders>
            <w:noWrap/>
          </w:tcPr>
          <w:p w14:paraId="4B9DDB3E" w14:textId="77777777" w:rsidR="00296FEB" w:rsidRPr="00B026E4" w:rsidRDefault="00296FEB" w:rsidP="00EC104F">
            <w:pPr>
              <w:keepNext/>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p w14:paraId="310F73C7" w14:textId="01F0BFF4" w:rsidR="00296FEB" w:rsidRPr="00B026E4" w:rsidRDefault="00296FEB" w:rsidP="00EC104F">
            <w:pPr>
              <w:keepNext/>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Full Schedules</w:t>
            </w:r>
          </w:p>
        </w:tc>
        <w:tc>
          <w:tcPr>
            <w:tcW w:w="3916" w:type="dxa"/>
            <w:gridSpan w:val="2"/>
            <w:tcBorders>
              <w:top w:val="single" w:sz="12" w:space="0" w:color="auto"/>
              <w:left w:val="single" w:sz="12" w:space="0" w:color="auto"/>
              <w:right w:val="single" w:sz="12" w:space="0" w:color="auto"/>
            </w:tcBorders>
            <w:noWrap/>
          </w:tcPr>
          <w:p w14:paraId="251D8EE3" w14:textId="77777777" w:rsidR="00296FEB" w:rsidRPr="00B026E4" w:rsidRDefault="00296FEB" w:rsidP="00EC104F">
            <w:pPr>
              <w:keepNext/>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(B)</w:t>
            </w:r>
          </w:p>
          <w:p w14:paraId="38D97169" w14:textId="79FF5C66" w:rsidR="00296FEB" w:rsidRPr="00B026E4" w:rsidRDefault="00296FEB" w:rsidP="00EC104F">
            <w:pPr>
              <w:keepNext/>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Full Schedules x 1.5</w:t>
            </w:r>
          </w:p>
        </w:tc>
      </w:tr>
      <w:tr w:rsidR="00024B78" w:rsidRPr="00537498" w14:paraId="525DC2D9" w14:textId="77777777" w:rsidTr="00296FEB">
        <w:trPr>
          <w:trHeight w:val="300"/>
        </w:trPr>
        <w:tc>
          <w:tcPr>
            <w:tcW w:w="1356" w:type="dxa"/>
            <w:vMerge/>
            <w:tcBorders>
              <w:left w:val="nil"/>
              <w:right w:val="single" w:sz="12" w:space="0" w:color="auto"/>
            </w:tcBorders>
            <w:noWrap/>
            <w:hideMark/>
          </w:tcPr>
          <w:p w14:paraId="22835594" w14:textId="77777777" w:rsidR="00024B78" w:rsidRPr="00B026E4" w:rsidRDefault="00024B78" w:rsidP="00EC104F">
            <w:pPr>
              <w:keepNext/>
              <w:keepLines/>
              <w:rPr>
                <w:rFonts w:ascii="Times New Roman" w:eastAsia="Times New Roman" w:hAnsi="Times New Roman" w:cs="Times New Roman"/>
                <w:color w:val="000000"/>
              </w:rPr>
            </w:pPr>
          </w:p>
        </w:tc>
        <w:tc>
          <w:tcPr>
            <w:tcW w:w="1498" w:type="dxa"/>
            <w:tcBorders>
              <w:top w:val="single" w:sz="12" w:space="0" w:color="auto"/>
              <w:left w:val="single" w:sz="12" w:space="0" w:color="auto"/>
              <w:bottom w:val="single" w:sz="12" w:space="0" w:color="auto"/>
            </w:tcBorders>
            <w:noWrap/>
            <w:hideMark/>
          </w:tcPr>
          <w:p w14:paraId="2376E5AF" w14:textId="77777777" w:rsidR="00024B78" w:rsidRPr="00B026E4" w:rsidRDefault="00024B78" w:rsidP="00EC104F">
            <w:pPr>
              <w:keepNext/>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2010</w:t>
            </w:r>
          </w:p>
        </w:tc>
        <w:tc>
          <w:tcPr>
            <w:tcW w:w="1498" w:type="dxa"/>
            <w:tcBorders>
              <w:top w:val="single" w:sz="12" w:space="0" w:color="auto"/>
              <w:bottom w:val="single" w:sz="12" w:space="0" w:color="auto"/>
              <w:right w:val="single" w:sz="12" w:space="0" w:color="auto"/>
            </w:tcBorders>
            <w:noWrap/>
            <w:hideMark/>
          </w:tcPr>
          <w:p w14:paraId="23563907" w14:textId="77777777" w:rsidR="00024B78" w:rsidRPr="00B026E4" w:rsidRDefault="00024B78" w:rsidP="00EC104F">
            <w:pPr>
              <w:keepNext/>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2013</w:t>
            </w:r>
          </w:p>
        </w:tc>
        <w:tc>
          <w:tcPr>
            <w:tcW w:w="1958" w:type="dxa"/>
            <w:tcBorders>
              <w:top w:val="single" w:sz="12" w:space="0" w:color="auto"/>
              <w:left w:val="single" w:sz="12" w:space="0" w:color="auto"/>
              <w:bottom w:val="single" w:sz="12" w:space="0" w:color="auto"/>
            </w:tcBorders>
            <w:noWrap/>
            <w:hideMark/>
          </w:tcPr>
          <w:p w14:paraId="3DD67BD6" w14:textId="77777777" w:rsidR="00024B78" w:rsidRPr="00B026E4" w:rsidRDefault="00024B78" w:rsidP="00EC104F">
            <w:pPr>
              <w:keepNext/>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2010</w:t>
            </w:r>
          </w:p>
        </w:tc>
        <w:tc>
          <w:tcPr>
            <w:tcW w:w="1958" w:type="dxa"/>
            <w:tcBorders>
              <w:top w:val="single" w:sz="12" w:space="0" w:color="auto"/>
              <w:bottom w:val="single" w:sz="12" w:space="0" w:color="auto"/>
              <w:right w:val="single" w:sz="12" w:space="0" w:color="auto"/>
            </w:tcBorders>
            <w:noWrap/>
            <w:hideMark/>
          </w:tcPr>
          <w:p w14:paraId="6859A6B8" w14:textId="77777777" w:rsidR="00024B78" w:rsidRPr="00B026E4" w:rsidRDefault="00024B78" w:rsidP="00EC104F">
            <w:pPr>
              <w:keepNext/>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2013</w:t>
            </w:r>
          </w:p>
        </w:tc>
      </w:tr>
      <w:tr w:rsidR="008373AC" w:rsidRPr="00537498" w14:paraId="3E01E4A7" w14:textId="77777777" w:rsidTr="00296FEB">
        <w:trPr>
          <w:trHeight w:val="300"/>
        </w:trPr>
        <w:tc>
          <w:tcPr>
            <w:tcW w:w="1356" w:type="dxa"/>
            <w:tcBorders>
              <w:right w:val="single" w:sz="12" w:space="0" w:color="auto"/>
            </w:tcBorders>
            <w:noWrap/>
            <w:hideMark/>
          </w:tcPr>
          <w:p w14:paraId="7208EF26" w14:textId="77777777" w:rsidR="008373AC" w:rsidRPr="00B026E4" w:rsidRDefault="008373AC" w:rsidP="00EC104F">
            <w:pPr>
              <w:keepNext/>
              <w:keepLines/>
              <w:rPr>
                <w:rFonts w:ascii="Times New Roman" w:eastAsia="Times New Roman" w:hAnsi="Times New Roman" w:cs="Times New Roman"/>
                <w:color w:val="000000"/>
              </w:rPr>
            </w:pPr>
            <w:r w:rsidRPr="00B026E4">
              <w:rPr>
                <w:rFonts w:ascii="Times New Roman" w:eastAsia="Times New Roman" w:hAnsi="Times New Roman" w:cs="Times New Roman"/>
                <w:color w:val="000000"/>
              </w:rPr>
              <w:t>Over</w:t>
            </w:r>
          </w:p>
        </w:tc>
        <w:tc>
          <w:tcPr>
            <w:tcW w:w="1498" w:type="dxa"/>
            <w:tcBorders>
              <w:top w:val="single" w:sz="12" w:space="0" w:color="auto"/>
              <w:left w:val="single" w:sz="12" w:space="0" w:color="auto"/>
            </w:tcBorders>
            <w:noWrap/>
            <w:hideMark/>
          </w:tcPr>
          <w:p w14:paraId="5BCB695B"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67.0%</w:t>
            </w:r>
          </w:p>
        </w:tc>
        <w:tc>
          <w:tcPr>
            <w:tcW w:w="1498" w:type="dxa"/>
            <w:tcBorders>
              <w:top w:val="single" w:sz="12" w:space="0" w:color="auto"/>
              <w:right w:val="single" w:sz="12" w:space="0" w:color="auto"/>
            </w:tcBorders>
            <w:noWrap/>
            <w:hideMark/>
          </w:tcPr>
          <w:p w14:paraId="2595BF45"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50.0%</w:t>
            </w:r>
          </w:p>
        </w:tc>
        <w:tc>
          <w:tcPr>
            <w:tcW w:w="1958" w:type="dxa"/>
            <w:tcBorders>
              <w:top w:val="single" w:sz="12" w:space="0" w:color="auto"/>
              <w:left w:val="single" w:sz="12" w:space="0" w:color="auto"/>
            </w:tcBorders>
            <w:noWrap/>
            <w:hideMark/>
          </w:tcPr>
          <w:p w14:paraId="7CD79387"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51.4%</w:t>
            </w:r>
          </w:p>
        </w:tc>
        <w:tc>
          <w:tcPr>
            <w:tcW w:w="1958" w:type="dxa"/>
            <w:tcBorders>
              <w:top w:val="single" w:sz="12" w:space="0" w:color="auto"/>
              <w:right w:val="single" w:sz="12" w:space="0" w:color="auto"/>
            </w:tcBorders>
            <w:noWrap/>
            <w:hideMark/>
          </w:tcPr>
          <w:p w14:paraId="75439D99"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41.2%</w:t>
            </w:r>
          </w:p>
        </w:tc>
      </w:tr>
      <w:tr w:rsidR="008373AC" w:rsidRPr="00537498" w14:paraId="23BD0F68" w14:textId="77777777" w:rsidTr="00296FEB">
        <w:trPr>
          <w:trHeight w:val="300"/>
        </w:trPr>
        <w:tc>
          <w:tcPr>
            <w:tcW w:w="1356" w:type="dxa"/>
            <w:tcBorders>
              <w:right w:val="single" w:sz="12" w:space="0" w:color="auto"/>
            </w:tcBorders>
            <w:noWrap/>
            <w:hideMark/>
          </w:tcPr>
          <w:p w14:paraId="69ADAE10" w14:textId="77777777" w:rsidR="008373AC" w:rsidRPr="00B026E4" w:rsidRDefault="008373AC" w:rsidP="00EC104F">
            <w:pPr>
              <w:keepNext/>
              <w:keepLines/>
              <w:rPr>
                <w:rFonts w:ascii="Times New Roman" w:eastAsia="Times New Roman" w:hAnsi="Times New Roman" w:cs="Times New Roman"/>
                <w:color w:val="000000"/>
              </w:rPr>
            </w:pPr>
            <w:r w:rsidRPr="00B026E4">
              <w:rPr>
                <w:rFonts w:ascii="Times New Roman" w:eastAsia="Times New Roman" w:hAnsi="Times New Roman" w:cs="Times New Roman"/>
                <w:color w:val="000000"/>
              </w:rPr>
              <w:t>Under</w:t>
            </w:r>
          </w:p>
        </w:tc>
        <w:tc>
          <w:tcPr>
            <w:tcW w:w="1498" w:type="dxa"/>
            <w:tcBorders>
              <w:left w:val="single" w:sz="12" w:space="0" w:color="auto"/>
            </w:tcBorders>
            <w:noWrap/>
            <w:hideMark/>
          </w:tcPr>
          <w:p w14:paraId="46FB7C05"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26.6%</w:t>
            </w:r>
          </w:p>
        </w:tc>
        <w:tc>
          <w:tcPr>
            <w:tcW w:w="1498" w:type="dxa"/>
            <w:tcBorders>
              <w:right w:val="single" w:sz="12" w:space="0" w:color="auto"/>
            </w:tcBorders>
            <w:noWrap/>
            <w:hideMark/>
          </w:tcPr>
          <w:p w14:paraId="38D1AE59"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46.5%</w:t>
            </w:r>
          </w:p>
        </w:tc>
        <w:tc>
          <w:tcPr>
            <w:tcW w:w="1958" w:type="dxa"/>
            <w:tcBorders>
              <w:left w:val="single" w:sz="12" w:space="0" w:color="auto"/>
            </w:tcBorders>
            <w:noWrap/>
            <w:hideMark/>
          </w:tcPr>
          <w:p w14:paraId="5F1A60B3"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42.2%</w:t>
            </w:r>
          </w:p>
        </w:tc>
        <w:tc>
          <w:tcPr>
            <w:tcW w:w="1958" w:type="dxa"/>
            <w:tcBorders>
              <w:right w:val="single" w:sz="12" w:space="0" w:color="auto"/>
            </w:tcBorders>
            <w:noWrap/>
            <w:hideMark/>
          </w:tcPr>
          <w:p w14:paraId="11FCA11A"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55.3%</w:t>
            </w:r>
          </w:p>
        </w:tc>
      </w:tr>
      <w:tr w:rsidR="008373AC" w:rsidRPr="00537498" w14:paraId="58EF08BE" w14:textId="77777777" w:rsidTr="00296FEB">
        <w:trPr>
          <w:trHeight w:val="300"/>
        </w:trPr>
        <w:tc>
          <w:tcPr>
            <w:tcW w:w="1356" w:type="dxa"/>
            <w:tcBorders>
              <w:right w:val="single" w:sz="12" w:space="0" w:color="auto"/>
            </w:tcBorders>
            <w:noWrap/>
            <w:hideMark/>
          </w:tcPr>
          <w:p w14:paraId="2704BBA9" w14:textId="11CFB7CE" w:rsidR="008373AC" w:rsidRPr="00B026E4" w:rsidRDefault="00024B78" w:rsidP="00EC104F">
            <w:pPr>
              <w:keepNext/>
              <w:keepLines/>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498" w:type="dxa"/>
            <w:tcBorders>
              <w:left w:val="single" w:sz="12" w:space="0" w:color="auto"/>
            </w:tcBorders>
            <w:noWrap/>
            <w:hideMark/>
          </w:tcPr>
          <w:p w14:paraId="7BA002AE"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6.4%</w:t>
            </w:r>
          </w:p>
        </w:tc>
        <w:tc>
          <w:tcPr>
            <w:tcW w:w="1498" w:type="dxa"/>
            <w:tcBorders>
              <w:right w:val="single" w:sz="12" w:space="0" w:color="auto"/>
            </w:tcBorders>
            <w:noWrap/>
            <w:hideMark/>
          </w:tcPr>
          <w:p w14:paraId="4493C792"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3.5%</w:t>
            </w:r>
          </w:p>
        </w:tc>
        <w:tc>
          <w:tcPr>
            <w:tcW w:w="1958" w:type="dxa"/>
            <w:tcBorders>
              <w:left w:val="single" w:sz="12" w:space="0" w:color="auto"/>
            </w:tcBorders>
            <w:noWrap/>
            <w:hideMark/>
          </w:tcPr>
          <w:p w14:paraId="745BF757"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6.4%</w:t>
            </w:r>
          </w:p>
        </w:tc>
        <w:tc>
          <w:tcPr>
            <w:tcW w:w="1958" w:type="dxa"/>
            <w:tcBorders>
              <w:right w:val="single" w:sz="12" w:space="0" w:color="auto"/>
            </w:tcBorders>
            <w:noWrap/>
            <w:hideMark/>
          </w:tcPr>
          <w:p w14:paraId="072CB381"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3.5%</w:t>
            </w:r>
          </w:p>
        </w:tc>
      </w:tr>
      <w:tr w:rsidR="00024B78" w:rsidRPr="00537498" w14:paraId="5DA7D4E2" w14:textId="77777777" w:rsidTr="00296FEB">
        <w:trPr>
          <w:trHeight w:val="300"/>
        </w:trPr>
        <w:tc>
          <w:tcPr>
            <w:tcW w:w="1356" w:type="dxa"/>
            <w:vMerge w:val="restart"/>
            <w:tcBorders>
              <w:top w:val="thinThickSmallGap" w:sz="24" w:space="0" w:color="auto"/>
              <w:right w:val="single" w:sz="12" w:space="0" w:color="auto"/>
            </w:tcBorders>
            <w:noWrap/>
            <w:hideMark/>
          </w:tcPr>
          <w:p w14:paraId="26AB4134" w14:textId="77777777" w:rsidR="00024B78" w:rsidRPr="00B026E4" w:rsidRDefault="00024B78" w:rsidP="00EC104F">
            <w:pPr>
              <w:keepNext/>
              <w:keepLines/>
              <w:rPr>
                <w:rFonts w:ascii="Times New Roman" w:eastAsia="Times New Roman" w:hAnsi="Times New Roman" w:cs="Times New Roman"/>
                <w:color w:val="000000"/>
              </w:rPr>
            </w:pPr>
          </w:p>
        </w:tc>
        <w:tc>
          <w:tcPr>
            <w:tcW w:w="2996" w:type="dxa"/>
            <w:gridSpan w:val="2"/>
            <w:tcBorders>
              <w:top w:val="thinThickSmallGap" w:sz="24" w:space="0" w:color="auto"/>
              <w:left w:val="single" w:sz="12" w:space="0" w:color="auto"/>
              <w:right w:val="single" w:sz="12" w:space="0" w:color="auto"/>
            </w:tcBorders>
            <w:noWrap/>
            <w:hideMark/>
          </w:tcPr>
          <w:p w14:paraId="12F12423" w14:textId="77777777" w:rsidR="00024B78" w:rsidRPr="00B026E4" w:rsidRDefault="00024B78" w:rsidP="00EC104F">
            <w:pPr>
              <w:keepNext/>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Summary of Schedules</w:t>
            </w:r>
          </w:p>
        </w:tc>
        <w:tc>
          <w:tcPr>
            <w:tcW w:w="3916" w:type="dxa"/>
            <w:gridSpan w:val="2"/>
            <w:tcBorders>
              <w:top w:val="thinThickSmallGap" w:sz="24" w:space="0" w:color="auto"/>
              <w:left w:val="single" w:sz="12" w:space="0" w:color="auto"/>
              <w:right w:val="single" w:sz="12" w:space="0" w:color="auto"/>
            </w:tcBorders>
            <w:noWrap/>
            <w:hideMark/>
          </w:tcPr>
          <w:p w14:paraId="480407B0" w14:textId="68CB116E" w:rsidR="00024B78" w:rsidRPr="00B026E4" w:rsidRDefault="00024B78" w:rsidP="00EC104F">
            <w:pPr>
              <w:keepNext/>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Sum</w:t>
            </w:r>
            <w:r>
              <w:rPr>
                <w:rFonts w:ascii="Times New Roman" w:eastAsia="Times New Roman" w:hAnsi="Times New Roman" w:cs="Times New Roman"/>
                <w:b/>
                <w:bCs/>
                <w:color w:val="000000"/>
              </w:rPr>
              <w:t>mary of</w:t>
            </w:r>
            <w:r w:rsidRPr="00B026E4">
              <w:rPr>
                <w:rFonts w:ascii="Times New Roman" w:eastAsia="Times New Roman" w:hAnsi="Times New Roman" w:cs="Times New Roman"/>
                <w:b/>
                <w:bCs/>
                <w:color w:val="000000"/>
              </w:rPr>
              <w:t xml:space="preserve"> Schedules x 1.5</w:t>
            </w:r>
          </w:p>
        </w:tc>
      </w:tr>
      <w:tr w:rsidR="00024B78" w:rsidRPr="00537498" w14:paraId="4EE750E3" w14:textId="77777777" w:rsidTr="00296FEB">
        <w:trPr>
          <w:trHeight w:val="300"/>
        </w:trPr>
        <w:tc>
          <w:tcPr>
            <w:tcW w:w="1356" w:type="dxa"/>
            <w:vMerge/>
            <w:tcBorders>
              <w:right w:val="single" w:sz="12" w:space="0" w:color="auto"/>
            </w:tcBorders>
            <w:noWrap/>
            <w:hideMark/>
          </w:tcPr>
          <w:p w14:paraId="0A9EDC2A" w14:textId="77777777" w:rsidR="00024B78" w:rsidRPr="00B026E4" w:rsidRDefault="00024B78" w:rsidP="00EC104F">
            <w:pPr>
              <w:keepNext/>
              <w:keepLines/>
              <w:rPr>
                <w:rFonts w:ascii="Times New Roman" w:eastAsia="Times New Roman" w:hAnsi="Times New Roman" w:cs="Times New Roman"/>
                <w:color w:val="000000"/>
              </w:rPr>
            </w:pPr>
          </w:p>
        </w:tc>
        <w:tc>
          <w:tcPr>
            <w:tcW w:w="1498" w:type="dxa"/>
            <w:tcBorders>
              <w:top w:val="single" w:sz="12" w:space="0" w:color="auto"/>
              <w:left w:val="single" w:sz="12" w:space="0" w:color="auto"/>
            </w:tcBorders>
            <w:noWrap/>
            <w:hideMark/>
          </w:tcPr>
          <w:p w14:paraId="0B70E69E" w14:textId="77777777" w:rsidR="00024B78" w:rsidRPr="00B026E4" w:rsidRDefault="00024B78" w:rsidP="00EC104F">
            <w:pPr>
              <w:keepNext/>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2010</w:t>
            </w:r>
          </w:p>
        </w:tc>
        <w:tc>
          <w:tcPr>
            <w:tcW w:w="1498" w:type="dxa"/>
            <w:tcBorders>
              <w:top w:val="single" w:sz="12" w:space="0" w:color="auto"/>
              <w:right w:val="single" w:sz="12" w:space="0" w:color="auto"/>
            </w:tcBorders>
            <w:noWrap/>
            <w:hideMark/>
          </w:tcPr>
          <w:p w14:paraId="054BE716" w14:textId="77777777" w:rsidR="00024B78" w:rsidRPr="00B026E4" w:rsidRDefault="00024B78" w:rsidP="00EC104F">
            <w:pPr>
              <w:keepNext/>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2013</w:t>
            </w:r>
          </w:p>
        </w:tc>
        <w:tc>
          <w:tcPr>
            <w:tcW w:w="1958" w:type="dxa"/>
            <w:tcBorders>
              <w:top w:val="single" w:sz="12" w:space="0" w:color="auto"/>
              <w:left w:val="single" w:sz="12" w:space="0" w:color="auto"/>
            </w:tcBorders>
            <w:noWrap/>
            <w:hideMark/>
          </w:tcPr>
          <w:p w14:paraId="4BECE67F" w14:textId="77777777" w:rsidR="00024B78" w:rsidRPr="00B026E4" w:rsidRDefault="00024B78" w:rsidP="00EC104F">
            <w:pPr>
              <w:keepNext/>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2010</w:t>
            </w:r>
          </w:p>
        </w:tc>
        <w:tc>
          <w:tcPr>
            <w:tcW w:w="1958" w:type="dxa"/>
            <w:tcBorders>
              <w:top w:val="single" w:sz="12" w:space="0" w:color="auto"/>
              <w:right w:val="single" w:sz="12" w:space="0" w:color="auto"/>
            </w:tcBorders>
            <w:noWrap/>
            <w:hideMark/>
          </w:tcPr>
          <w:p w14:paraId="5A53761E" w14:textId="77777777" w:rsidR="00024B78" w:rsidRPr="00B026E4" w:rsidRDefault="00024B78" w:rsidP="00EC104F">
            <w:pPr>
              <w:keepNext/>
              <w:keepLines/>
              <w:jc w:val="center"/>
              <w:rPr>
                <w:rFonts w:ascii="Times New Roman" w:eastAsia="Times New Roman" w:hAnsi="Times New Roman" w:cs="Times New Roman"/>
                <w:b/>
                <w:bCs/>
                <w:color w:val="000000"/>
              </w:rPr>
            </w:pPr>
            <w:r w:rsidRPr="00B026E4">
              <w:rPr>
                <w:rFonts w:ascii="Times New Roman" w:eastAsia="Times New Roman" w:hAnsi="Times New Roman" w:cs="Times New Roman"/>
                <w:b/>
                <w:bCs/>
                <w:color w:val="000000"/>
              </w:rPr>
              <w:t>2013</w:t>
            </w:r>
          </w:p>
        </w:tc>
      </w:tr>
      <w:tr w:rsidR="008373AC" w:rsidRPr="00537498" w14:paraId="145BE69C" w14:textId="77777777" w:rsidTr="00296FEB">
        <w:trPr>
          <w:trHeight w:val="300"/>
        </w:trPr>
        <w:tc>
          <w:tcPr>
            <w:tcW w:w="1356" w:type="dxa"/>
            <w:tcBorders>
              <w:right w:val="single" w:sz="12" w:space="0" w:color="auto"/>
            </w:tcBorders>
            <w:noWrap/>
            <w:hideMark/>
          </w:tcPr>
          <w:p w14:paraId="1B16F533" w14:textId="77777777" w:rsidR="008373AC" w:rsidRPr="00B026E4" w:rsidRDefault="008373AC" w:rsidP="00EC104F">
            <w:pPr>
              <w:keepNext/>
              <w:keepLines/>
              <w:rPr>
                <w:rFonts w:ascii="Times New Roman" w:eastAsia="Times New Roman" w:hAnsi="Times New Roman" w:cs="Times New Roman"/>
                <w:color w:val="000000"/>
              </w:rPr>
            </w:pPr>
            <w:r w:rsidRPr="00B026E4">
              <w:rPr>
                <w:rFonts w:ascii="Times New Roman" w:eastAsia="Times New Roman" w:hAnsi="Times New Roman" w:cs="Times New Roman"/>
                <w:color w:val="000000"/>
              </w:rPr>
              <w:t>Over</w:t>
            </w:r>
          </w:p>
        </w:tc>
        <w:tc>
          <w:tcPr>
            <w:tcW w:w="1498" w:type="dxa"/>
            <w:tcBorders>
              <w:left w:val="single" w:sz="12" w:space="0" w:color="auto"/>
            </w:tcBorders>
            <w:noWrap/>
            <w:hideMark/>
          </w:tcPr>
          <w:p w14:paraId="5AC96C1C"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73.4%</w:t>
            </w:r>
          </w:p>
        </w:tc>
        <w:tc>
          <w:tcPr>
            <w:tcW w:w="1498" w:type="dxa"/>
            <w:tcBorders>
              <w:right w:val="single" w:sz="12" w:space="0" w:color="auto"/>
            </w:tcBorders>
            <w:noWrap/>
            <w:hideMark/>
          </w:tcPr>
          <w:p w14:paraId="7C454C0E"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57.9%</w:t>
            </w:r>
          </w:p>
        </w:tc>
        <w:tc>
          <w:tcPr>
            <w:tcW w:w="1958" w:type="dxa"/>
            <w:tcBorders>
              <w:left w:val="single" w:sz="12" w:space="0" w:color="auto"/>
            </w:tcBorders>
            <w:noWrap/>
            <w:hideMark/>
          </w:tcPr>
          <w:p w14:paraId="0983A5C8"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58.7%</w:t>
            </w:r>
          </w:p>
        </w:tc>
        <w:tc>
          <w:tcPr>
            <w:tcW w:w="1958" w:type="dxa"/>
            <w:tcBorders>
              <w:right w:val="single" w:sz="12" w:space="0" w:color="auto"/>
            </w:tcBorders>
            <w:noWrap/>
            <w:hideMark/>
          </w:tcPr>
          <w:p w14:paraId="1A7BA454"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43.9%</w:t>
            </w:r>
          </w:p>
        </w:tc>
      </w:tr>
      <w:tr w:rsidR="008373AC" w:rsidRPr="00537498" w14:paraId="547267D0" w14:textId="77777777" w:rsidTr="00296FEB">
        <w:trPr>
          <w:trHeight w:val="300"/>
        </w:trPr>
        <w:tc>
          <w:tcPr>
            <w:tcW w:w="1356" w:type="dxa"/>
            <w:tcBorders>
              <w:right w:val="single" w:sz="12" w:space="0" w:color="auto"/>
            </w:tcBorders>
            <w:noWrap/>
            <w:hideMark/>
          </w:tcPr>
          <w:p w14:paraId="24AABC13" w14:textId="77777777" w:rsidR="008373AC" w:rsidRPr="00B026E4" w:rsidRDefault="008373AC" w:rsidP="00EC104F">
            <w:pPr>
              <w:keepNext/>
              <w:keepLines/>
              <w:rPr>
                <w:rFonts w:ascii="Times New Roman" w:eastAsia="Times New Roman" w:hAnsi="Times New Roman" w:cs="Times New Roman"/>
                <w:color w:val="000000"/>
              </w:rPr>
            </w:pPr>
            <w:r w:rsidRPr="00B026E4">
              <w:rPr>
                <w:rFonts w:ascii="Times New Roman" w:eastAsia="Times New Roman" w:hAnsi="Times New Roman" w:cs="Times New Roman"/>
                <w:color w:val="000000"/>
              </w:rPr>
              <w:t>Under</w:t>
            </w:r>
          </w:p>
        </w:tc>
        <w:tc>
          <w:tcPr>
            <w:tcW w:w="1498" w:type="dxa"/>
            <w:tcBorders>
              <w:left w:val="single" w:sz="12" w:space="0" w:color="auto"/>
            </w:tcBorders>
            <w:noWrap/>
            <w:hideMark/>
          </w:tcPr>
          <w:p w14:paraId="44FDF0BB"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19.3%</w:t>
            </w:r>
          </w:p>
        </w:tc>
        <w:tc>
          <w:tcPr>
            <w:tcW w:w="1498" w:type="dxa"/>
            <w:tcBorders>
              <w:right w:val="single" w:sz="12" w:space="0" w:color="auto"/>
            </w:tcBorders>
            <w:noWrap/>
            <w:hideMark/>
          </w:tcPr>
          <w:p w14:paraId="5D0908E1"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36.0%</w:t>
            </w:r>
          </w:p>
        </w:tc>
        <w:tc>
          <w:tcPr>
            <w:tcW w:w="1958" w:type="dxa"/>
            <w:tcBorders>
              <w:left w:val="single" w:sz="12" w:space="0" w:color="auto"/>
            </w:tcBorders>
            <w:noWrap/>
            <w:hideMark/>
          </w:tcPr>
          <w:p w14:paraId="3EA67C80"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33.9%</w:t>
            </w:r>
          </w:p>
        </w:tc>
        <w:tc>
          <w:tcPr>
            <w:tcW w:w="1958" w:type="dxa"/>
            <w:tcBorders>
              <w:right w:val="single" w:sz="12" w:space="0" w:color="auto"/>
            </w:tcBorders>
            <w:noWrap/>
            <w:hideMark/>
          </w:tcPr>
          <w:p w14:paraId="14030F66"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50.0%</w:t>
            </w:r>
          </w:p>
        </w:tc>
      </w:tr>
      <w:tr w:rsidR="008373AC" w:rsidRPr="00537498" w14:paraId="31ED1C9E" w14:textId="77777777" w:rsidTr="00296FEB">
        <w:trPr>
          <w:trHeight w:val="300"/>
        </w:trPr>
        <w:tc>
          <w:tcPr>
            <w:tcW w:w="1356" w:type="dxa"/>
            <w:tcBorders>
              <w:right w:val="single" w:sz="12" w:space="0" w:color="auto"/>
            </w:tcBorders>
            <w:noWrap/>
            <w:hideMark/>
          </w:tcPr>
          <w:p w14:paraId="44057366" w14:textId="5168A09F" w:rsidR="008373AC" w:rsidRPr="00B026E4" w:rsidRDefault="00024B78" w:rsidP="00EC104F">
            <w:pPr>
              <w:keepNext/>
              <w:keepLines/>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498" w:type="dxa"/>
            <w:tcBorders>
              <w:left w:val="single" w:sz="12" w:space="0" w:color="auto"/>
            </w:tcBorders>
            <w:noWrap/>
            <w:hideMark/>
          </w:tcPr>
          <w:p w14:paraId="2028EBEB"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7.3%</w:t>
            </w:r>
          </w:p>
        </w:tc>
        <w:tc>
          <w:tcPr>
            <w:tcW w:w="1498" w:type="dxa"/>
            <w:tcBorders>
              <w:right w:val="single" w:sz="12" w:space="0" w:color="auto"/>
            </w:tcBorders>
            <w:noWrap/>
            <w:hideMark/>
          </w:tcPr>
          <w:p w14:paraId="5CEF645F"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6.1%</w:t>
            </w:r>
          </w:p>
        </w:tc>
        <w:tc>
          <w:tcPr>
            <w:tcW w:w="1958" w:type="dxa"/>
            <w:tcBorders>
              <w:left w:val="single" w:sz="12" w:space="0" w:color="auto"/>
            </w:tcBorders>
            <w:noWrap/>
            <w:hideMark/>
          </w:tcPr>
          <w:p w14:paraId="66EA6DB8"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7.3%</w:t>
            </w:r>
          </w:p>
        </w:tc>
        <w:tc>
          <w:tcPr>
            <w:tcW w:w="1958" w:type="dxa"/>
            <w:tcBorders>
              <w:right w:val="single" w:sz="12" w:space="0" w:color="auto"/>
            </w:tcBorders>
            <w:noWrap/>
            <w:hideMark/>
          </w:tcPr>
          <w:p w14:paraId="4A802A8C" w14:textId="77777777" w:rsidR="008373AC" w:rsidRPr="00B026E4" w:rsidRDefault="008373AC" w:rsidP="00EC104F">
            <w:pPr>
              <w:keepNext/>
              <w:keepLines/>
              <w:jc w:val="right"/>
              <w:rPr>
                <w:rFonts w:ascii="Times New Roman" w:eastAsia="Times New Roman" w:hAnsi="Times New Roman" w:cs="Times New Roman"/>
                <w:color w:val="000000"/>
              </w:rPr>
            </w:pPr>
            <w:r w:rsidRPr="00B026E4">
              <w:rPr>
                <w:rFonts w:ascii="Times New Roman" w:eastAsia="Times New Roman" w:hAnsi="Times New Roman" w:cs="Times New Roman"/>
                <w:color w:val="000000"/>
              </w:rPr>
              <w:t>6.1%</w:t>
            </w:r>
          </w:p>
        </w:tc>
      </w:tr>
    </w:tbl>
    <w:p w14:paraId="706FB87B" w14:textId="77777777" w:rsidR="008373AC" w:rsidRPr="00537498" w:rsidRDefault="008373AC" w:rsidP="008373AC">
      <w:pPr>
        <w:rPr>
          <w:rFonts w:ascii="Times New Roman" w:hAnsi="Times New Roman" w:cs="Times New Roman"/>
        </w:rPr>
      </w:pPr>
    </w:p>
    <w:p w14:paraId="27A0451E" w14:textId="114F7671" w:rsidR="008373AC" w:rsidRDefault="008373AC" w:rsidP="008373AC">
      <w:pPr>
        <w:spacing w:line="480" w:lineRule="auto"/>
        <w:ind w:firstLine="720"/>
        <w:rPr>
          <w:rFonts w:ascii="Times New Roman" w:hAnsi="Times New Roman" w:cs="Times New Roman"/>
        </w:rPr>
      </w:pPr>
      <w:r>
        <w:rPr>
          <w:rFonts w:ascii="Times New Roman" w:hAnsi="Times New Roman" w:cs="Times New Roman"/>
        </w:rPr>
        <w:t>As we discussed earlier</w:t>
      </w:r>
      <w:r w:rsidR="00EC104F">
        <w:rPr>
          <w:rFonts w:ascii="Times New Roman" w:hAnsi="Times New Roman" w:cs="Times New Roman"/>
        </w:rPr>
        <w:t>,</w:t>
      </w:r>
      <w:r w:rsidR="00EC104F">
        <w:rPr>
          <w:rStyle w:val="FootnoteReference"/>
          <w:rFonts w:ascii="Times New Roman" w:hAnsi="Times New Roman" w:cs="Times New Roman"/>
        </w:rPr>
        <w:footnoteReference w:id="161"/>
      </w:r>
      <w:r>
        <w:rPr>
          <w:rFonts w:ascii="Times New Roman" w:hAnsi="Times New Roman" w:cs="Times New Roman"/>
        </w:rPr>
        <w:t xml:space="preserve"> </w:t>
      </w:r>
      <w:r w:rsidRPr="00B026E4">
        <w:rPr>
          <w:rFonts w:ascii="Times New Roman" w:hAnsi="Times New Roman" w:cs="Times New Roman"/>
        </w:rPr>
        <w:t>our debtors had very high incomes</w:t>
      </w:r>
      <w:r>
        <w:rPr>
          <w:rFonts w:ascii="Times New Roman" w:hAnsi="Times New Roman" w:cs="Times New Roman"/>
        </w:rPr>
        <w:t xml:space="preserve"> and expenses. They also </w:t>
      </w:r>
      <w:r w:rsidRPr="00B026E4">
        <w:rPr>
          <w:rFonts w:ascii="Times New Roman" w:hAnsi="Times New Roman" w:cs="Times New Roman"/>
        </w:rPr>
        <w:t>had enormous debt</w:t>
      </w:r>
      <w:r>
        <w:rPr>
          <w:rFonts w:ascii="Times New Roman" w:hAnsi="Times New Roman" w:cs="Times New Roman"/>
        </w:rPr>
        <w:t>-</w:t>
      </w:r>
      <w:r w:rsidRPr="00B026E4">
        <w:rPr>
          <w:rFonts w:ascii="Times New Roman" w:hAnsi="Times New Roman" w:cs="Times New Roman"/>
        </w:rPr>
        <w:t>to</w:t>
      </w:r>
      <w:r>
        <w:rPr>
          <w:rFonts w:ascii="Times New Roman" w:hAnsi="Times New Roman" w:cs="Times New Roman"/>
        </w:rPr>
        <w:t>-</w:t>
      </w:r>
      <w:r w:rsidRPr="00B026E4">
        <w:rPr>
          <w:rFonts w:ascii="Times New Roman" w:hAnsi="Times New Roman" w:cs="Times New Roman"/>
        </w:rPr>
        <w:t>income ratios</w:t>
      </w:r>
      <w:r w:rsidR="00F318B5">
        <w:rPr>
          <w:rFonts w:ascii="Times New Roman" w:hAnsi="Times New Roman" w:cs="Times New Roman"/>
        </w:rPr>
        <w:t xml:space="preserve"> relative to the ratios reported by prior scholars studying bankrupt individuals in other chapters.</w:t>
      </w:r>
      <w:r w:rsidR="00F318B5" w:rsidDel="00F318B5">
        <w:rPr>
          <w:rFonts w:ascii="Times New Roman" w:hAnsi="Times New Roman" w:cs="Times New Roman"/>
        </w:rPr>
        <w:t xml:space="preserve"> </w:t>
      </w:r>
      <w:r w:rsidRPr="00B026E4">
        <w:rPr>
          <w:rFonts w:ascii="Times New Roman" w:hAnsi="Times New Roman" w:cs="Times New Roman"/>
        </w:rPr>
        <w:t>While Lawless</w:t>
      </w:r>
      <w:r w:rsidR="00EC104F">
        <w:rPr>
          <w:rFonts w:ascii="Times New Roman" w:hAnsi="Times New Roman" w:cs="Times New Roman"/>
        </w:rPr>
        <w:t xml:space="preserve"> and his co-authors</w:t>
      </w:r>
      <w:r w:rsidRPr="00B026E4">
        <w:rPr>
          <w:rFonts w:ascii="Times New Roman" w:hAnsi="Times New Roman" w:cs="Times New Roman"/>
        </w:rPr>
        <w:t xml:space="preserve"> found a median debt</w:t>
      </w:r>
      <w:r>
        <w:rPr>
          <w:rFonts w:ascii="Times New Roman" w:hAnsi="Times New Roman" w:cs="Times New Roman"/>
        </w:rPr>
        <w:t>-</w:t>
      </w:r>
      <w:r w:rsidRPr="00B026E4">
        <w:rPr>
          <w:rFonts w:ascii="Times New Roman" w:hAnsi="Times New Roman" w:cs="Times New Roman"/>
        </w:rPr>
        <w:t>to</w:t>
      </w:r>
      <w:r>
        <w:rPr>
          <w:rFonts w:ascii="Times New Roman" w:hAnsi="Times New Roman" w:cs="Times New Roman"/>
        </w:rPr>
        <w:t>-</w:t>
      </w:r>
      <w:r w:rsidRPr="00B026E4">
        <w:rPr>
          <w:rFonts w:ascii="Times New Roman" w:hAnsi="Times New Roman" w:cs="Times New Roman"/>
        </w:rPr>
        <w:t>income ratio of 3.3 in their sample of bankrupt debtors filing in 2007</w:t>
      </w:r>
      <w:r w:rsidR="00BE0933">
        <w:rPr>
          <w:rFonts w:ascii="Times New Roman" w:hAnsi="Times New Roman" w:cs="Times New Roman"/>
        </w:rPr>
        <w:t>,</w:t>
      </w:r>
      <w:r w:rsidRPr="00B026E4">
        <w:rPr>
          <w:rStyle w:val="FootnoteReference"/>
          <w:rFonts w:ascii="Times New Roman" w:hAnsi="Times New Roman" w:cs="Times New Roman"/>
        </w:rPr>
        <w:footnoteReference w:id="162"/>
      </w:r>
      <w:r w:rsidRPr="00B026E4">
        <w:rPr>
          <w:rFonts w:ascii="Times New Roman" w:hAnsi="Times New Roman" w:cs="Times New Roman"/>
        </w:rPr>
        <w:t xml:space="preserve"> the median debt</w:t>
      </w:r>
      <w:r>
        <w:rPr>
          <w:rFonts w:ascii="Times New Roman" w:hAnsi="Times New Roman" w:cs="Times New Roman"/>
        </w:rPr>
        <w:t>-</w:t>
      </w:r>
      <w:r w:rsidRPr="00B026E4">
        <w:rPr>
          <w:rFonts w:ascii="Times New Roman" w:hAnsi="Times New Roman" w:cs="Times New Roman"/>
        </w:rPr>
        <w:t>to</w:t>
      </w:r>
      <w:r>
        <w:rPr>
          <w:rFonts w:ascii="Times New Roman" w:hAnsi="Times New Roman" w:cs="Times New Roman"/>
        </w:rPr>
        <w:t>-</w:t>
      </w:r>
      <w:r w:rsidRPr="00B026E4">
        <w:rPr>
          <w:rFonts w:ascii="Times New Roman" w:hAnsi="Times New Roman" w:cs="Times New Roman"/>
        </w:rPr>
        <w:t xml:space="preserve">income ratio in our sample was </w:t>
      </w:r>
      <w:r w:rsidR="00EC104F">
        <w:rPr>
          <w:rFonts w:ascii="Times New Roman" w:hAnsi="Times New Roman" w:cs="Times New Roman"/>
        </w:rPr>
        <w:t>eight in 2013 and sixteen</w:t>
      </w:r>
      <w:r w:rsidRPr="00B026E4">
        <w:rPr>
          <w:rFonts w:ascii="Times New Roman" w:hAnsi="Times New Roman" w:cs="Times New Roman"/>
        </w:rPr>
        <w:t xml:space="preserve"> in 2010.</w:t>
      </w:r>
      <w:r w:rsidRPr="00B026E4">
        <w:rPr>
          <w:rFonts w:ascii="Times New Roman" w:hAnsi="Times New Roman" w:cs="Times New Roman"/>
          <w:i/>
        </w:rPr>
        <w:t xml:space="preserve"> </w:t>
      </w:r>
      <w:r>
        <w:rPr>
          <w:rFonts w:ascii="Times New Roman" w:hAnsi="Times New Roman" w:cs="Times New Roman"/>
        </w:rPr>
        <w:t xml:space="preserve">Table </w:t>
      </w:r>
      <w:r w:rsidR="00B35488">
        <w:rPr>
          <w:rFonts w:ascii="Times New Roman" w:hAnsi="Times New Roman" w:cs="Times New Roman"/>
        </w:rPr>
        <w:t>3</w:t>
      </w:r>
      <w:r w:rsidR="00296FEB">
        <w:rPr>
          <w:rFonts w:ascii="Times New Roman" w:hAnsi="Times New Roman" w:cs="Times New Roman"/>
        </w:rPr>
        <w:t>1</w:t>
      </w:r>
      <w:r>
        <w:rPr>
          <w:rFonts w:ascii="Times New Roman" w:hAnsi="Times New Roman" w:cs="Times New Roman"/>
        </w:rPr>
        <w:t xml:space="preserve"> presents the</w:t>
      </w:r>
      <w:r w:rsidR="00AD4FEB">
        <w:rPr>
          <w:rFonts w:ascii="Times New Roman" w:hAnsi="Times New Roman" w:cs="Times New Roman"/>
        </w:rPr>
        <w:t>se</w:t>
      </w:r>
      <w:r w:rsidR="00EF781C">
        <w:rPr>
          <w:rFonts w:ascii="Times New Roman" w:hAnsi="Times New Roman" w:cs="Times New Roman"/>
        </w:rPr>
        <w:t xml:space="preserve"> </w:t>
      </w:r>
      <w:r w:rsidR="00AD4FEB">
        <w:rPr>
          <w:rFonts w:ascii="Times New Roman" w:hAnsi="Times New Roman" w:cs="Times New Roman"/>
        </w:rPr>
        <w:t xml:space="preserve">ratios, using figures </w:t>
      </w:r>
      <w:r w:rsidR="00957C31">
        <w:rPr>
          <w:rFonts w:ascii="Times New Roman" w:hAnsi="Times New Roman" w:cs="Times New Roman"/>
        </w:rPr>
        <w:t xml:space="preserve">from the </w:t>
      </w:r>
      <w:r w:rsidR="00BE0933">
        <w:rPr>
          <w:rFonts w:ascii="Times New Roman" w:hAnsi="Times New Roman" w:cs="Times New Roman"/>
        </w:rPr>
        <w:t>s</w:t>
      </w:r>
      <w:r w:rsidR="00957C31">
        <w:rPr>
          <w:rFonts w:ascii="Times New Roman" w:hAnsi="Times New Roman" w:cs="Times New Roman"/>
        </w:rPr>
        <w:t xml:space="preserve">ummary of </w:t>
      </w:r>
      <w:r w:rsidR="00BE0933">
        <w:rPr>
          <w:rFonts w:ascii="Times New Roman" w:hAnsi="Times New Roman" w:cs="Times New Roman"/>
        </w:rPr>
        <w:t>s</w:t>
      </w:r>
      <w:r w:rsidR="00957C31">
        <w:rPr>
          <w:rFonts w:ascii="Times New Roman" w:hAnsi="Times New Roman" w:cs="Times New Roman"/>
        </w:rPr>
        <w:t>chedules</w:t>
      </w:r>
      <w:r w:rsidR="00BE0933">
        <w:rPr>
          <w:rFonts w:ascii="Times New Roman" w:hAnsi="Times New Roman" w:cs="Times New Roman"/>
        </w:rPr>
        <w:t>.</w:t>
      </w:r>
      <w:r w:rsidR="008E62F5">
        <w:rPr>
          <w:rStyle w:val="FootnoteReference"/>
          <w:rFonts w:ascii="Times New Roman" w:hAnsi="Times New Roman" w:cs="Times New Roman"/>
        </w:rPr>
        <w:footnoteReference w:id="163"/>
      </w:r>
      <w:r w:rsidR="00BE0933">
        <w:rPr>
          <w:rFonts w:ascii="Times New Roman" w:hAnsi="Times New Roman" w:cs="Times New Roman"/>
        </w:rPr>
        <w:t xml:space="preserve"> </w:t>
      </w:r>
    </w:p>
    <w:p w14:paraId="4A8851FC" w14:textId="406E95A1" w:rsidR="008373AC" w:rsidRDefault="008373AC" w:rsidP="00A82B81">
      <w:pPr>
        <w:keepNext/>
        <w:keepLines/>
        <w:spacing w:line="480" w:lineRule="auto"/>
        <w:ind w:firstLine="720"/>
        <w:jc w:val="center"/>
        <w:rPr>
          <w:rFonts w:ascii="Times New Roman" w:hAnsi="Times New Roman" w:cs="Times New Roman"/>
          <w:b/>
        </w:rPr>
      </w:pPr>
      <w:r w:rsidRPr="00B026E4">
        <w:rPr>
          <w:rFonts w:ascii="Times New Roman" w:hAnsi="Times New Roman" w:cs="Times New Roman"/>
          <w:b/>
        </w:rPr>
        <w:t xml:space="preserve">Table </w:t>
      </w:r>
      <w:r w:rsidR="00B35488">
        <w:rPr>
          <w:rFonts w:ascii="Times New Roman" w:hAnsi="Times New Roman" w:cs="Times New Roman"/>
          <w:b/>
        </w:rPr>
        <w:t>3</w:t>
      </w:r>
      <w:r w:rsidR="00296FEB">
        <w:rPr>
          <w:rFonts w:ascii="Times New Roman" w:hAnsi="Times New Roman" w:cs="Times New Roman"/>
          <w:b/>
        </w:rPr>
        <w:t>1</w:t>
      </w:r>
      <w:r w:rsidRPr="00B026E4">
        <w:rPr>
          <w:rFonts w:ascii="Times New Roman" w:hAnsi="Times New Roman" w:cs="Times New Roman"/>
          <w:b/>
        </w:rPr>
        <w:t>: Debt-to-Income Ratio</w:t>
      </w:r>
      <w:r>
        <w:rPr>
          <w:rFonts w:ascii="Times New Roman" w:hAnsi="Times New Roman" w:cs="Times New Roman"/>
          <w:b/>
        </w:rPr>
        <w:t>s</w:t>
      </w:r>
    </w:p>
    <w:tbl>
      <w:tblPr>
        <w:tblStyle w:val="TableGrid"/>
        <w:tblW w:w="0" w:type="auto"/>
        <w:tblLook w:val="04A0" w:firstRow="1" w:lastRow="0" w:firstColumn="1" w:lastColumn="0" w:noHBand="0" w:noVBand="1"/>
      </w:tblPr>
      <w:tblGrid>
        <w:gridCol w:w="4248"/>
        <w:gridCol w:w="1980"/>
        <w:gridCol w:w="2070"/>
      </w:tblGrid>
      <w:tr w:rsidR="00F176E6" w14:paraId="7532FD06" w14:textId="77777777" w:rsidTr="00296FEB">
        <w:tc>
          <w:tcPr>
            <w:tcW w:w="4248" w:type="dxa"/>
            <w:vMerge w:val="restart"/>
            <w:tcBorders>
              <w:top w:val="nil"/>
              <w:left w:val="nil"/>
              <w:right w:val="single" w:sz="18" w:space="0" w:color="auto"/>
            </w:tcBorders>
          </w:tcPr>
          <w:p w14:paraId="6ABE1253" w14:textId="77777777" w:rsidR="00F176E6" w:rsidRDefault="00F176E6" w:rsidP="00A82B81">
            <w:pPr>
              <w:keepNext/>
              <w:keepLines/>
              <w:rPr>
                <w:rFonts w:ascii="Times New Roman" w:eastAsiaTheme="majorEastAsia" w:hAnsi="Times New Roman" w:cs="Times New Roman"/>
                <w:b/>
                <w:color w:val="404040" w:themeColor="text1" w:themeTint="BF"/>
                <w:sz w:val="20"/>
                <w:szCs w:val="20"/>
              </w:rPr>
            </w:pPr>
          </w:p>
        </w:tc>
        <w:tc>
          <w:tcPr>
            <w:tcW w:w="4050" w:type="dxa"/>
            <w:gridSpan w:val="2"/>
            <w:tcBorders>
              <w:top w:val="single" w:sz="18" w:space="0" w:color="auto"/>
              <w:left w:val="single" w:sz="18" w:space="0" w:color="auto"/>
              <w:right w:val="single" w:sz="18" w:space="0" w:color="auto"/>
            </w:tcBorders>
          </w:tcPr>
          <w:p w14:paraId="18D1FBEE" w14:textId="030CD818" w:rsidR="00F176E6" w:rsidRDefault="00F176E6" w:rsidP="00A82B81">
            <w:pPr>
              <w:keepNext/>
              <w:keepLines/>
              <w:jc w:val="center"/>
              <w:rPr>
                <w:rFonts w:ascii="Times New Roman" w:hAnsi="Times New Roman" w:cs="Times New Roman"/>
                <w:b/>
              </w:rPr>
            </w:pPr>
            <w:r>
              <w:rPr>
                <w:rFonts w:ascii="Times New Roman" w:hAnsi="Times New Roman" w:cs="Times New Roman"/>
                <w:b/>
              </w:rPr>
              <w:t>Summary of Schedules Debt: Summary of Schedules Income</w:t>
            </w:r>
          </w:p>
        </w:tc>
      </w:tr>
      <w:tr w:rsidR="00F176E6" w14:paraId="4A38B0C7" w14:textId="77777777" w:rsidTr="00296FEB">
        <w:tc>
          <w:tcPr>
            <w:tcW w:w="4248" w:type="dxa"/>
            <w:vMerge/>
            <w:tcBorders>
              <w:left w:val="nil"/>
              <w:bottom w:val="single" w:sz="18" w:space="0" w:color="auto"/>
              <w:right w:val="single" w:sz="18" w:space="0" w:color="auto"/>
            </w:tcBorders>
          </w:tcPr>
          <w:p w14:paraId="4021CBA3" w14:textId="77777777" w:rsidR="00F176E6" w:rsidRDefault="00F176E6" w:rsidP="00A82B81">
            <w:pPr>
              <w:keepNext/>
              <w:keepLines/>
              <w:rPr>
                <w:rFonts w:ascii="Times New Roman" w:hAnsi="Times New Roman" w:cs="Times New Roman"/>
                <w:b/>
                <w:sz w:val="18"/>
                <w:szCs w:val="18"/>
              </w:rPr>
            </w:pPr>
          </w:p>
        </w:tc>
        <w:tc>
          <w:tcPr>
            <w:tcW w:w="1980" w:type="dxa"/>
            <w:tcBorders>
              <w:top w:val="single" w:sz="18" w:space="0" w:color="auto"/>
              <w:left w:val="single" w:sz="18" w:space="0" w:color="auto"/>
              <w:bottom w:val="single" w:sz="18" w:space="0" w:color="auto"/>
              <w:right w:val="single" w:sz="18" w:space="0" w:color="auto"/>
            </w:tcBorders>
          </w:tcPr>
          <w:p w14:paraId="6B8DFAD0" w14:textId="77777777" w:rsidR="00F176E6" w:rsidRDefault="00F176E6" w:rsidP="00A82B81">
            <w:pPr>
              <w:keepNext/>
              <w:keepLines/>
              <w:jc w:val="center"/>
              <w:rPr>
                <w:rFonts w:ascii="Times New Roman" w:eastAsiaTheme="majorEastAsia" w:hAnsi="Times New Roman" w:cs="Times New Roman"/>
                <w:b/>
                <w:i/>
                <w:iCs/>
                <w:color w:val="404040" w:themeColor="text1" w:themeTint="BF"/>
                <w:sz w:val="20"/>
                <w:szCs w:val="20"/>
              </w:rPr>
            </w:pPr>
            <w:r>
              <w:rPr>
                <w:rFonts w:ascii="Times New Roman" w:hAnsi="Times New Roman" w:cs="Times New Roman"/>
                <w:b/>
              </w:rPr>
              <w:t>2010</w:t>
            </w:r>
          </w:p>
        </w:tc>
        <w:tc>
          <w:tcPr>
            <w:tcW w:w="2070" w:type="dxa"/>
            <w:tcBorders>
              <w:top w:val="single" w:sz="18" w:space="0" w:color="auto"/>
              <w:left w:val="single" w:sz="18" w:space="0" w:color="auto"/>
              <w:bottom w:val="single" w:sz="18" w:space="0" w:color="auto"/>
              <w:right w:val="single" w:sz="18" w:space="0" w:color="auto"/>
            </w:tcBorders>
          </w:tcPr>
          <w:p w14:paraId="40DBEC28" w14:textId="77777777" w:rsidR="00F176E6" w:rsidRDefault="00F176E6" w:rsidP="00A82B81">
            <w:pPr>
              <w:keepNext/>
              <w:keepLines/>
              <w:jc w:val="center"/>
              <w:rPr>
                <w:rFonts w:ascii="Times New Roman" w:eastAsiaTheme="majorEastAsia" w:hAnsi="Times New Roman" w:cs="Times New Roman"/>
                <w:b/>
                <w:i/>
                <w:iCs/>
                <w:color w:val="404040" w:themeColor="text1" w:themeTint="BF"/>
                <w:sz w:val="20"/>
                <w:szCs w:val="20"/>
              </w:rPr>
            </w:pPr>
            <w:r>
              <w:rPr>
                <w:rFonts w:ascii="Times New Roman" w:hAnsi="Times New Roman" w:cs="Times New Roman"/>
                <w:b/>
              </w:rPr>
              <w:t>2013</w:t>
            </w:r>
          </w:p>
        </w:tc>
      </w:tr>
      <w:tr w:rsidR="00F176E6" w14:paraId="6F2939EF" w14:textId="77777777" w:rsidTr="00296FEB">
        <w:tc>
          <w:tcPr>
            <w:tcW w:w="4248" w:type="dxa"/>
            <w:tcBorders>
              <w:top w:val="single" w:sz="18" w:space="0" w:color="auto"/>
              <w:right w:val="single" w:sz="18" w:space="0" w:color="auto"/>
            </w:tcBorders>
            <w:vAlign w:val="bottom"/>
          </w:tcPr>
          <w:p w14:paraId="7BE2A3FF" w14:textId="77777777" w:rsidR="00F176E6" w:rsidRDefault="00F176E6" w:rsidP="00A82B81">
            <w:pPr>
              <w:keepNext/>
              <w:keepLines/>
              <w:rPr>
                <w:rFonts w:ascii="Times New Roman" w:eastAsiaTheme="majorEastAsia" w:hAnsi="Times New Roman" w:cs="Times New Roman"/>
                <w:b/>
                <w:color w:val="404040" w:themeColor="text1" w:themeTint="BF"/>
                <w:sz w:val="20"/>
                <w:szCs w:val="20"/>
              </w:rPr>
            </w:pPr>
            <w:r w:rsidRPr="00CC5835">
              <w:rPr>
                <w:rFonts w:ascii="Times New Roman" w:eastAsia="Times New Roman" w:hAnsi="Times New Roman" w:cs="Times New Roman"/>
                <w:b/>
                <w:bCs/>
                <w:color w:val="000000"/>
              </w:rPr>
              <w:t>Over 75</w:t>
            </w:r>
          </w:p>
        </w:tc>
        <w:tc>
          <w:tcPr>
            <w:tcW w:w="1980" w:type="dxa"/>
            <w:tcBorders>
              <w:top w:val="single" w:sz="18" w:space="0" w:color="auto"/>
              <w:left w:val="single" w:sz="18" w:space="0" w:color="auto"/>
              <w:right w:val="single" w:sz="18" w:space="0" w:color="auto"/>
            </w:tcBorders>
            <w:vAlign w:val="bottom"/>
          </w:tcPr>
          <w:p w14:paraId="40BA6872" w14:textId="77777777" w:rsidR="00F176E6" w:rsidRDefault="00F176E6" w:rsidP="00A82B81">
            <w:pPr>
              <w:keepNext/>
              <w:keepLines/>
              <w:jc w:val="right"/>
              <w:rPr>
                <w:rFonts w:ascii="Times New Roman" w:eastAsiaTheme="majorEastAsia" w:hAnsi="Times New Roman" w:cs="Times New Roman"/>
                <w:b/>
                <w:color w:val="404040" w:themeColor="text1" w:themeTint="BF"/>
                <w:sz w:val="20"/>
                <w:szCs w:val="20"/>
              </w:rPr>
            </w:pPr>
            <w:r w:rsidRPr="00CC5835">
              <w:rPr>
                <w:rFonts w:ascii="Times New Roman" w:eastAsia="Times New Roman" w:hAnsi="Times New Roman" w:cs="Times New Roman"/>
                <w:color w:val="000000"/>
              </w:rPr>
              <w:t>11%</w:t>
            </w:r>
          </w:p>
        </w:tc>
        <w:tc>
          <w:tcPr>
            <w:tcW w:w="2070" w:type="dxa"/>
            <w:tcBorders>
              <w:top w:val="single" w:sz="18" w:space="0" w:color="auto"/>
              <w:left w:val="single" w:sz="18" w:space="0" w:color="auto"/>
              <w:right w:val="single" w:sz="18" w:space="0" w:color="auto"/>
            </w:tcBorders>
            <w:vAlign w:val="bottom"/>
          </w:tcPr>
          <w:p w14:paraId="4A45AC2A" w14:textId="77777777" w:rsidR="00F176E6" w:rsidRDefault="00F176E6" w:rsidP="00A82B81">
            <w:pPr>
              <w:keepNext/>
              <w:keepLines/>
              <w:jc w:val="right"/>
              <w:rPr>
                <w:rFonts w:ascii="Times New Roman" w:eastAsiaTheme="majorEastAsia" w:hAnsi="Times New Roman" w:cs="Times New Roman"/>
                <w:b/>
                <w:color w:val="404040" w:themeColor="text1" w:themeTint="BF"/>
                <w:sz w:val="20"/>
                <w:szCs w:val="20"/>
              </w:rPr>
            </w:pPr>
            <w:r w:rsidRPr="00CC5835">
              <w:rPr>
                <w:rFonts w:ascii="Times New Roman" w:eastAsia="Times New Roman" w:hAnsi="Times New Roman" w:cs="Times New Roman"/>
                <w:color w:val="000000"/>
              </w:rPr>
              <w:t>2%</w:t>
            </w:r>
          </w:p>
        </w:tc>
      </w:tr>
      <w:tr w:rsidR="00F176E6" w14:paraId="3D14A4DC" w14:textId="77777777" w:rsidTr="00296FEB">
        <w:tc>
          <w:tcPr>
            <w:tcW w:w="4248" w:type="dxa"/>
            <w:tcBorders>
              <w:right w:val="single" w:sz="18" w:space="0" w:color="auto"/>
            </w:tcBorders>
            <w:vAlign w:val="bottom"/>
          </w:tcPr>
          <w:p w14:paraId="1BA06F07" w14:textId="77777777" w:rsidR="00F176E6" w:rsidRDefault="00F176E6" w:rsidP="00A82B81">
            <w:pPr>
              <w:keepNext/>
              <w:keepLines/>
              <w:rPr>
                <w:rFonts w:ascii="Times New Roman" w:eastAsiaTheme="majorEastAsia" w:hAnsi="Times New Roman" w:cs="Times New Roman"/>
                <w:b/>
                <w:color w:val="404040" w:themeColor="text1" w:themeTint="BF"/>
                <w:sz w:val="20"/>
                <w:szCs w:val="20"/>
              </w:rPr>
            </w:pPr>
            <w:r w:rsidRPr="00CC5835">
              <w:rPr>
                <w:rFonts w:ascii="Times New Roman" w:eastAsia="Times New Roman" w:hAnsi="Times New Roman" w:cs="Times New Roman"/>
                <w:b/>
                <w:bCs/>
                <w:color w:val="000000"/>
              </w:rPr>
              <w:t>51 to 75</w:t>
            </w:r>
          </w:p>
        </w:tc>
        <w:tc>
          <w:tcPr>
            <w:tcW w:w="1980" w:type="dxa"/>
            <w:tcBorders>
              <w:left w:val="single" w:sz="18" w:space="0" w:color="auto"/>
              <w:right w:val="single" w:sz="18" w:space="0" w:color="auto"/>
            </w:tcBorders>
            <w:vAlign w:val="bottom"/>
          </w:tcPr>
          <w:p w14:paraId="74D013EA" w14:textId="77777777" w:rsidR="00F176E6" w:rsidRDefault="00F176E6" w:rsidP="00A82B81">
            <w:pPr>
              <w:keepNext/>
              <w:keepLines/>
              <w:jc w:val="right"/>
              <w:rPr>
                <w:rFonts w:ascii="Times New Roman" w:eastAsiaTheme="majorEastAsia" w:hAnsi="Times New Roman" w:cs="Times New Roman"/>
                <w:b/>
                <w:color w:val="404040" w:themeColor="text1" w:themeTint="BF"/>
                <w:sz w:val="20"/>
                <w:szCs w:val="20"/>
              </w:rPr>
            </w:pPr>
            <w:r w:rsidRPr="00CC5835">
              <w:rPr>
                <w:rFonts w:ascii="Times New Roman" w:eastAsia="Times New Roman" w:hAnsi="Times New Roman" w:cs="Times New Roman"/>
                <w:color w:val="000000"/>
              </w:rPr>
              <w:t>6%</w:t>
            </w:r>
          </w:p>
        </w:tc>
        <w:tc>
          <w:tcPr>
            <w:tcW w:w="2070" w:type="dxa"/>
            <w:tcBorders>
              <w:left w:val="single" w:sz="18" w:space="0" w:color="auto"/>
              <w:right w:val="single" w:sz="18" w:space="0" w:color="auto"/>
            </w:tcBorders>
            <w:vAlign w:val="bottom"/>
          </w:tcPr>
          <w:p w14:paraId="6D98F6EF" w14:textId="62505BD6" w:rsidR="00F176E6" w:rsidRDefault="00F176E6" w:rsidP="00A82B81">
            <w:pPr>
              <w:keepNext/>
              <w:keepLines/>
              <w:jc w:val="right"/>
              <w:rPr>
                <w:rFonts w:ascii="Times New Roman" w:eastAsiaTheme="majorEastAsia" w:hAnsi="Times New Roman" w:cs="Times New Roman"/>
                <w:b/>
                <w:color w:val="404040" w:themeColor="text1" w:themeTint="BF"/>
                <w:sz w:val="20"/>
                <w:szCs w:val="20"/>
              </w:rPr>
            </w:pPr>
            <w:r>
              <w:rPr>
                <w:rFonts w:ascii="Times New Roman" w:eastAsia="Times New Roman" w:hAnsi="Times New Roman" w:cs="Times New Roman"/>
                <w:color w:val="000000"/>
              </w:rPr>
              <w:t>3</w:t>
            </w:r>
            <w:r w:rsidRPr="00CC5835">
              <w:rPr>
                <w:rFonts w:ascii="Times New Roman" w:eastAsia="Times New Roman" w:hAnsi="Times New Roman" w:cs="Times New Roman"/>
                <w:color w:val="000000"/>
              </w:rPr>
              <w:t>%</w:t>
            </w:r>
          </w:p>
        </w:tc>
      </w:tr>
      <w:tr w:rsidR="00F176E6" w14:paraId="78327B7A" w14:textId="77777777" w:rsidTr="00296FEB">
        <w:tc>
          <w:tcPr>
            <w:tcW w:w="4248" w:type="dxa"/>
            <w:tcBorders>
              <w:right w:val="single" w:sz="18" w:space="0" w:color="auto"/>
            </w:tcBorders>
            <w:vAlign w:val="bottom"/>
          </w:tcPr>
          <w:p w14:paraId="5C0569CE" w14:textId="77777777" w:rsidR="00F176E6" w:rsidRDefault="00F176E6" w:rsidP="00A82B81">
            <w:pPr>
              <w:keepNext/>
              <w:keepLines/>
              <w:rPr>
                <w:rFonts w:ascii="Times New Roman" w:eastAsiaTheme="majorEastAsia" w:hAnsi="Times New Roman" w:cs="Times New Roman"/>
                <w:b/>
                <w:color w:val="404040" w:themeColor="text1" w:themeTint="BF"/>
                <w:sz w:val="20"/>
                <w:szCs w:val="20"/>
              </w:rPr>
            </w:pPr>
            <w:r w:rsidRPr="00CC5835">
              <w:rPr>
                <w:rFonts w:ascii="Times New Roman" w:eastAsia="Times New Roman" w:hAnsi="Times New Roman" w:cs="Times New Roman"/>
                <w:b/>
                <w:bCs/>
                <w:color w:val="000000"/>
              </w:rPr>
              <w:t>25 to 50</w:t>
            </w:r>
          </w:p>
        </w:tc>
        <w:tc>
          <w:tcPr>
            <w:tcW w:w="1980" w:type="dxa"/>
            <w:tcBorders>
              <w:left w:val="single" w:sz="18" w:space="0" w:color="auto"/>
              <w:right w:val="single" w:sz="18" w:space="0" w:color="auto"/>
            </w:tcBorders>
            <w:vAlign w:val="bottom"/>
          </w:tcPr>
          <w:p w14:paraId="56B8F487" w14:textId="77777777" w:rsidR="00F176E6" w:rsidRDefault="00F176E6" w:rsidP="00A82B81">
            <w:pPr>
              <w:keepNext/>
              <w:keepLines/>
              <w:jc w:val="right"/>
              <w:rPr>
                <w:rFonts w:ascii="Times New Roman" w:eastAsiaTheme="majorEastAsia" w:hAnsi="Times New Roman" w:cs="Times New Roman"/>
                <w:b/>
                <w:color w:val="404040" w:themeColor="text1" w:themeTint="BF"/>
                <w:sz w:val="20"/>
                <w:szCs w:val="20"/>
              </w:rPr>
            </w:pPr>
            <w:r w:rsidRPr="00CC5835">
              <w:rPr>
                <w:rFonts w:ascii="Times New Roman" w:eastAsia="Times New Roman" w:hAnsi="Times New Roman" w:cs="Times New Roman"/>
                <w:color w:val="000000"/>
              </w:rPr>
              <w:t>10%</w:t>
            </w:r>
          </w:p>
        </w:tc>
        <w:tc>
          <w:tcPr>
            <w:tcW w:w="2070" w:type="dxa"/>
            <w:tcBorders>
              <w:left w:val="single" w:sz="18" w:space="0" w:color="auto"/>
              <w:right w:val="single" w:sz="18" w:space="0" w:color="auto"/>
            </w:tcBorders>
            <w:vAlign w:val="bottom"/>
          </w:tcPr>
          <w:p w14:paraId="1089C014" w14:textId="3FE01196" w:rsidR="00F176E6" w:rsidRDefault="00F176E6" w:rsidP="00A82B81">
            <w:pPr>
              <w:keepNext/>
              <w:keepLines/>
              <w:jc w:val="right"/>
              <w:rPr>
                <w:rFonts w:ascii="Times New Roman" w:eastAsiaTheme="majorEastAsia" w:hAnsi="Times New Roman" w:cs="Times New Roman"/>
                <w:b/>
                <w:color w:val="404040" w:themeColor="text1" w:themeTint="BF"/>
                <w:sz w:val="20"/>
                <w:szCs w:val="20"/>
              </w:rPr>
            </w:pPr>
            <w:r>
              <w:rPr>
                <w:rFonts w:ascii="Times New Roman" w:eastAsia="Times New Roman" w:hAnsi="Times New Roman" w:cs="Times New Roman"/>
                <w:color w:val="000000"/>
              </w:rPr>
              <w:t>5</w:t>
            </w:r>
            <w:r w:rsidRPr="00CC5835">
              <w:rPr>
                <w:rFonts w:ascii="Times New Roman" w:eastAsia="Times New Roman" w:hAnsi="Times New Roman" w:cs="Times New Roman"/>
                <w:color w:val="000000"/>
              </w:rPr>
              <w:t>%</w:t>
            </w:r>
          </w:p>
        </w:tc>
      </w:tr>
      <w:tr w:rsidR="00F176E6" w14:paraId="70D9C868" w14:textId="77777777" w:rsidTr="00296FEB">
        <w:tc>
          <w:tcPr>
            <w:tcW w:w="4248" w:type="dxa"/>
            <w:tcBorders>
              <w:right w:val="single" w:sz="18" w:space="0" w:color="auto"/>
            </w:tcBorders>
            <w:vAlign w:val="bottom"/>
          </w:tcPr>
          <w:p w14:paraId="43B7F0A1" w14:textId="77777777" w:rsidR="00F176E6" w:rsidRDefault="00F176E6" w:rsidP="00A82B81">
            <w:pPr>
              <w:keepNext/>
              <w:keepLines/>
              <w:rPr>
                <w:rFonts w:ascii="Times New Roman" w:eastAsiaTheme="majorEastAsia" w:hAnsi="Times New Roman" w:cs="Times New Roman"/>
                <w:b/>
                <w:color w:val="404040" w:themeColor="text1" w:themeTint="BF"/>
                <w:sz w:val="20"/>
                <w:szCs w:val="20"/>
              </w:rPr>
            </w:pPr>
            <w:r w:rsidRPr="00CC5835">
              <w:rPr>
                <w:rFonts w:ascii="Times New Roman" w:eastAsia="Times New Roman" w:hAnsi="Times New Roman" w:cs="Times New Roman"/>
                <w:b/>
                <w:bCs/>
                <w:color w:val="000000"/>
              </w:rPr>
              <w:t>10 to 25</w:t>
            </w:r>
          </w:p>
        </w:tc>
        <w:tc>
          <w:tcPr>
            <w:tcW w:w="1980" w:type="dxa"/>
            <w:tcBorders>
              <w:left w:val="single" w:sz="18" w:space="0" w:color="auto"/>
              <w:right w:val="single" w:sz="18" w:space="0" w:color="auto"/>
            </w:tcBorders>
            <w:vAlign w:val="bottom"/>
          </w:tcPr>
          <w:p w14:paraId="02972D54" w14:textId="77777777" w:rsidR="00F176E6" w:rsidRDefault="00F176E6" w:rsidP="00A82B81">
            <w:pPr>
              <w:keepNext/>
              <w:keepLines/>
              <w:jc w:val="right"/>
              <w:rPr>
                <w:rFonts w:ascii="Times New Roman" w:eastAsiaTheme="majorEastAsia" w:hAnsi="Times New Roman" w:cs="Times New Roman"/>
                <w:b/>
                <w:color w:val="404040" w:themeColor="text1" w:themeTint="BF"/>
                <w:sz w:val="20"/>
                <w:szCs w:val="20"/>
              </w:rPr>
            </w:pPr>
            <w:r w:rsidRPr="00CC5835">
              <w:rPr>
                <w:rFonts w:ascii="Times New Roman" w:eastAsia="Times New Roman" w:hAnsi="Times New Roman" w:cs="Times New Roman"/>
                <w:color w:val="000000"/>
              </w:rPr>
              <w:t>37%</w:t>
            </w:r>
          </w:p>
        </w:tc>
        <w:tc>
          <w:tcPr>
            <w:tcW w:w="2070" w:type="dxa"/>
            <w:tcBorders>
              <w:left w:val="single" w:sz="18" w:space="0" w:color="auto"/>
              <w:right w:val="single" w:sz="18" w:space="0" w:color="auto"/>
            </w:tcBorders>
            <w:vAlign w:val="bottom"/>
          </w:tcPr>
          <w:p w14:paraId="7CB2A503" w14:textId="120F701A" w:rsidR="00F176E6" w:rsidRDefault="00F176E6" w:rsidP="00A82B81">
            <w:pPr>
              <w:keepNext/>
              <w:keepLines/>
              <w:jc w:val="right"/>
              <w:rPr>
                <w:rFonts w:ascii="Times New Roman" w:eastAsiaTheme="majorEastAsia" w:hAnsi="Times New Roman" w:cs="Times New Roman"/>
                <w:b/>
                <w:color w:val="404040" w:themeColor="text1" w:themeTint="BF"/>
                <w:sz w:val="20"/>
                <w:szCs w:val="20"/>
              </w:rPr>
            </w:pPr>
            <w:r>
              <w:rPr>
                <w:rFonts w:ascii="Times New Roman" w:eastAsia="Times New Roman" w:hAnsi="Times New Roman" w:cs="Times New Roman"/>
                <w:color w:val="000000"/>
              </w:rPr>
              <w:t>17</w:t>
            </w:r>
            <w:r w:rsidRPr="00CC5835">
              <w:rPr>
                <w:rFonts w:ascii="Times New Roman" w:eastAsia="Times New Roman" w:hAnsi="Times New Roman" w:cs="Times New Roman"/>
                <w:color w:val="000000"/>
              </w:rPr>
              <w:t>%</w:t>
            </w:r>
          </w:p>
        </w:tc>
      </w:tr>
      <w:tr w:rsidR="00F176E6" w14:paraId="47266A07" w14:textId="77777777" w:rsidTr="00296FEB">
        <w:tc>
          <w:tcPr>
            <w:tcW w:w="4248" w:type="dxa"/>
            <w:tcBorders>
              <w:right w:val="single" w:sz="18" w:space="0" w:color="auto"/>
            </w:tcBorders>
            <w:vAlign w:val="bottom"/>
          </w:tcPr>
          <w:p w14:paraId="6DEA2554" w14:textId="0918D180" w:rsidR="00F176E6" w:rsidRDefault="00BE0933" w:rsidP="00A82B81">
            <w:pPr>
              <w:keepNext/>
              <w:keepLines/>
              <w:rPr>
                <w:rFonts w:ascii="Times New Roman" w:eastAsiaTheme="majorEastAsia" w:hAnsi="Times New Roman" w:cs="Times New Roman"/>
                <w:b/>
                <w:color w:val="404040" w:themeColor="text1" w:themeTint="BF"/>
                <w:sz w:val="20"/>
                <w:szCs w:val="20"/>
              </w:rPr>
            </w:pPr>
            <w:r>
              <w:rPr>
                <w:rFonts w:ascii="Times New Roman" w:eastAsia="Times New Roman" w:hAnsi="Times New Roman" w:cs="Times New Roman"/>
                <w:b/>
                <w:bCs/>
                <w:color w:val="000000"/>
              </w:rPr>
              <w:t>6</w:t>
            </w:r>
            <w:r w:rsidR="00F176E6" w:rsidRPr="00CC5835">
              <w:rPr>
                <w:rFonts w:ascii="Times New Roman" w:eastAsia="Times New Roman" w:hAnsi="Times New Roman" w:cs="Times New Roman"/>
                <w:b/>
                <w:bCs/>
                <w:color w:val="000000"/>
              </w:rPr>
              <w:t xml:space="preserve"> to 10</w:t>
            </w:r>
          </w:p>
        </w:tc>
        <w:tc>
          <w:tcPr>
            <w:tcW w:w="1980" w:type="dxa"/>
            <w:tcBorders>
              <w:left w:val="single" w:sz="18" w:space="0" w:color="auto"/>
              <w:right w:val="single" w:sz="18" w:space="0" w:color="auto"/>
            </w:tcBorders>
            <w:vAlign w:val="bottom"/>
          </w:tcPr>
          <w:p w14:paraId="4AA708EB" w14:textId="77777777" w:rsidR="00F176E6" w:rsidRDefault="00F176E6" w:rsidP="00A82B81">
            <w:pPr>
              <w:keepNext/>
              <w:keepLines/>
              <w:jc w:val="right"/>
              <w:rPr>
                <w:rFonts w:ascii="Times New Roman" w:eastAsiaTheme="majorEastAsia" w:hAnsi="Times New Roman" w:cs="Times New Roman"/>
                <w:b/>
                <w:color w:val="404040" w:themeColor="text1" w:themeTint="BF"/>
                <w:sz w:val="20"/>
                <w:szCs w:val="20"/>
              </w:rPr>
            </w:pPr>
            <w:r w:rsidRPr="00CC5835">
              <w:rPr>
                <w:rFonts w:ascii="Times New Roman" w:eastAsia="Times New Roman" w:hAnsi="Times New Roman" w:cs="Times New Roman"/>
                <w:color w:val="000000"/>
              </w:rPr>
              <w:t>18%</w:t>
            </w:r>
          </w:p>
        </w:tc>
        <w:tc>
          <w:tcPr>
            <w:tcW w:w="2070" w:type="dxa"/>
            <w:tcBorders>
              <w:left w:val="single" w:sz="18" w:space="0" w:color="auto"/>
              <w:right w:val="single" w:sz="18" w:space="0" w:color="auto"/>
            </w:tcBorders>
            <w:vAlign w:val="bottom"/>
          </w:tcPr>
          <w:p w14:paraId="050DED86" w14:textId="754C494B" w:rsidR="00F176E6" w:rsidRDefault="00F176E6" w:rsidP="00A82B81">
            <w:pPr>
              <w:keepNext/>
              <w:keepLines/>
              <w:jc w:val="right"/>
              <w:rPr>
                <w:rFonts w:ascii="Times New Roman" w:eastAsiaTheme="majorEastAsia" w:hAnsi="Times New Roman" w:cs="Times New Roman"/>
                <w:b/>
                <w:color w:val="404040" w:themeColor="text1" w:themeTint="BF"/>
                <w:sz w:val="20"/>
                <w:szCs w:val="20"/>
              </w:rPr>
            </w:pPr>
            <w:r w:rsidRPr="00CC5835">
              <w:rPr>
                <w:rFonts w:ascii="Times New Roman" w:eastAsia="Times New Roman" w:hAnsi="Times New Roman" w:cs="Times New Roman"/>
                <w:color w:val="000000"/>
              </w:rPr>
              <w:t>3</w:t>
            </w:r>
            <w:r>
              <w:rPr>
                <w:rFonts w:ascii="Times New Roman" w:eastAsia="Times New Roman" w:hAnsi="Times New Roman" w:cs="Times New Roman"/>
                <w:color w:val="000000"/>
              </w:rPr>
              <w:t>7</w:t>
            </w:r>
            <w:r w:rsidRPr="00CC5835">
              <w:rPr>
                <w:rFonts w:ascii="Times New Roman" w:eastAsia="Times New Roman" w:hAnsi="Times New Roman" w:cs="Times New Roman"/>
                <w:color w:val="000000"/>
              </w:rPr>
              <w:t>%</w:t>
            </w:r>
          </w:p>
        </w:tc>
      </w:tr>
      <w:tr w:rsidR="00F176E6" w14:paraId="0E6CB629" w14:textId="77777777" w:rsidTr="00296FEB">
        <w:tc>
          <w:tcPr>
            <w:tcW w:w="4248" w:type="dxa"/>
            <w:tcBorders>
              <w:right w:val="single" w:sz="18" w:space="0" w:color="auto"/>
            </w:tcBorders>
            <w:vAlign w:val="bottom"/>
          </w:tcPr>
          <w:p w14:paraId="27BE573A" w14:textId="77777777" w:rsidR="00F176E6" w:rsidRDefault="00F176E6" w:rsidP="00A82B81">
            <w:pPr>
              <w:keepNext/>
              <w:keepLines/>
              <w:rPr>
                <w:rFonts w:ascii="Times New Roman" w:eastAsiaTheme="majorEastAsia" w:hAnsi="Times New Roman" w:cs="Times New Roman"/>
                <w:b/>
                <w:color w:val="404040" w:themeColor="text1" w:themeTint="BF"/>
                <w:sz w:val="20"/>
                <w:szCs w:val="20"/>
              </w:rPr>
            </w:pPr>
            <w:r w:rsidRPr="00CC5835">
              <w:rPr>
                <w:rFonts w:ascii="Times New Roman" w:eastAsia="Times New Roman" w:hAnsi="Times New Roman" w:cs="Times New Roman"/>
                <w:b/>
                <w:bCs/>
                <w:color w:val="000000"/>
              </w:rPr>
              <w:t>5 or less</w:t>
            </w:r>
          </w:p>
        </w:tc>
        <w:tc>
          <w:tcPr>
            <w:tcW w:w="1980" w:type="dxa"/>
            <w:tcBorders>
              <w:left w:val="single" w:sz="18" w:space="0" w:color="auto"/>
              <w:right w:val="single" w:sz="18" w:space="0" w:color="auto"/>
            </w:tcBorders>
            <w:vAlign w:val="bottom"/>
          </w:tcPr>
          <w:p w14:paraId="4C2506E3" w14:textId="77777777" w:rsidR="00F176E6" w:rsidRDefault="00F176E6" w:rsidP="00A82B81">
            <w:pPr>
              <w:keepNext/>
              <w:keepLines/>
              <w:jc w:val="right"/>
              <w:rPr>
                <w:rFonts w:ascii="Times New Roman" w:eastAsiaTheme="majorEastAsia" w:hAnsi="Times New Roman" w:cs="Times New Roman"/>
                <w:b/>
                <w:color w:val="404040" w:themeColor="text1" w:themeTint="BF"/>
                <w:sz w:val="20"/>
                <w:szCs w:val="20"/>
              </w:rPr>
            </w:pPr>
            <w:r w:rsidRPr="00CC5835">
              <w:rPr>
                <w:rFonts w:ascii="Times New Roman" w:eastAsia="Times New Roman" w:hAnsi="Times New Roman" w:cs="Times New Roman"/>
                <w:color w:val="000000"/>
              </w:rPr>
              <w:t>6%</w:t>
            </w:r>
          </w:p>
        </w:tc>
        <w:tc>
          <w:tcPr>
            <w:tcW w:w="2070" w:type="dxa"/>
            <w:tcBorders>
              <w:left w:val="single" w:sz="18" w:space="0" w:color="auto"/>
              <w:right w:val="single" w:sz="18" w:space="0" w:color="auto"/>
            </w:tcBorders>
            <w:vAlign w:val="bottom"/>
          </w:tcPr>
          <w:p w14:paraId="438622DB" w14:textId="0AA4B6C3" w:rsidR="00F176E6" w:rsidRDefault="00F176E6" w:rsidP="00A82B81">
            <w:pPr>
              <w:keepNext/>
              <w:keepLines/>
              <w:jc w:val="right"/>
              <w:rPr>
                <w:rFonts w:ascii="Times New Roman" w:eastAsiaTheme="majorEastAsia" w:hAnsi="Times New Roman" w:cs="Times New Roman"/>
                <w:b/>
                <w:color w:val="404040" w:themeColor="text1" w:themeTint="BF"/>
                <w:sz w:val="20"/>
                <w:szCs w:val="20"/>
              </w:rPr>
            </w:pPr>
            <w:r w:rsidRPr="00CC5835">
              <w:rPr>
                <w:rFonts w:ascii="Times New Roman" w:eastAsia="Times New Roman" w:hAnsi="Times New Roman" w:cs="Times New Roman"/>
                <w:color w:val="000000"/>
              </w:rPr>
              <w:t>2</w:t>
            </w:r>
            <w:r>
              <w:rPr>
                <w:rFonts w:ascii="Times New Roman" w:eastAsia="Times New Roman" w:hAnsi="Times New Roman" w:cs="Times New Roman"/>
                <w:color w:val="000000"/>
              </w:rPr>
              <w:t>5</w:t>
            </w:r>
            <w:r w:rsidRPr="00CC5835">
              <w:rPr>
                <w:rFonts w:ascii="Times New Roman" w:eastAsia="Times New Roman" w:hAnsi="Times New Roman" w:cs="Times New Roman"/>
                <w:color w:val="000000"/>
              </w:rPr>
              <w:t>%</w:t>
            </w:r>
          </w:p>
        </w:tc>
      </w:tr>
      <w:tr w:rsidR="00F176E6" w14:paraId="0A7C21CF" w14:textId="77777777" w:rsidTr="00296FEB">
        <w:tc>
          <w:tcPr>
            <w:tcW w:w="4248" w:type="dxa"/>
            <w:tcBorders>
              <w:right w:val="single" w:sz="18" w:space="0" w:color="auto"/>
            </w:tcBorders>
            <w:vAlign w:val="bottom"/>
          </w:tcPr>
          <w:p w14:paraId="7B94F671" w14:textId="57DD6A41" w:rsidR="00F176E6" w:rsidRDefault="00957C31" w:rsidP="00A82B81">
            <w:pPr>
              <w:keepNext/>
              <w:keepLines/>
              <w:rPr>
                <w:rFonts w:ascii="Times New Roman" w:eastAsiaTheme="majorEastAsia" w:hAnsi="Times New Roman" w:cs="Times New Roman"/>
                <w:b/>
                <w:color w:val="404040" w:themeColor="text1" w:themeTint="BF"/>
                <w:sz w:val="20"/>
                <w:szCs w:val="20"/>
              </w:rPr>
            </w:pPr>
            <w:r>
              <w:rPr>
                <w:rFonts w:ascii="Times New Roman" w:eastAsia="Times New Roman" w:hAnsi="Times New Roman" w:cs="Times New Roman"/>
                <w:b/>
                <w:bCs/>
                <w:color w:val="000000"/>
              </w:rPr>
              <w:t>U</w:t>
            </w:r>
            <w:r w:rsidR="00F176E6" w:rsidRPr="00CC5835">
              <w:rPr>
                <w:rFonts w:ascii="Times New Roman" w:eastAsia="Times New Roman" w:hAnsi="Times New Roman" w:cs="Times New Roman"/>
                <w:b/>
                <w:bCs/>
                <w:color w:val="000000"/>
              </w:rPr>
              <w:t>ndefined</w:t>
            </w:r>
            <w:r>
              <w:rPr>
                <w:rFonts w:ascii="Times New Roman" w:eastAsia="Times New Roman" w:hAnsi="Times New Roman" w:cs="Times New Roman"/>
                <w:b/>
                <w:bCs/>
                <w:color w:val="000000"/>
              </w:rPr>
              <w:t>: Zero or Negative Income</w:t>
            </w:r>
          </w:p>
        </w:tc>
        <w:tc>
          <w:tcPr>
            <w:tcW w:w="1980" w:type="dxa"/>
            <w:tcBorders>
              <w:left w:val="single" w:sz="18" w:space="0" w:color="auto"/>
              <w:right w:val="single" w:sz="18" w:space="0" w:color="auto"/>
            </w:tcBorders>
            <w:vAlign w:val="bottom"/>
          </w:tcPr>
          <w:p w14:paraId="1CBF4C0F" w14:textId="77777777" w:rsidR="00F176E6" w:rsidRDefault="00F176E6" w:rsidP="00A82B81">
            <w:pPr>
              <w:keepNext/>
              <w:keepLines/>
              <w:jc w:val="right"/>
              <w:rPr>
                <w:rFonts w:ascii="Times New Roman" w:eastAsiaTheme="majorEastAsia" w:hAnsi="Times New Roman" w:cs="Times New Roman"/>
                <w:b/>
                <w:color w:val="404040" w:themeColor="text1" w:themeTint="BF"/>
                <w:sz w:val="20"/>
                <w:szCs w:val="20"/>
              </w:rPr>
            </w:pPr>
            <w:r w:rsidRPr="00CC5835">
              <w:rPr>
                <w:rFonts w:ascii="Times New Roman" w:eastAsia="Times New Roman" w:hAnsi="Times New Roman" w:cs="Times New Roman"/>
                <w:color w:val="000000"/>
              </w:rPr>
              <w:t>6%</w:t>
            </w:r>
          </w:p>
        </w:tc>
        <w:tc>
          <w:tcPr>
            <w:tcW w:w="2070" w:type="dxa"/>
            <w:tcBorders>
              <w:left w:val="single" w:sz="18" w:space="0" w:color="auto"/>
              <w:right w:val="single" w:sz="18" w:space="0" w:color="auto"/>
            </w:tcBorders>
            <w:vAlign w:val="bottom"/>
          </w:tcPr>
          <w:p w14:paraId="71D58A6D" w14:textId="6442260A" w:rsidR="00F176E6" w:rsidRDefault="00F176E6" w:rsidP="00A82B81">
            <w:pPr>
              <w:keepNext/>
              <w:keepLines/>
              <w:jc w:val="right"/>
              <w:rPr>
                <w:rFonts w:ascii="Times New Roman" w:eastAsiaTheme="majorEastAsia" w:hAnsi="Times New Roman" w:cs="Times New Roman"/>
                <w:b/>
                <w:color w:val="404040" w:themeColor="text1" w:themeTint="BF"/>
                <w:sz w:val="20"/>
                <w:szCs w:val="20"/>
              </w:rPr>
            </w:pPr>
            <w:r>
              <w:rPr>
                <w:rFonts w:ascii="Times New Roman" w:eastAsia="Times New Roman" w:hAnsi="Times New Roman" w:cs="Times New Roman"/>
                <w:color w:val="000000"/>
              </w:rPr>
              <w:t>4</w:t>
            </w:r>
            <w:r w:rsidRPr="00CC5835">
              <w:rPr>
                <w:rFonts w:ascii="Times New Roman" w:eastAsia="Times New Roman" w:hAnsi="Times New Roman" w:cs="Times New Roman"/>
                <w:color w:val="000000"/>
              </w:rPr>
              <w:t>%</w:t>
            </w:r>
          </w:p>
        </w:tc>
      </w:tr>
      <w:tr w:rsidR="00F176E6" w14:paraId="4812ADC3" w14:textId="77777777" w:rsidTr="00296FEB">
        <w:tc>
          <w:tcPr>
            <w:tcW w:w="4248" w:type="dxa"/>
            <w:tcBorders>
              <w:right w:val="single" w:sz="18" w:space="0" w:color="auto"/>
            </w:tcBorders>
            <w:vAlign w:val="bottom"/>
          </w:tcPr>
          <w:p w14:paraId="5729B2D4" w14:textId="1829BFB1" w:rsidR="00F176E6" w:rsidRDefault="00BE0933" w:rsidP="00A82B81">
            <w:pPr>
              <w:keepNext/>
              <w:keepLines/>
              <w:rPr>
                <w:rFonts w:ascii="Times New Roman" w:eastAsiaTheme="majorEastAsia" w:hAnsi="Times New Roman" w:cs="Times New Roman"/>
                <w:b/>
                <w:color w:val="404040" w:themeColor="text1" w:themeTint="BF"/>
                <w:sz w:val="20"/>
                <w:szCs w:val="20"/>
              </w:rPr>
            </w:pPr>
            <w:r>
              <w:rPr>
                <w:rFonts w:ascii="Times New Roman" w:eastAsia="Times New Roman" w:hAnsi="Times New Roman" w:cs="Times New Roman"/>
                <w:b/>
                <w:bCs/>
                <w:color w:val="000000"/>
              </w:rPr>
              <w:t>N/A</w:t>
            </w:r>
          </w:p>
        </w:tc>
        <w:tc>
          <w:tcPr>
            <w:tcW w:w="1980" w:type="dxa"/>
            <w:tcBorders>
              <w:left w:val="single" w:sz="18" w:space="0" w:color="auto"/>
              <w:right w:val="single" w:sz="18" w:space="0" w:color="auto"/>
            </w:tcBorders>
            <w:vAlign w:val="bottom"/>
          </w:tcPr>
          <w:p w14:paraId="75BE446E" w14:textId="77777777" w:rsidR="00F176E6" w:rsidRDefault="00F176E6" w:rsidP="00A82B81">
            <w:pPr>
              <w:keepNext/>
              <w:keepLines/>
              <w:jc w:val="right"/>
              <w:rPr>
                <w:rFonts w:ascii="Times New Roman" w:eastAsiaTheme="majorEastAsia" w:hAnsi="Times New Roman" w:cs="Times New Roman"/>
                <w:b/>
                <w:color w:val="404040" w:themeColor="text1" w:themeTint="BF"/>
                <w:sz w:val="20"/>
                <w:szCs w:val="20"/>
              </w:rPr>
            </w:pPr>
            <w:r w:rsidRPr="00CC5835">
              <w:rPr>
                <w:rFonts w:ascii="Times New Roman" w:eastAsia="Times New Roman" w:hAnsi="Times New Roman" w:cs="Times New Roman"/>
                <w:color w:val="000000"/>
              </w:rPr>
              <w:t>6%</w:t>
            </w:r>
          </w:p>
        </w:tc>
        <w:tc>
          <w:tcPr>
            <w:tcW w:w="2070" w:type="dxa"/>
            <w:tcBorders>
              <w:left w:val="single" w:sz="18" w:space="0" w:color="auto"/>
              <w:right w:val="single" w:sz="18" w:space="0" w:color="auto"/>
            </w:tcBorders>
            <w:vAlign w:val="bottom"/>
          </w:tcPr>
          <w:p w14:paraId="1F5432DD" w14:textId="77777777" w:rsidR="00F176E6" w:rsidRDefault="00F176E6" w:rsidP="00A82B81">
            <w:pPr>
              <w:keepNext/>
              <w:keepLines/>
              <w:jc w:val="right"/>
              <w:rPr>
                <w:rFonts w:ascii="Times New Roman" w:eastAsiaTheme="majorEastAsia" w:hAnsi="Times New Roman" w:cs="Times New Roman"/>
                <w:b/>
                <w:color w:val="404040" w:themeColor="text1" w:themeTint="BF"/>
                <w:sz w:val="20"/>
                <w:szCs w:val="20"/>
              </w:rPr>
            </w:pPr>
            <w:r w:rsidRPr="00CC5835">
              <w:rPr>
                <w:rFonts w:ascii="Times New Roman" w:eastAsia="Times New Roman" w:hAnsi="Times New Roman" w:cs="Times New Roman"/>
                <w:color w:val="000000"/>
              </w:rPr>
              <w:t>8%</w:t>
            </w:r>
          </w:p>
        </w:tc>
      </w:tr>
      <w:tr w:rsidR="00F176E6" w14:paraId="6E449242" w14:textId="77777777" w:rsidTr="00296FEB">
        <w:tc>
          <w:tcPr>
            <w:tcW w:w="4248" w:type="dxa"/>
            <w:tcBorders>
              <w:right w:val="single" w:sz="18" w:space="0" w:color="auto"/>
            </w:tcBorders>
            <w:vAlign w:val="bottom"/>
          </w:tcPr>
          <w:p w14:paraId="02082339" w14:textId="77777777" w:rsidR="00F176E6" w:rsidRDefault="00F176E6" w:rsidP="00A82B81">
            <w:pPr>
              <w:keepNext/>
              <w:keepLines/>
              <w:rPr>
                <w:rFonts w:ascii="Times New Roman" w:eastAsiaTheme="majorEastAsia" w:hAnsi="Times New Roman" w:cs="Times New Roman"/>
                <w:b/>
                <w:color w:val="404040" w:themeColor="text1" w:themeTint="BF"/>
                <w:sz w:val="20"/>
                <w:szCs w:val="20"/>
              </w:rPr>
            </w:pPr>
            <w:r w:rsidRPr="00CC5835">
              <w:rPr>
                <w:rFonts w:ascii="Times New Roman" w:eastAsia="Times New Roman" w:hAnsi="Times New Roman" w:cs="Times New Roman"/>
                <w:b/>
                <w:bCs/>
                <w:color w:val="000000"/>
              </w:rPr>
              <w:t>Median</w:t>
            </w:r>
          </w:p>
        </w:tc>
        <w:tc>
          <w:tcPr>
            <w:tcW w:w="1980" w:type="dxa"/>
            <w:tcBorders>
              <w:left w:val="single" w:sz="18" w:space="0" w:color="auto"/>
              <w:right w:val="single" w:sz="18" w:space="0" w:color="auto"/>
            </w:tcBorders>
            <w:vAlign w:val="bottom"/>
          </w:tcPr>
          <w:p w14:paraId="0D3BEE11" w14:textId="58BA3316" w:rsidR="00F176E6" w:rsidRDefault="00F176E6" w:rsidP="00A82B81">
            <w:pPr>
              <w:keepNext/>
              <w:keepLines/>
              <w:jc w:val="right"/>
              <w:rPr>
                <w:rFonts w:ascii="Times New Roman" w:eastAsiaTheme="majorEastAsia" w:hAnsi="Times New Roman" w:cs="Times New Roman"/>
                <w:b/>
                <w:color w:val="404040" w:themeColor="text1" w:themeTint="BF"/>
                <w:sz w:val="20"/>
                <w:szCs w:val="20"/>
              </w:rPr>
            </w:pPr>
            <w:r w:rsidRPr="00CC5835">
              <w:rPr>
                <w:rFonts w:ascii="Times New Roman" w:eastAsia="Times New Roman" w:hAnsi="Times New Roman" w:cs="Times New Roman"/>
                <w:color w:val="000000"/>
              </w:rPr>
              <w:t>1</w:t>
            </w:r>
            <w:r w:rsidR="00957C31">
              <w:rPr>
                <w:rFonts w:ascii="Times New Roman" w:eastAsia="Times New Roman" w:hAnsi="Times New Roman" w:cs="Times New Roman"/>
                <w:color w:val="000000"/>
              </w:rPr>
              <w:t>6</w:t>
            </w:r>
          </w:p>
        </w:tc>
        <w:tc>
          <w:tcPr>
            <w:tcW w:w="2070" w:type="dxa"/>
            <w:tcBorders>
              <w:left w:val="single" w:sz="18" w:space="0" w:color="auto"/>
              <w:right w:val="single" w:sz="18" w:space="0" w:color="auto"/>
            </w:tcBorders>
            <w:vAlign w:val="bottom"/>
          </w:tcPr>
          <w:p w14:paraId="4F28CA09" w14:textId="77777777" w:rsidR="00F176E6" w:rsidRDefault="00F176E6" w:rsidP="00A82B81">
            <w:pPr>
              <w:keepNext/>
              <w:keepLines/>
              <w:jc w:val="right"/>
              <w:rPr>
                <w:rFonts w:ascii="Times New Roman" w:eastAsiaTheme="majorEastAsia" w:hAnsi="Times New Roman" w:cs="Times New Roman"/>
                <w:b/>
                <w:color w:val="404040" w:themeColor="text1" w:themeTint="BF"/>
                <w:sz w:val="20"/>
                <w:szCs w:val="20"/>
              </w:rPr>
            </w:pPr>
            <w:r w:rsidRPr="00CC5835">
              <w:rPr>
                <w:rFonts w:ascii="Times New Roman" w:eastAsia="Times New Roman" w:hAnsi="Times New Roman" w:cs="Times New Roman"/>
                <w:color w:val="000000"/>
              </w:rPr>
              <w:t>8</w:t>
            </w:r>
          </w:p>
        </w:tc>
      </w:tr>
    </w:tbl>
    <w:p w14:paraId="734CF330" w14:textId="77777777" w:rsidR="006B1443" w:rsidRDefault="008373AC" w:rsidP="006C66BD">
      <w:pPr>
        <w:spacing w:line="480" w:lineRule="auto"/>
        <w:rPr>
          <w:rFonts w:ascii="Times New Roman" w:hAnsi="Times New Roman" w:cs="Times New Roman"/>
        </w:rPr>
      </w:pPr>
      <w:r>
        <w:rPr>
          <w:rFonts w:ascii="Times New Roman" w:hAnsi="Times New Roman" w:cs="Times New Roman"/>
        </w:rPr>
        <w:t xml:space="preserve"> </w:t>
      </w:r>
      <w:r w:rsidRPr="00B026E4">
        <w:rPr>
          <w:rFonts w:ascii="Times New Roman" w:hAnsi="Times New Roman" w:cs="Times New Roman"/>
        </w:rPr>
        <w:t xml:space="preserve"> </w:t>
      </w:r>
      <w:r w:rsidR="00957C31">
        <w:rPr>
          <w:rFonts w:ascii="Times New Roman" w:hAnsi="Times New Roman" w:cs="Times New Roman"/>
        </w:rPr>
        <w:tab/>
      </w:r>
    </w:p>
    <w:p w14:paraId="2F9D1067" w14:textId="37EC9BBA" w:rsidR="008373AC" w:rsidRDefault="008373AC" w:rsidP="006B1443">
      <w:pPr>
        <w:spacing w:line="480" w:lineRule="auto"/>
        <w:ind w:firstLine="720"/>
        <w:rPr>
          <w:rFonts w:ascii="Times New Roman" w:hAnsi="Times New Roman" w:cs="Times New Roman"/>
        </w:rPr>
      </w:pPr>
      <w:r>
        <w:rPr>
          <w:rFonts w:ascii="Times New Roman" w:hAnsi="Times New Roman" w:cs="Times New Roman"/>
        </w:rPr>
        <w:t>The Code</w:t>
      </w:r>
      <w:r w:rsidR="00A96702">
        <w:rPr>
          <w:rFonts w:ascii="Times New Roman" w:hAnsi="Times New Roman" w:cs="Times New Roman"/>
        </w:rPr>
        <w:t>’s</w:t>
      </w:r>
      <w:r>
        <w:rPr>
          <w:rFonts w:ascii="Times New Roman" w:hAnsi="Times New Roman" w:cs="Times New Roman"/>
        </w:rPr>
        <w:t xml:space="preserve"> rules for payment of priority debt </w:t>
      </w:r>
      <w:r w:rsidR="004D5CF2">
        <w:rPr>
          <w:rFonts w:ascii="Times New Roman" w:hAnsi="Times New Roman" w:cs="Times New Roman"/>
        </w:rPr>
        <w:t xml:space="preserve">also </w:t>
      </w:r>
      <w:r w:rsidR="00A96702">
        <w:rPr>
          <w:rFonts w:ascii="Times New Roman" w:hAnsi="Times New Roman" w:cs="Times New Roman"/>
        </w:rPr>
        <w:t xml:space="preserve">favor selection of chapter 13 for 13-eligible debtors. </w:t>
      </w:r>
      <w:r>
        <w:rPr>
          <w:rFonts w:ascii="Times New Roman" w:hAnsi="Times New Roman" w:cs="Times New Roman"/>
        </w:rPr>
        <w:t xml:space="preserve"> A </w:t>
      </w:r>
      <w:r w:rsidR="00AA091B">
        <w:rPr>
          <w:rFonts w:ascii="Times New Roman" w:hAnsi="Times New Roman" w:cs="Times New Roman"/>
        </w:rPr>
        <w:t>chapter</w:t>
      </w:r>
      <w:r>
        <w:rPr>
          <w:rFonts w:ascii="Times New Roman" w:hAnsi="Times New Roman" w:cs="Times New Roman"/>
        </w:rPr>
        <w:t xml:space="preserve"> 13 debtor’s plan must provide for payment in full, in deferred cash payments, of all priority claims.</w:t>
      </w:r>
      <w:r>
        <w:rPr>
          <w:rStyle w:val="FootnoteReference"/>
          <w:rFonts w:ascii="Times New Roman" w:hAnsi="Times New Roman" w:cs="Times New Roman"/>
        </w:rPr>
        <w:footnoteReference w:id="164"/>
      </w:r>
      <w:r>
        <w:rPr>
          <w:rFonts w:ascii="Times New Roman" w:hAnsi="Times New Roman" w:cs="Times New Roman"/>
        </w:rPr>
        <w:t xml:space="preserve"> The rules for </w:t>
      </w:r>
      <w:r w:rsidR="00AA091B">
        <w:rPr>
          <w:rFonts w:ascii="Times New Roman" w:hAnsi="Times New Roman" w:cs="Times New Roman"/>
        </w:rPr>
        <w:t>chapter</w:t>
      </w:r>
      <w:r>
        <w:rPr>
          <w:rFonts w:ascii="Times New Roman" w:hAnsi="Times New Roman" w:cs="Times New Roman"/>
        </w:rPr>
        <w:t xml:space="preserve"> 11</w:t>
      </w:r>
      <w:r w:rsidR="00D56A5E">
        <w:rPr>
          <w:rFonts w:ascii="Times New Roman" w:hAnsi="Times New Roman" w:cs="Times New Roman"/>
        </w:rPr>
        <w:t>, which</w:t>
      </w:r>
      <w:r>
        <w:rPr>
          <w:rFonts w:ascii="Times New Roman" w:hAnsi="Times New Roman" w:cs="Times New Roman"/>
        </w:rPr>
        <w:t xml:space="preserve"> are more complicated </w:t>
      </w:r>
      <w:r w:rsidR="00D56A5E">
        <w:rPr>
          <w:rFonts w:ascii="Times New Roman" w:hAnsi="Times New Roman" w:cs="Times New Roman"/>
        </w:rPr>
        <w:t>generally,</w:t>
      </w:r>
      <w:r>
        <w:rPr>
          <w:rFonts w:ascii="Times New Roman" w:hAnsi="Times New Roman" w:cs="Times New Roman"/>
        </w:rPr>
        <w:t xml:space="preserve"> may make plan confirmation more difficult</w:t>
      </w:r>
      <w:r w:rsidR="00D56A5E">
        <w:rPr>
          <w:rFonts w:ascii="Times New Roman" w:hAnsi="Times New Roman" w:cs="Times New Roman"/>
        </w:rPr>
        <w:t xml:space="preserve"> for an individual debtor</w:t>
      </w:r>
      <w:r>
        <w:rPr>
          <w:rFonts w:ascii="Times New Roman" w:hAnsi="Times New Roman" w:cs="Times New Roman"/>
        </w:rPr>
        <w:t xml:space="preserve"> because deferred cash payments are not an option for all types of priority debt. The </w:t>
      </w:r>
      <w:r w:rsidR="00AA091B">
        <w:rPr>
          <w:rFonts w:ascii="Times New Roman" w:hAnsi="Times New Roman" w:cs="Times New Roman"/>
        </w:rPr>
        <w:t>chapter</w:t>
      </w:r>
      <w:r>
        <w:rPr>
          <w:rFonts w:ascii="Times New Roman" w:hAnsi="Times New Roman" w:cs="Times New Roman"/>
        </w:rPr>
        <w:t xml:space="preserve"> 11 plan must provide for payment in cash, on the plan’s effective date, of all administrative claims,</w:t>
      </w:r>
      <w:r>
        <w:rPr>
          <w:rStyle w:val="FootnoteReference"/>
          <w:rFonts w:ascii="Times New Roman" w:hAnsi="Times New Roman" w:cs="Times New Roman"/>
        </w:rPr>
        <w:footnoteReference w:id="165"/>
      </w:r>
      <w:r>
        <w:rPr>
          <w:rFonts w:ascii="Times New Roman" w:hAnsi="Times New Roman" w:cs="Times New Roman"/>
        </w:rPr>
        <w:t xml:space="preserve"> and if any class of priority claimants other than tax claimants vote</w:t>
      </w:r>
      <w:r w:rsidR="00D6036F">
        <w:rPr>
          <w:rFonts w:ascii="Times New Roman" w:hAnsi="Times New Roman" w:cs="Times New Roman"/>
        </w:rPr>
        <w:t>s</w:t>
      </w:r>
      <w:r>
        <w:rPr>
          <w:rFonts w:ascii="Times New Roman" w:hAnsi="Times New Roman" w:cs="Times New Roman"/>
        </w:rPr>
        <w:t xml:space="preserve"> not to accept the plan, then the holders of claims in that class, too, must be paid </w:t>
      </w:r>
      <w:r w:rsidR="00D56A5E">
        <w:rPr>
          <w:rFonts w:ascii="Times New Roman" w:hAnsi="Times New Roman" w:cs="Times New Roman"/>
        </w:rPr>
        <w:t xml:space="preserve">in full, </w:t>
      </w:r>
      <w:r>
        <w:rPr>
          <w:rFonts w:ascii="Times New Roman" w:hAnsi="Times New Roman" w:cs="Times New Roman"/>
        </w:rPr>
        <w:t>in cash</w:t>
      </w:r>
      <w:r w:rsidR="00EC104F">
        <w:rPr>
          <w:rFonts w:ascii="Times New Roman" w:hAnsi="Times New Roman" w:cs="Times New Roman"/>
        </w:rPr>
        <w:t>,</w:t>
      </w:r>
      <w:r>
        <w:rPr>
          <w:rFonts w:ascii="Times New Roman" w:hAnsi="Times New Roman" w:cs="Times New Roman"/>
        </w:rPr>
        <w:t xml:space="preserve"> on the plan’s effective date.</w:t>
      </w:r>
      <w:r>
        <w:rPr>
          <w:rStyle w:val="FootnoteReference"/>
          <w:rFonts w:ascii="Times New Roman" w:hAnsi="Times New Roman" w:cs="Times New Roman"/>
        </w:rPr>
        <w:footnoteReference w:id="166"/>
      </w:r>
      <w:r>
        <w:rPr>
          <w:rFonts w:ascii="Times New Roman" w:hAnsi="Times New Roman" w:cs="Times New Roman"/>
        </w:rPr>
        <w:t xml:space="preserve"> Finally, </w:t>
      </w:r>
      <w:r w:rsidR="004D5CF2">
        <w:rPr>
          <w:rFonts w:ascii="Times New Roman" w:hAnsi="Times New Roman" w:cs="Times New Roman"/>
        </w:rPr>
        <w:t xml:space="preserve">unless a tax creditor agrees to the contrary, </w:t>
      </w:r>
      <w:r>
        <w:rPr>
          <w:rFonts w:ascii="Times New Roman" w:hAnsi="Times New Roman" w:cs="Times New Roman"/>
        </w:rPr>
        <w:t xml:space="preserve">the </w:t>
      </w:r>
      <w:r w:rsidR="00AA091B">
        <w:rPr>
          <w:rFonts w:ascii="Times New Roman" w:hAnsi="Times New Roman" w:cs="Times New Roman"/>
        </w:rPr>
        <w:t>chapter</w:t>
      </w:r>
      <w:r>
        <w:rPr>
          <w:rFonts w:ascii="Times New Roman" w:hAnsi="Times New Roman" w:cs="Times New Roman"/>
        </w:rPr>
        <w:t xml:space="preserve"> 11 plan must provide for payment of the value, as of the effective date, of all priority tax claims over a period of time not to exceed five years from the filing of the petition</w:t>
      </w:r>
      <w:r w:rsidR="00A96702">
        <w:rPr>
          <w:rFonts w:ascii="Times New Roman" w:hAnsi="Times New Roman" w:cs="Times New Roman"/>
        </w:rPr>
        <w:t xml:space="preserve">, not </w:t>
      </w:r>
      <w:r w:rsidR="00EC104F">
        <w:rPr>
          <w:rFonts w:ascii="Times New Roman" w:hAnsi="Times New Roman" w:cs="Times New Roman"/>
        </w:rPr>
        <w:t xml:space="preserve">from </w:t>
      </w:r>
      <w:r w:rsidR="00A96702">
        <w:rPr>
          <w:rFonts w:ascii="Times New Roman" w:hAnsi="Times New Roman" w:cs="Times New Roman"/>
        </w:rPr>
        <w:t>plan confirmation,</w:t>
      </w:r>
      <w:r>
        <w:rPr>
          <w:rFonts w:ascii="Times New Roman" w:hAnsi="Times New Roman" w:cs="Times New Roman"/>
        </w:rPr>
        <w:t xml:space="preserve"> in a voluntary case.</w:t>
      </w:r>
      <w:r>
        <w:rPr>
          <w:rStyle w:val="FootnoteReference"/>
          <w:rFonts w:ascii="Times New Roman" w:hAnsi="Times New Roman" w:cs="Times New Roman"/>
        </w:rPr>
        <w:footnoteReference w:id="167"/>
      </w:r>
      <w:r>
        <w:rPr>
          <w:rFonts w:ascii="Times New Roman" w:hAnsi="Times New Roman" w:cs="Times New Roman"/>
        </w:rPr>
        <w:t xml:space="preserve"> In other words, the longer it takes debtor</w:t>
      </w:r>
      <w:r w:rsidR="00CC23E9">
        <w:rPr>
          <w:rFonts w:ascii="Times New Roman" w:hAnsi="Times New Roman" w:cs="Times New Roman"/>
        </w:rPr>
        <w:t>s</w:t>
      </w:r>
      <w:r>
        <w:rPr>
          <w:rFonts w:ascii="Times New Roman" w:hAnsi="Times New Roman" w:cs="Times New Roman"/>
        </w:rPr>
        <w:t xml:space="preserve"> to confirm </w:t>
      </w:r>
      <w:r w:rsidR="00CC23E9">
        <w:rPr>
          <w:rFonts w:ascii="Times New Roman" w:hAnsi="Times New Roman" w:cs="Times New Roman"/>
        </w:rPr>
        <w:t xml:space="preserve">their </w:t>
      </w:r>
      <w:r>
        <w:rPr>
          <w:rFonts w:ascii="Times New Roman" w:hAnsi="Times New Roman" w:cs="Times New Roman"/>
        </w:rPr>
        <w:t>plan</w:t>
      </w:r>
      <w:r w:rsidR="00CC23E9">
        <w:rPr>
          <w:rFonts w:ascii="Times New Roman" w:hAnsi="Times New Roman" w:cs="Times New Roman"/>
        </w:rPr>
        <w:t>s</w:t>
      </w:r>
      <w:r>
        <w:rPr>
          <w:rFonts w:ascii="Times New Roman" w:hAnsi="Times New Roman" w:cs="Times New Roman"/>
        </w:rPr>
        <w:t xml:space="preserve">, the less time </w:t>
      </w:r>
      <w:r w:rsidR="00CC23E9">
        <w:rPr>
          <w:rFonts w:ascii="Times New Roman" w:hAnsi="Times New Roman" w:cs="Times New Roman"/>
        </w:rPr>
        <w:t>they</w:t>
      </w:r>
      <w:r>
        <w:rPr>
          <w:rFonts w:ascii="Times New Roman" w:hAnsi="Times New Roman" w:cs="Times New Roman"/>
        </w:rPr>
        <w:t xml:space="preserve"> ha</w:t>
      </w:r>
      <w:r w:rsidR="00CC23E9">
        <w:rPr>
          <w:rFonts w:ascii="Times New Roman" w:hAnsi="Times New Roman" w:cs="Times New Roman"/>
        </w:rPr>
        <w:t>ve</w:t>
      </w:r>
      <w:r>
        <w:rPr>
          <w:rFonts w:ascii="Times New Roman" w:hAnsi="Times New Roman" w:cs="Times New Roman"/>
        </w:rPr>
        <w:t xml:space="preserve"> under the terms of </w:t>
      </w:r>
      <w:r w:rsidR="00CC23E9">
        <w:rPr>
          <w:rFonts w:ascii="Times New Roman" w:hAnsi="Times New Roman" w:cs="Times New Roman"/>
        </w:rPr>
        <w:t xml:space="preserve">their </w:t>
      </w:r>
      <w:r>
        <w:rPr>
          <w:rFonts w:ascii="Times New Roman" w:hAnsi="Times New Roman" w:cs="Times New Roman"/>
        </w:rPr>
        <w:t>plan</w:t>
      </w:r>
      <w:r w:rsidR="00CC23E9">
        <w:rPr>
          <w:rFonts w:ascii="Times New Roman" w:hAnsi="Times New Roman" w:cs="Times New Roman"/>
        </w:rPr>
        <w:t>s</w:t>
      </w:r>
      <w:r>
        <w:rPr>
          <w:rFonts w:ascii="Times New Roman" w:hAnsi="Times New Roman" w:cs="Times New Roman"/>
        </w:rPr>
        <w:t xml:space="preserve"> to pay off the debts</w:t>
      </w:r>
      <w:r w:rsidR="00CD5AFB">
        <w:rPr>
          <w:rFonts w:ascii="Times New Roman" w:hAnsi="Times New Roman" w:cs="Times New Roman"/>
        </w:rPr>
        <w:t xml:space="preserve"> owed to</w:t>
      </w:r>
      <w:r w:rsidR="00D56A5E">
        <w:rPr>
          <w:rFonts w:ascii="Times New Roman" w:hAnsi="Times New Roman" w:cs="Times New Roman"/>
        </w:rPr>
        <w:t xml:space="preserve"> priority tax claimants. But</w:t>
      </w:r>
      <w:r>
        <w:rPr>
          <w:rFonts w:ascii="Times New Roman" w:hAnsi="Times New Roman" w:cs="Times New Roman"/>
        </w:rPr>
        <w:t xml:space="preserve"> if individual </w:t>
      </w:r>
      <w:r w:rsidR="00AA091B">
        <w:rPr>
          <w:rFonts w:ascii="Times New Roman" w:hAnsi="Times New Roman" w:cs="Times New Roman"/>
        </w:rPr>
        <w:t>chapter</w:t>
      </w:r>
      <w:r>
        <w:rPr>
          <w:rFonts w:ascii="Times New Roman" w:hAnsi="Times New Roman" w:cs="Times New Roman"/>
        </w:rPr>
        <w:t xml:space="preserve"> 11 debtors hold little priority debt, then the differences in priority debt treatment for </w:t>
      </w:r>
      <w:r w:rsidR="00AA091B">
        <w:rPr>
          <w:rFonts w:ascii="Times New Roman" w:hAnsi="Times New Roman" w:cs="Times New Roman"/>
        </w:rPr>
        <w:t>chapter</w:t>
      </w:r>
      <w:r>
        <w:rPr>
          <w:rFonts w:ascii="Times New Roman" w:hAnsi="Times New Roman" w:cs="Times New Roman"/>
        </w:rPr>
        <w:t xml:space="preserve"> 13 versus </w:t>
      </w:r>
      <w:r w:rsidR="00AA091B">
        <w:rPr>
          <w:rFonts w:ascii="Times New Roman" w:hAnsi="Times New Roman" w:cs="Times New Roman"/>
        </w:rPr>
        <w:t>chapter</w:t>
      </w:r>
      <w:r>
        <w:rPr>
          <w:rFonts w:ascii="Times New Roman" w:hAnsi="Times New Roman" w:cs="Times New Roman"/>
        </w:rPr>
        <w:t xml:space="preserve"> 11 plans are inconsequential.</w:t>
      </w:r>
    </w:p>
    <w:p w14:paraId="14C56036" w14:textId="6641D17B" w:rsidR="00BE0933" w:rsidRDefault="008373AC" w:rsidP="008373AC">
      <w:pPr>
        <w:spacing w:line="480" w:lineRule="auto"/>
        <w:ind w:firstLine="720"/>
        <w:rPr>
          <w:rFonts w:ascii="Times New Roman" w:hAnsi="Times New Roman" w:cs="Times New Roman"/>
        </w:rPr>
      </w:pPr>
      <w:r>
        <w:rPr>
          <w:rFonts w:ascii="Times New Roman" w:hAnsi="Times New Roman" w:cs="Times New Roman"/>
        </w:rPr>
        <w:t xml:space="preserve">In order to determine the extent of priority debt among our </w:t>
      </w:r>
      <w:r w:rsidR="00AA091B">
        <w:rPr>
          <w:rFonts w:ascii="Times New Roman" w:hAnsi="Times New Roman" w:cs="Times New Roman"/>
        </w:rPr>
        <w:t>chapter</w:t>
      </w:r>
      <w:r>
        <w:rPr>
          <w:rFonts w:ascii="Times New Roman" w:hAnsi="Times New Roman" w:cs="Times New Roman"/>
        </w:rPr>
        <w:t xml:space="preserve"> 11 debtors, we f</w:t>
      </w:r>
      <w:r w:rsidRPr="00B026E4">
        <w:rPr>
          <w:rFonts w:ascii="Times New Roman" w:hAnsi="Times New Roman" w:cs="Times New Roman"/>
        </w:rPr>
        <w:t xml:space="preserve">irst </w:t>
      </w:r>
      <w:r>
        <w:rPr>
          <w:rFonts w:ascii="Times New Roman" w:hAnsi="Times New Roman" w:cs="Times New Roman"/>
        </w:rPr>
        <w:t xml:space="preserve">coded for the various </w:t>
      </w:r>
      <w:r w:rsidRPr="00B026E4">
        <w:rPr>
          <w:rFonts w:ascii="Times New Roman" w:hAnsi="Times New Roman" w:cs="Times New Roman"/>
        </w:rPr>
        <w:t>types of priority debt listed on Schedule E</w:t>
      </w:r>
      <w:r>
        <w:rPr>
          <w:rFonts w:ascii="Times New Roman" w:hAnsi="Times New Roman" w:cs="Times New Roman"/>
        </w:rPr>
        <w:t xml:space="preserve">. </w:t>
      </w:r>
      <w:r w:rsidRPr="00B026E4">
        <w:rPr>
          <w:rFonts w:ascii="Times New Roman" w:hAnsi="Times New Roman" w:cs="Times New Roman"/>
        </w:rPr>
        <w:t xml:space="preserve">Table </w:t>
      </w:r>
      <w:r w:rsidR="00B35488">
        <w:rPr>
          <w:rFonts w:ascii="Times New Roman" w:hAnsi="Times New Roman" w:cs="Times New Roman"/>
        </w:rPr>
        <w:t>3</w:t>
      </w:r>
      <w:r w:rsidR="00296FEB">
        <w:rPr>
          <w:rFonts w:ascii="Times New Roman" w:hAnsi="Times New Roman" w:cs="Times New Roman"/>
        </w:rPr>
        <w:t>2</w:t>
      </w:r>
      <w:r w:rsidR="00D56A5E">
        <w:rPr>
          <w:rFonts w:ascii="Times New Roman" w:hAnsi="Times New Roman" w:cs="Times New Roman"/>
        </w:rPr>
        <w:t>, which</w:t>
      </w:r>
      <w:r w:rsidR="00CE7D15">
        <w:rPr>
          <w:rFonts w:ascii="Times New Roman" w:hAnsi="Times New Roman" w:cs="Times New Roman"/>
        </w:rPr>
        <w:t xml:space="preserve"> </w:t>
      </w:r>
      <w:r w:rsidRPr="00B026E4">
        <w:rPr>
          <w:rFonts w:ascii="Times New Roman" w:hAnsi="Times New Roman" w:cs="Times New Roman"/>
        </w:rPr>
        <w:t>presents th</w:t>
      </w:r>
      <w:r>
        <w:rPr>
          <w:rFonts w:ascii="Times New Roman" w:hAnsi="Times New Roman" w:cs="Times New Roman"/>
        </w:rPr>
        <w:t>os</w:t>
      </w:r>
      <w:r w:rsidRPr="00B026E4">
        <w:rPr>
          <w:rFonts w:ascii="Times New Roman" w:hAnsi="Times New Roman" w:cs="Times New Roman"/>
        </w:rPr>
        <w:t>e results</w:t>
      </w:r>
      <w:r w:rsidR="00D56A5E">
        <w:rPr>
          <w:rFonts w:ascii="Times New Roman" w:hAnsi="Times New Roman" w:cs="Times New Roman"/>
        </w:rPr>
        <w:t>, re</w:t>
      </w:r>
      <w:r w:rsidR="00AC4305">
        <w:rPr>
          <w:rFonts w:ascii="Times New Roman" w:hAnsi="Times New Roman" w:cs="Times New Roman"/>
        </w:rPr>
        <w:t>v</w:t>
      </w:r>
      <w:r w:rsidR="00D56A5E">
        <w:rPr>
          <w:rFonts w:ascii="Times New Roman" w:hAnsi="Times New Roman" w:cs="Times New Roman"/>
        </w:rPr>
        <w:t>eals that</w:t>
      </w:r>
      <w:r>
        <w:rPr>
          <w:rFonts w:ascii="Times New Roman" w:hAnsi="Times New Roman" w:cs="Times New Roman"/>
        </w:rPr>
        <w:t xml:space="preserve"> about </w:t>
      </w:r>
      <w:r w:rsidR="00EC104F">
        <w:rPr>
          <w:rFonts w:ascii="Times New Roman" w:hAnsi="Times New Roman" w:cs="Times New Roman"/>
        </w:rPr>
        <w:t>six in ten</w:t>
      </w:r>
      <w:r>
        <w:rPr>
          <w:rFonts w:ascii="Times New Roman" w:hAnsi="Times New Roman" w:cs="Times New Roman"/>
        </w:rPr>
        <w:t xml:space="preserve"> of the individual debtors in the </w:t>
      </w:r>
      <w:r w:rsidR="004D5CF2">
        <w:rPr>
          <w:rFonts w:ascii="Times New Roman" w:hAnsi="Times New Roman" w:cs="Times New Roman"/>
        </w:rPr>
        <w:t xml:space="preserve">random sample </w:t>
      </w:r>
      <w:r>
        <w:rPr>
          <w:rFonts w:ascii="Times New Roman" w:hAnsi="Times New Roman" w:cs="Times New Roman"/>
        </w:rPr>
        <w:t xml:space="preserve">disclosed priority tax liabilities on their schedules. Approximately a third of </w:t>
      </w:r>
      <w:r w:rsidR="00A96702">
        <w:rPr>
          <w:rFonts w:ascii="Times New Roman" w:hAnsi="Times New Roman" w:cs="Times New Roman"/>
        </w:rPr>
        <w:t xml:space="preserve">our </w:t>
      </w:r>
      <w:r>
        <w:rPr>
          <w:rFonts w:ascii="Times New Roman" w:hAnsi="Times New Roman" w:cs="Times New Roman"/>
        </w:rPr>
        <w:t>debtors, however, reported no priority debt at all.</w:t>
      </w:r>
      <w:r w:rsidRPr="00B026E4">
        <w:rPr>
          <w:rFonts w:ascii="Times New Roman" w:hAnsi="Times New Roman" w:cs="Times New Roman"/>
        </w:rPr>
        <w:t xml:space="preserve"> </w:t>
      </w:r>
    </w:p>
    <w:p w14:paraId="378B11EA" w14:textId="21B029FB" w:rsidR="008373AC" w:rsidRPr="002E5764" w:rsidRDefault="00BE0933" w:rsidP="008E7E3D">
      <w:pPr>
        <w:keepLines/>
        <w:spacing w:line="480" w:lineRule="auto"/>
        <w:ind w:firstLine="720"/>
        <w:jc w:val="center"/>
        <w:rPr>
          <w:rFonts w:ascii="Times New Roman" w:hAnsi="Times New Roman" w:cs="Times New Roman"/>
          <w:b/>
        </w:rPr>
      </w:pPr>
      <w:r>
        <w:rPr>
          <w:rFonts w:ascii="Times New Roman" w:hAnsi="Times New Roman" w:cs="Times New Roman"/>
          <w:b/>
        </w:rPr>
        <w:t xml:space="preserve">Table </w:t>
      </w:r>
      <w:r w:rsidR="00B35488">
        <w:rPr>
          <w:rFonts w:ascii="Times New Roman" w:hAnsi="Times New Roman" w:cs="Times New Roman"/>
          <w:b/>
        </w:rPr>
        <w:t>3</w:t>
      </w:r>
      <w:r w:rsidR="00296FEB">
        <w:rPr>
          <w:rFonts w:ascii="Times New Roman" w:hAnsi="Times New Roman" w:cs="Times New Roman"/>
          <w:b/>
        </w:rPr>
        <w:t>2</w:t>
      </w:r>
      <w:r>
        <w:rPr>
          <w:rFonts w:ascii="Times New Roman" w:hAnsi="Times New Roman" w:cs="Times New Roman"/>
          <w:b/>
        </w:rPr>
        <w:t>: Types of Priority Debt</w:t>
      </w:r>
    </w:p>
    <w:tbl>
      <w:tblPr>
        <w:tblStyle w:val="TableGrid"/>
        <w:tblW w:w="0" w:type="auto"/>
        <w:tblLook w:val="04A0" w:firstRow="1" w:lastRow="0" w:firstColumn="1" w:lastColumn="0" w:noHBand="0" w:noVBand="1"/>
      </w:tblPr>
      <w:tblGrid>
        <w:gridCol w:w="4044"/>
        <w:gridCol w:w="2537"/>
        <w:gridCol w:w="2036"/>
      </w:tblGrid>
      <w:tr w:rsidR="00BE0933" w14:paraId="444BC483" w14:textId="77777777" w:rsidTr="00296FEB">
        <w:trPr>
          <w:trHeight w:hRule="exact" w:val="288"/>
        </w:trPr>
        <w:tc>
          <w:tcPr>
            <w:tcW w:w="4158" w:type="dxa"/>
            <w:tcBorders>
              <w:top w:val="nil"/>
              <w:left w:val="nil"/>
              <w:bottom w:val="single" w:sz="12" w:space="0" w:color="auto"/>
              <w:right w:val="single" w:sz="18" w:space="0" w:color="auto"/>
            </w:tcBorders>
          </w:tcPr>
          <w:p w14:paraId="663E3AA2" w14:textId="77777777" w:rsidR="00BE0933" w:rsidRDefault="00BE0933" w:rsidP="008E7E3D">
            <w:pPr>
              <w:keepLines/>
              <w:spacing w:line="480" w:lineRule="auto"/>
              <w:rPr>
                <w:rFonts w:ascii="Times New Roman" w:hAnsi="Times New Roman" w:cs="Times New Roman"/>
              </w:rPr>
            </w:pPr>
          </w:p>
        </w:tc>
        <w:tc>
          <w:tcPr>
            <w:tcW w:w="2610" w:type="dxa"/>
            <w:tcBorders>
              <w:top w:val="single" w:sz="18" w:space="0" w:color="auto"/>
              <w:left w:val="single" w:sz="18" w:space="0" w:color="auto"/>
              <w:bottom w:val="single" w:sz="12" w:space="0" w:color="auto"/>
              <w:right w:val="single" w:sz="18" w:space="0" w:color="auto"/>
            </w:tcBorders>
          </w:tcPr>
          <w:p w14:paraId="7C5C4BA3" w14:textId="0B883C42" w:rsidR="00BE0933" w:rsidRPr="006B1443" w:rsidRDefault="00BE0933" w:rsidP="008E7E3D">
            <w:pPr>
              <w:keepLines/>
              <w:spacing w:line="480" w:lineRule="auto"/>
              <w:jc w:val="center"/>
              <w:rPr>
                <w:rFonts w:ascii="Times New Roman" w:hAnsi="Times New Roman" w:cs="Times New Roman"/>
                <w:b/>
              </w:rPr>
            </w:pPr>
            <w:r w:rsidRPr="006B1443">
              <w:rPr>
                <w:rFonts w:ascii="Times New Roman" w:hAnsi="Times New Roman" w:cs="Times New Roman"/>
                <w:b/>
              </w:rPr>
              <w:t>2010</w:t>
            </w:r>
          </w:p>
        </w:tc>
        <w:tc>
          <w:tcPr>
            <w:tcW w:w="2088" w:type="dxa"/>
            <w:tcBorders>
              <w:top w:val="single" w:sz="18" w:space="0" w:color="auto"/>
              <w:left w:val="single" w:sz="18" w:space="0" w:color="auto"/>
              <w:bottom w:val="single" w:sz="12" w:space="0" w:color="auto"/>
              <w:right w:val="single" w:sz="18" w:space="0" w:color="auto"/>
            </w:tcBorders>
          </w:tcPr>
          <w:p w14:paraId="7BCEB6E7" w14:textId="047C5D03" w:rsidR="00BE0933" w:rsidRPr="006B1443" w:rsidRDefault="00BE0933" w:rsidP="008E7E3D">
            <w:pPr>
              <w:keepLines/>
              <w:spacing w:line="480" w:lineRule="auto"/>
              <w:jc w:val="center"/>
              <w:rPr>
                <w:rFonts w:ascii="Times New Roman" w:hAnsi="Times New Roman" w:cs="Times New Roman"/>
                <w:b/>
              </w:rPr>
            </w:pPr>
            <w:r w:rsidRPr="006B1443">
              <w:rPr>
                <w:rFonts w:ascii="Times New Roman" w:hAnsi="Times New Roman" w:cs="Times New Roman"/>
                <w:b/>
              </w:rPr>
              <w:t>2013</w:t>
            </w:r>
          </w:p>
        </w:tc>
      </w:tr>
      <w:tr w:rsidR="00BE0933" w14:paraId="3FE3E689" w14:textId="77777777" w:rsidTr="00296FEB">
        <w:trPr>
          <w:trHeight w:hRule="exact" w:val="288"/>
        </w:trPr>
        <w:tc>
          <w:tcPr>
            <w:tcW w:w="4158" w:type="dxa"/>
            <w:tcBorders>
              <w:top w:val="single" w:sz="12" w:space="0" w:color="auto"/>
              <w:right w:val="single" w:sz="18" w:space="0" w:color="auto"/>
            </w:tcBorders>
          </w:tcPr>
          <w:p w14:paraId="29BEB487" w14:textId="3208F5F0" w:rsidR="00BE0933" w:rsidRPr="006B1443" w:rsidRDefault="00BE0933" w:rsidP="008E7E3D">
            <w:pPr>
              <w:keepLines/>
              <w:spacing w:line="480" w:lineRule="auto"/>
              <w:rPr>
                <w:rFonts w:ascii="Times New Roman" w:hAnsi="Times New Roman" w:cs="Times New Roman"/>
                <w:b/>
              </w:rPr>
            </w:pPr>
            <w:r w:rsidRPr="006B1443">
              <w:rPr>
                <w:rFonts w:ascii="Times New Roman" w:hAnsi="Times New Roman" w:cs="Times New Roman"/>
                <w:b/>
              </w:rPr>
              <w:t>Domestic</w:t>
            </w:r>
          </w:p>
        </w:tc>
        <w:tc>
          <w:tcPr>
            <w:tcW w:w="2610" w:type="dxa"/>
            <w:tcBorders>
              <w:top w:val="single" w:sz="12" w:space="0" w:color="auto"/>
              <w:left w:val="single" w:sz="18" w:space="0" w:color="auto"/>
              <w:right w:val="single" w:sz="18" w:space="0" w:color="auto"/>
            </w:tcBorders>
          </w:tcPr>
          <w:p w14:paraId="142057D7" w14:textId="404316BE" w:rsidR="00BE0933" w:rsidRDefault="00BE0933" w:rsidP="008E7E3D">
            <w:pPr>
              <w:keepLines/>
              <w:spacing w:line="480" w:lineRule="auto"/>
              <w:jc w:val="right"/>
              <w:rPr>
                <w:rFonts w:ascii="Times New Roman" w:hAnsi="Times New Roman" w:cs="Times New Roman"/>
              </w:rPr>
            </w:pPr>
            <w:r>
              <w:rPr>
                <w:rFonts w:ascii="Times New Roman" w:hAnsi="Times New Roman" w:cs="Times New Roman"/>
              </w:rPr>
              <w:t>3.7%</w:t>
            </w:r>
          </w:p>
        </w:tc>
        <w:tc>
          <w:tcPr>
            <w:tcW w:w="2088" w:type="dxa"/>
            <w:tcBorders>
              <w:top w:val="single" w:sz="12" w:space="0" w:color="auto"/>
              <w:left w:val="single" w:sz="18" w:space="0" w:color="auto"/>
              <w:right w:val="single" w:sz="18" w:space="0" w:color="auto"/>
            </w:tcBorders>
          </w:tcPr>
          <w:p w14:paraId="37D6A0CF" w14:textId="68CC470B" w:rsidR="00BE0933" w:rsidRDefault="00BE0933" w:rsidP="008E7E3D">
            <w:pPr>
              <w:keepLines/>
              <w:spacing w:line="480" w:lineRule="auto"/>
              <w:jc w:val="right"/>
              <w:rPr>
                <w:rFonts w:ascii="Times New Roman" w:hAnsi="Times New Roman" w:cs="Times New Roman"/>
              </w:rPr>
            </w:pPr>
            <w:r>
              <w:rPr>
                <w:rFonts w:ascii="Times New Roman" w:hAnsi="Times New Roman" w:cs="Times New Roman"/>
              </w:rPr>
              <w:t>5.3%</w:t>
            </w:r>
          </w:p>
        </w:tc>
      </w:tr>
      <w:tr w:rsidR="00BE0933" w14:paraId="63E17246" w14:textId="77777777" w:rsidTr="00296FEB">
        <w:trPr>
          <w:trHeight w:hRule="exact" w:val="288"/>
        </w:trPr>
        <w:tc>
          <w:tcPr>
            <w:tcW w:w="4158" w:type="dxa"/>
            <w:tcBorders>
              <w:right w:val="single" w:sz="18" w:space="0" w:color="auto"/>
            </w:tcBorders>
          </w:tcPr>
          <w:p w14:paraId="250FFE99" w14:textId="1CCFB45B" w:rsidR="00BE0933" w:rsidRPr="006B1443" w:rsidRDefault="00BE0933" w:rsidP="008E7E3D">
            <w:pPr>
              <w:keepLines/>
              <w:spacing w:line="480" w:lineRule="auto"/>
              <w:rPr>
                <w:rFonts w:ascii="Times New Roman" w:hAnsi="Times New Roman" w:cs="Times New Roman"/>
                <w:b/>
              </w:rPr>
            </w:pPr>
            <w:r w:rsidRPr="006B1443">
              <w:rPr>
                <w:rFonts w:ascii="Times New Roman" w:hAnsi="Times New Roman" w:cs="Times New Roman"/>
                <w:b/>
              </w:rPr>
              <w:t>Deposits by Individuals</w:t>
            </w:r>
          </w:p>
        </w:tc>
        <w:tc>
          <w:tcPr>
            <w:tcW w:w="2610" w:type="dxa"/>
            <w:tcBorders>
              <w:left w:val="single" w:sz="18" w:space="0" w:color="auto"/>
              <w:right w:val="single" w:sz="18" w:space="0" w:color="auto"/>
            </w:tcBorders>
          </w:tcPr>
          <w:p w14:paraId="71A6EB7A" w14:textId="7FCE70E5" w:rsidR="00BE0933" w:rsidRDefault="00BE0933" w:rsidP="008E7E3D">
            <w:pPr>
              <w:keepLines/>
              <w:spacing w:line="480" w:lineRule="auto"/>
              <w:jc w:val="right"/>
              <w:rPr>
                <w:rFonts w:ascii="Times New Roman" w:hAnsi="Times New Roman" w:cs="Times New Roman"/>
              </w:rPr>
            </w:pPr>
            <w:r>
              <w:rPr>
                <w:rFonts w:ascii="Times New Roman" w:hAnsi="Times New Roman" w:cs="Times New Roman"/>
              </w:rPr>
              <w:t>0.9%</w:t>
            </w:r>
          </w:p>
        </w:tc>
        <w:tc>
          <w:tcPr>
            <w:tcW w:w="2088" w:type="dxa"/>
            <w:tcBorders>
              <w:left w:val="single" w:sz="18" w:space="0" w:color="auto"/>
              <w:right w:val="single" w:sz="18" w:space="0" w:color="auto"/>
            </w:tcBorders>
          </w:tcPr>
          <w:p w14:paraId="2BA4947E" w14:textId="2DCE03B8" w:rsidR="00BE0933" w:rsidRDefault="00BE0933" w:rsidP="008E7E3D">
            <w:pPr>
              <w:keepLines/>
              <w:spacing w:line="480" w:lineRule="auto"/>
              <w:jc w:val="right"/>
              <w:rPr>
                <w:rFonts w:ascii="Times New Roman" w:hAnsi="Times New Roman" w:cs="Times New Roman"/>
              </w:rPr>
            </w:pPr>
            <w:r>
              <w:rPr>
                <w:rFonts w:ascii="Times New Roman" w:hAnsi="Times New Roman" w:cs="Times New Roman"/>
              </w:rPr>
              <w:t>1.8%</w:t>
            </w:r>
          </w:p>
        </w:tc>
      </w:tr>
      <w:tr w:rsidR="00BE0933" w14:paraId="440FE931" w14:textId="77777777" w:rsidTr="00296FEB">
        <w:trPr>
          <w:trHeight w:hRule="exact" w:val="288"/>
        </w:trPr>
        <w:tc>
          <w:tcPr>
            <w:tcW w:w="4158" w:type="dxa"/>
            <w:tcBorders>
              <w:right w:val="single" w:sz="18" w:space="0" w:color="auto"/>
            </w:tcBorders>
          </w:tcPr>
          <w:p w14:paraId="5AE9D2BA" w14:textId="6746DB6D" w:rsidR="00BE0933" w:rsidRPr="006B1443" w:rsidRDefault="00BE0933" w:rsidP="008E7E3D">
            <w:pPr>
              <w:keepLines/>
              <w:spacing w:line="480" w:lineRule="auto"/>
              <w:rPr>
                <w:rFonts w:ascii="Times New Roman" w:hAnsi="Times New Roman" w:cs="Times New Roman"/>
                <w:b/>
              </w:rPr>
            </w:pPr>
            <w:r w:rsidRPr="006B1443">
              <w:rPr>
                <w:rFonts w:ascii="Times New Roman" w:hAnsi="Times New Roman" w:cs="Times New Roman"/>
                <w:b/>
              </w:rPr>
              <w:t>Taxes</w:t>
            </w:r>
          </w:p>
        </w:tc>
        <w:tc>
          <w:tcPr>
            <w:tcW w:w="2610" w:type="dxa"/>
            <w:tcBorders>
              <w:left w:val="single" w:sz="18" w:space="0" w:color="auto"/>
              <w:right w:val="single" w:sz="18" w:space="0" w:color="auto"/>
            </w:tcBorders>
          </w:tcPr>
          <w:p w14:paraId="5746079B" w14:textId="53716D81" w:rsidR="00BE0933" w:rsidRDefault="00BE0933" w:rsidP="008E7E3D">
            <w:pPr>
              <w:keepLines/>
              <w:spacing w:line="480" w:lineRule="auto"/>
              <w:jc w:val="right"/>
              <w:rPr>
                <w:rFonts w:ascii="Times New Roman" w:hAnsi="Times New Roman" w:cs="Times New Roman"/>
              </w:rPr>
            </w:pPr>
            <w:r>
              <w:rPr>
                <w:rFonts w:ascii="Times New Roman" w:hAnsi="Times New Roman" w:cs="Times New Roman"/>
              </w:rPr>
              <w:t>57.8%</w:t>
            </w:r>
          </w:p>
        </w:tc>
        <w:tc>
          <w:tcPr>
            <w:tcW w:w="2088" w:type="dxa"/>
            <w:tcBorders>
              <w:left w:val="single" w:sz="18" w:space="0" w:color="auto"/>
              <w:right w:val="single" w:sz="18" w:space="0" w:color="auto"/>
            </w:tcBorders>
          </w:tcPr>
          <w:p w14:paraId="349E9D93" w14:textId="4182C887" w:rsidR="00BE0933" w:rsidRDefault="00BE0933" w:rsidP="008E7E3D">
            <w:pPr>
              <w:keepLines/>
              <w:spacing w:line="480" w:lineRule="auto"/>
              <w:jc w:val="right"/>
              <w:rPr>
                <w:rFonts w:ascii="Times New Roman" w:hAnsi="Times New Roman" w:cs="Times New Roman"/>
              </w:rPr>
            </w:pPr>
            <w:r>
              <w:rPr>
                <w:rFonts w:ascii="Times New Roman" w:hAnsi="Times New Roman" w:cs="Times New Roman"/>
              </w:rPr>
              <w:t>60.5%</w:t>
            </w:r>
          </w:p>
        </w:tc>
      </w:tr>
      <w:tr w:rsidR="00BE0933" w14:paraId="7285B64C" w14:textId="77777777" w:rsidTr="00296FEB">
        <w:trPr>
          <w:trHeight w:hRule="exact" w:val="288"/>
        </w:trPr>
        <w:tc>
          <w:tcPr>
            <w:tcW w:w="4158" w:type="dxa"/>
            <w:tcBorders>
              <w:right w:val="single" w:sz="18" w:space="0" w:color="auto"/>
            </w:tcBorders>
          </w:tcPr>
          <w:p w14:paraId="3171E002" w14:textId="245CD2AB" w:rsidR="00BE0933" w:rsidRPr="006B1443" w:rsidRDefault="00BE0933" w:rsidP="008E7E3D">
            <w:pPr>
              <w:keepLines/>
              <w:spacing w:line="480" w:lineRule="auto"/>
              <w:rPr>
                <w:rFonts w:ascii="Times New Roman" w:hAnsi="Times New Roman" w:cs="Times New Roman"/>
                <w:b/>
              </w:rPr>
            </w:pPr>
            <w:r w:rsidRPr="006B1443">
              <w:rPr>
                <w:rFonts w:ascii="Times New Roman" w:hAnsi="Times New Roman" w:cs="Times New Roman"/>
                <w:b/>
              </w:rPr>
              <w:t>Wages</w:t>
            </w:r>
          </w:p>
        </w:tc>
        <w:tc>
          <w:tcPr>
            <w:tcW w:w="2610" w:type="dxa"/>
            <w:tcBorders>
              <w:left w:val="single" w:sz="18" w:space="0" w:color="auto"/>
              <w:right w:val="single" w:sz="18" w:space="0" w:color="auto"/>
            </w:tcBorders>
          </w:tcPr>
          <w:p w14:paraId="78AB7315" w14:textId="5153B4A4" w:rsidR="00BE0933" w:rsidRDefault="00BE0933" w:rsidP="008E7E3D">
            <w:pPr>
              <w:keepLines/>
              <w:spacing w:line="480" w:lineRule="auto"/>
              <w:jc w:val="right"/>
              <w:rPr>
                <w:rFonts w:ascii="Times New Roman" w:hAnsi="Times New Roman" w:cs="Times New Roman"/>
              </w:rPr>
            </w:pPr>
            <w:r>
              <w:rPr>
                <w:rFonts w:ascii="Times New Roman" w:hAnsi="Times New Roman" w:cs="Times New Roman"/>
              </w:rPr>
              <w:t>0.0%</w:t>
            </w:r>
          </w:p>
        </w:tc>
        <w:tc>
          <w:tcPr>
            <w:tcW w:w="2088" w:type="dxa"/>
            <w:tcBorders>
              <w:left w:val="single" w:sz="18" w:space="0" w:color="auto"/>
              <w:right w:val="single" w:sz="18" w:space="0" w:color="auto"/>
            </w:tcBorders>
          </w:tcPr>
          <w:p w14:paraId="646ADBF8" w14:textId="1345CA01" w:rsidR="00BE0933" w:rsidRDefault="00BE0933" w:rsidP="008E7E3D">
            <w:pPr>
              <w:keepLines/>
              <w:spacing w:line="480" w:lineRule="auto"/>
              <w:jc w:val="right"/>
              <w:rPr>
                <w:rFonts w:ascii="Times New Roman" w:hAnsi="Times New Roman" w:cs="Times New Roman"/>
              </w:rPr>
            </w:pPr>
            <w:r>
              <w:rPr>
                <w:rFonts w:ascii="Times New Roman" w:hAnsi="Times New Roman" w:cs="Times New Roman"/>
              </w:rPr>
              <w:t>1.8%</w:t>
            </w:r>
          </w:p>
        </w:tc>
      </w:tr>
      <w:tr w:rsidR="00BE0933" w14:paraId="2FF956EB" w14:textId="77777777" w:rsidTr="00296FEB">
        <w:trPr>
          <w:trHeight w:hRule="exact" w:val="288"/>
        </w:trPr>
        <w:tc>
          <w:tcPr>
            <w:tcW w:w="4158" w:type="dxa"/>
            <w:tcBorders>
              <w:right w:val="single" w:sz="18" w:space="0" w:color="auto"/>
            </w:tcBorders>
          </w:tcPr>
          <w:p w14:paraId="0EAF6F75" w14:textId="180ABD72" w:rsidR="00BE0933" w:rsidRPr="006B1443" w:rsidRDefault="00BE0933" w:rsidP="008E7E3D">
            <w:pPr>
              <w:keepLines/>
              <w:spacing w:line="480" w:lineRule="auto"/>
              <w:rPr>
                <w:rFonts w:ascii="Times New Roman" w:hAnsi="Times New Roman" w:cs="Times New Roman"/>
                <w:b/>
              </w:rPr>
            </w:pPr>
            <w:r w:rsidRPr="006B1443">
              <w:rPr>
                <w:rFonts w:ascii="Times New Roman" w:hAnsi="Times New Roman" w:cs="Times New Roman"/>
                <w:b/>
              </w:rPr>
              <w:t>None</w:t>
            </w:r>
          </w:p>
        </w:tc>
        <w:tc>
          <w:tcPr>
            <w:tcW w:w="2610" w:type="dxa"/>
            <w:tcBorders>
              <w:left w:val="single" w:sz="18" w:space="0" w:color="auto"/>
              <w:right w:val="single" w:sz="18" w:space="0" w:color="auto"/>
            </w:tcBorders>
          </w:tcPr>
          <w:p w14:paraId="7B539A11" w14:textId="77633458" w:rsidR="00BE0933" w:rsidRDefault="00BE0933" w:rsidP="008E7E3D">
            <w:pPr>
              <w:keepLines/>
              <w:spacing w:line="480" w:lineRule="auto"/>
              <w:jc w:val="right"/>
              <w:rPr>
                <w:rFonts w:ascii="Times New Roman" w:hAnsi="Times New Roman" w:cs="Times New Roman"/>
              </w:rPr>
            </w:pPr>
            <w:r>
              <w:rPr>
                <w:rFonts w:ascii="Times New Roman" w:hAnsi="Times New Roman" w:cs="Times New Roman"/>
              </w:rPr>
              <w:t>34.9%</w:t>
            </w:r>
          </w:p>
        </w:tc>
        <w:tc>
          <w:tcPr>
            <w:tcW w:w="2088" w:type="dxa"/>
            <w:tcBorders>
              <w:left w:val="single" w:sz="18" w:space="0" w:color="auto"/>
              <w:right w:val="single" w:sz="18" w:space="0" w:color="auto"/>
            </w:tcBorders>
          </w:tcPr>
          <w:p w14:paraId="514A71B7" w14:textId="33DC05B6" w:rsidR="00BE0933" w:rsidRDefault="00BE0933" w:rsidP="008E7E3D">
            <w:pPr>
              <w:keepLines/>
              <w:spacing w:line="480" w:lineRule="auto"/>
              <w:jc w:val="right"/>
              <w:rPr>
                <w:rFonts w:ascii="Times New Roman" w:hAnsi="Times New Roman" w:cs="Times New Roman"/>
              </w:rPr>
            </w:pPr>
            <w:r>
              <w:rPr>
                <w:rFonts w:ascii="Times New Roman" w:hAnsi="Times New Roman" w:cs="Times New Roman"/>
              </w:rPr>
              <w:t>32.5%</w:t>
            </w:r>
          </w:p>
        </w:tc>
      </w:tr>
      <w:tr w:rsidR="00BE0933" w14:paraId="11391504" w14:textId="77777777" w:rsidTr="00296FEB">
        <w:trPr>
          <w:trHeight w:hRule="exact" w:val="288"/>
        </w:trPr>
        <w:tc>
          <w:tcPr>
            <w:tcW w:w="4158" w:type="dxa"/>
            <w:tcBorders>
              <w:right w:val="single" w:sz="18" w:space="0" w:color="auto"/>
            </w:tcBorders>
          </w:tcPr>
          <w:p w14:paraId="5F12D32C" w14:textId="55E7FF89" w:rsidR="00BE0933" w:rsidRPr="006B1443" w:rsidRDefault="00BE0933" w:rsidP="008E7E3D">
            <w:pPr>
              <w:keepLines/>
              <w:spacing w:line="480" w:lineRule="auto"/>
              <w:rPr>
                <w:rFonts w:ascii="Times New Roman" w:hAnsi="Times New Roman" w:cs="Times New Roman"/>
                <w:b/>
              </w:rPr>
            </w:pPr>
            <w:r w:rsidRPr="006B1443">
              <w:rPr>
                <w:rFonts w:ascii="Times New Roman" w:hAnsi="Times New Roman" w:cs="Times New Roman"/>
                <w:b/>
              </w:rPr>
              <w:t>Unknown</w:t>
            </w:r>
          </w:p>
        </w:tc>
        <w:tc>
          <w:tcPr>
            <w:tcW w:w="2610" w:type="dxa"/>
            <w:tcBorders>
              <w:left w:val="single" w:sz="18" w:space="0" w:color="auto"/>
              <w:right w:val="single" w:sz="18" w:space="0" w:color="auto"/>
            </w:tcBorders>
          </w:tcPr>
          <w:p w14:paraId="703C1EAA" w14:textId="1AD3E6C5" w:rsidR="00BE0933" w:rsidRDefault="00BE0933" w:rsidP="008E7E3D">
            <w:pPr>
              <w:keepLines/>
              <w:spacing w:line="480" w:lineRule="auto"/>
              <w:jc w:val="right"/>
              <w:rPr>
                <w:rFonts w:ascii="Times New Roman" w:hAnsi="Times New Roman" w:cs="Times New Roman"/>
              </w:rPr>
            </w:pPr>
            <w:r>
              <w:rPr>
                <w:rFonts w:ascii="Times New Roman" w:hAnsi="Times New Roman" w:cs="Times New Roman"/>
              </w:rPr>
              <w:t>7.3%</w:t>
            </w:r>
          </w:p>
        </w:tc>
        <w:tc>
          <w:tcPr>
            <w:tcW w:w="2088" w:type="dxa"/>
            <w:tcBorders>
              <w:left w:val="single" w:sz="18" w:space="0" w:color="auto"/>
              <w:right w:val="single" w:sz="18" w:space="0" w:color="auto"/>
            </w:tcBorders>
          </w:tcPr>
          <w:p w14:paraId="4D715E3C" w14:textId="4E48CA43" w:rsidR="00BE0933" w:rsidRDefault="00BE0933" w:rsidP="008E7E3D">
            <w:pPr>
              <w:keepLines/>
              <w:spacing w:line="480" w:lineRule="auto"/>
              <w:jc w:val="right"/>
              <w:rPr>
                <w:rFonts w:ascii="Times New Roman" w:hAnsi="Times New Roman" w:cs="Times New Roman"/>
              </w:rPr>
            </w:pPr>
            <w:r>
              <w:rPr>
                <w:rFonts w:ascii="Times New Roman" w:hAnsi="Times New Roman" w:cs="Times New Roman"/>
              </w:rPr>
              <w:t>3.5%</w:t>
            </w:r>
          </w:p>
        </w:tc>
      </w:tr>
    </w:tbl>
    <w:p w14:paraId="103B5FF1" w14:textId="77777777" w:rsidR="008373AC" w:rsidRDefault="008373AC" w:rsidP="008373AC">
      <w:pPr>
        <w:rPr>
          <w:rFonts w:ascii="Times New Roman" w:hAnsi="Times New Roman" w:cs="Times New Roman"/>
        </w:rPr>
      </w:pPr>
    </w:p>
    <w:p w14:paraId="3C026796" w14:textId="6F705C56" w:rsidR="002E5764" w:rsidRDefault="002E5764" w:rsidP="00AC4305">
      <w:pPr>
        <w:spacing w:line="480" w:lineRule="auto"/>
        <w:ind w:firstLine="720"/>
        <w:rPr>
          <w:rFonts w:ascii="Times New Roman" w:hAnsi="Times New Roman" w:cs="Times New Roman"/>
        </w:rPr>
      </w:pPr>
      <w:r>
        <w:rPr>
          <w:rFonts w:ascii="Times New Roman" w:hAnsi="Times New Roman" w:cs="Times New Roman"/>
        </w:rPr>
        <w:t xml:space="preserve">We also coded for the amount of priority debt by type of debt. Table </w:t>
      </w:r>
      <w:r w:rsidR="00B35488">
        <w:rPr>
          <w:rFonts w:ascii="Times New Roman" w:hAnsi="Times New Roman" w:cs="Times New Roman"/>
        </w:rPr>
        <w:t>3</w:t>
      </w:r>
      <w:r w:rsidR="00296FEB">
        <w:rPr>
          <w:rFonts w:ascii="Times New Roman" w:hAnsi="Times New Roman" w:cs="Times New Roman"/>
        </w:rPr>
        <w:t>3</w:t>
      </w:r>
      <w:r>
        <w:rPr>
          <w:rFonts w:ascii="Times New Roman" w:hAnsi="Times New Roman" w:cs="Times New Roman"/>
        </w:rPr>
        <w:t xml:space="preserve"> presents those results. </w:t>
      </w:r>
      <w:r w:rsidRPr="003268A0">
        <w:rPr>
          <w:rFonts w:ascii="Times New Roman" w:hAnsi="Times New Roman" w:cs="Times New Roman"/>
        </w:rPr>
        <w:t xml:space="preserve">Because some debtors listed multiple types of </w:t>
      </w:r>
      <w:r>
        <w:rPr>
          <w:rFonts w:ascii="Times New Roman" w:hAnsi="Times New Roman" w:cs="Times New Roman"/>
        </w:rPr>
        <w:t xml:space="preserve">priority </w:t>
      </w:r>
      <w:r w:rsidRPr="003268A0">
        <w:rPr>
          <w:rFonts w:ascii="Times New Roman" w:hAnsi="Times New Roman" w:cs="Times New Roman"/>
        </w:rPr>
        <w:t xml:space="preserve">debt, the </w:t>
      </w:r>
      <w:r w:rsidR="004F5F00">
        <w:rPr>
          <w:rFonts w:ascii="Times New Roman" w:hAnsi="Times New Roman" w:cs="Times New Roman"/>
        </w:rPr>
        <w:t xml:space="preserve">rows within a </w:t>
      </w:r>
      <w:r w:rsidR="00A96702">
        <w:rPr>
          <w:rFonts w:ascii="Times New Roman" w:hAnsi="Times New Roman" w:cs="Times New Roman"/>
        </w:rPr>
        <w:t xml:space="preserve">column </w:t>
      </w:r>
      <w:r w:rsidRPr="003268A0">
        <w:rPr>
          <w:rFonts w:ascii="Times New Roman" w:hAnsi="Times New Roman" w:cs="Times New Roman"/>
        </w:rPr>
        <w:t>do not add to 100%.</w:t>
      </w:r>
    </w:p>
    <w:p w14:paraId="741BC473" w14:textId="50174AD3" w:rsidR="00C66E67" w:rsidRDefault="00C66E67" w:rsidP="00EC104F">
      <w:pPr>
        <w:keepNext/>
        <w:keepLines/>
        <w:spacing w:line="480" w:lineRule="auto"/>
        <w:jc w:val="center"/>
        <w:rPr>
          <w:rFonts w:ascii="Times New Roman" w:hAnsi="Times New Roman" w:cs="Times New Roman"/>
        </w:rPr>
      </w:pPr>
      <w:r w:rsidRPr="00B026E4">
        <w:rPr>
          <w:rFonts w:ascii="Times New Roman" w:hAnsi="Times New Roman" w:cs="Times New Roman"/>
          <w:b/>
        </w:rPr>
        <w:t xml:space="preserve">Table </w:t>
      </w:r>
      <w:r w:rsidR="00B35488">
        <w:rPr>
          <w:rFonts w:ascii="Times New Roman" w:hAnsi="Times New Roman" w:cs="Times New Roman"/>
          <w:b/>
        </w:rPr>
        <w:t>3</w:t>
      </w:r>
      <w:r w:rsidR="00296FEB">
        <w:rPr>
          <w:rFonts w:ascii="Times New Roman" w:hAnsi="Times New Roman" w:cs="Times New Roman"/>
          <w:b/>
        </w:rPr>
        <w:t>3</w:t>
      </w:r>
      <w:r w:rsidRPr="00B026E4">
        <w:rPr>
          <w:rFonts w:ascii="Times New Roman" w:hAnsi="Times New Roman" w:cs="Times New Roman"/>
          <w:b/>
        </w:rPr>
        <w:t>: Amount of Priority Debt by</w:t>
      </w:r>
      <w:r>
        <w:rPr>
          <w:rFonts w:ascii="Times New Roman" w:hAnsi="Times New Roman" w:cs="Times New Roman"/>
          <w:b/>
        </w:rPr>
        <w:t xml:space="preserve"> </w:t>
      </w:r>
      <w:r w:rsidRPr="00B026E4">
        <w:rPr>
          <w:rFonts w:ascii="Times New Roman" w:hAnsi="Times New Roman" w:cs="Times New Roman"/>
          <w:b/>
        </w:rPr>
        <w:t>Category</w:t>
      </w:r>
    </w:p>
    <w:tbl>
      <w:tblPr>
        <w:tblStyle w:val="TableGrid"/>
        <w:tblW w:w="0" w:type="auto"/>
        <w:tblLayout w:type="fixed"/>
        <w:tblLook w:val="04A0" w:firstRow="1" w:lastRow="0" w:firstColumn="1" w:lastColumn="0" w:noHBand="0" w:noVBand="1"/>
      </w:tblPr>
      <w:tblGrid>
        <w:gridCol w:w="1514"/>
        <w:gridCol w:w="1176"/>
        <w:gridCol w:w="1230"/>
        <w:gridCol w:w="1228"/>
        <w:gridCol w:w="1260"/>
        <w:gridCol w:w="1272"/>
        <w:gridCol w:w="1176"/>
      </w:tblGrid>
      <w:tr w:rsidR="00C66E67" w14:paraId="09A206D6" w14:textId="77777777" w:rsidTr="00296FEB">
        <w:tc>
          <w:tcPr>
            <w:tcW w:w="1514" w:type="dxa"/>
            <w:vMerge w:val="restart"/>
            <w:tcBorders>
              <w:top w:val="nil"/>
              <w:left w:val="nil"/>
              <w:right w:val="single" w:sz="18" w:space="0" w:color="auto"/>
            </w:tcBorders>
          </w:tcPr>
          <w:p w14:paraId="684C5D18" w14:textId="77777777" w:rsidR="00C66E67" w:rsidRDefault="00C66E67" w:rsidP="00EC104F">
            <w:pPr>
              <w:keepNext/>
              <w:keepLines/>
              <w:rPr>
                <w:rFonts w:ascii="Times New Roman" w:hAnsi="Times New Roman" w:cs="Times New Roman"/>
              </w:rPr>
            </w:pPr>
          </w:p>
        </w:tc>
        <w:tc>
          <w:tcPr>
            <w:tcW w:w="2406" w:type="dxa"/>
            <w:gridSpan w:val="2"/>
            <w:tcBorders>
              <w:top w:val="single" w:sz="18" w:space="0" w:color="auto"/>
              <w:left w:val="single" w:sz="18" w:space="0" w:color="auto"/>
              <w:bottom w:val="single" w:sz="12" w:space="0" w:color="auto"/>
              <w:right w:val="single" w:sz="18" w:space="0" w:color="auto"/>
            </w:tcBorders>
          </w:tcPr>
          <w:p w14:paraId="549C6285" w14:textId="77777777" w:rsidR="00C66E67" w:rsidRPr="00B026E4" w:rsidRDefault="00C66E67" w:rsidP="00EC104F">
            <w:pPr>
              <w:keepNext/>
              <w:keepLines/>
              <w:jc w:val="center"/>
              <w:rPr>
                <w:rFonts w:ascii="Times New Roman" w:eastAsiaTheme="majorEastAsia" w:hAnsi="Times New Roman" w:cs="Times New Roman"/>
                <w:b/>
                <w:bCs/>
                <w:color w:val="4F81BD" w:themeColor="accent1"/>
                <w:sz w:val="26"/>
                <w:szCs w:val="26"/>
              </w:rPr>
            </w:pPr>
            <w:r w:rsidRPr="00B026E4">
              <w:rPr>
                <w:rFonts w:ascii="Times New Roman" w:hAnsi="Times New Roman" w:cs="Times New Roman"/>
                <w:b/>
              </w:rPr>
              <w:t>Taxes</w:t>
            </w:r>
          </w:p>
        </w:tc>
        <w:tc>
          <w:tcPr>
            <w:tcW w:w="2488" w:type="dxa"/>
            <w:gridSpan w:val="2"/>
            <w:tcBorders>
              <w:top w:val="single" w:sz="18" w:space="0" w:color="auto"/>
              <w:left w:val="single" w:sz="18" w:space="0" w:color="auto"/>
              <w:bottom w:val="single" w:sz="12" w:space="0" w:color="auto"/>
              <w:right w:val="triple" w:sz="6" w:space="0" w:color="auto"/>
            </w:tcBorders>
          </w:tcPr>
          <w:p w14:paraId="0E7C6B60" w14:textId="77777777" w:rsidR="00C66E67" w:rsidRPr="00B026E4" w:rsidRDefault="00C66E67" w:rsidP="00EC104F">
            <w:pPr>
              <w:keepNext/>
              <w:keepLines/>
              <w:jc w:val="center"/>
              <w:rPr>
                <w:rFonts w:ascii="Times New Roman" w:eastAsiaTheme="majorEastAsia" w:hAnsi="Times New Roman" w:cs="Times New Roman"/>
                <w:b/>
                <w:bCs/>
                <w:color w:val="4F81BD" w:themeColor="accent1"/>
                <w:sz w:val="26"/>
                <w:szCs w:val="26"/>
              </w:rPr>
            </w:pPr>
            <w:r w:rsidRPr="00B026E4">
              <w:rPr>
                <w:rFonts w:ascii="Times New Roman" w:hAnsi="Times New Roman" w:cs="Times New Roman"/>
                <w:b/>
              </w:rPr>
              <w:t>Domestic Support</w:t>
            </w:r>
          </w:p>
        </w:tc>
        <w:tc>
          <w:tcPr>
            <w:tcW w:w="2448" w:type="dxa"/>
            <w:gridSpan w:val="2"/>
            <w:tcBorders>
              <w:top w:val="single" w:sz="18" w:space="0" w:color="auto"/>
              <w:left w:val="triple" w:sz="6" w:space="0" w:color="auto"/>
              <w:bottom w:val="single" w:sz="12" w:space="0" w:color="auto"/>
              <w:right w:val="single" w:sz="18" w:space="0" w:color="auto"/>
            </w:tcBorders>
          </w:tcPr>
          <w:p w14:paraId="562FFA4C" w14:textId="77777777" w:rsidR="00C66E67" w:rsidRPr="00B026E4" w:rsidRDefault="00C66E67" w:rsidP="00EC104F">
            <w:pPr>
              <w:keepNext/>
              <w:keepLines/>
              <w:jc w:val="center"/>
              <w:rPr>
                <w:rFonts w:ascii="Times New Roman" w:eastAsiaTheme="majorEastAsia" w:hAnsi="Times New Roman" w:cs="Times New Roman"/>
                <w:b/>
                <w:bCs/>
                <w:color w:val="4F81BD" w:themeColor="accent1"/>
                <w:sz w:val="26"/>
                <w:szCs w:val="26"/>
              </w:rPr>
            </w:pPr>
            <w:r w:rsidRPr="00B026E4">
              <w:rPr>
                <w:rFonts w:ascii="Times New Roman" w:hAnsi="Times New Roman" w:cs="Times New Roman"/>
                <w:b/>
              </w:rPr>
              <w:t>All Priority</w:t>
            </w:r>
          </w:p>
        </w:tc>
      </w:tr>
      <w:tr w:rsidR="00C66E67" w14:paraId="144508BE" w14:textId="77777777" w:rsidTr="00296FEB">
        <w:tc>
          <w:tcPr>
            <w:tcW w:w="1514" w:type="dxa"/>
            <w:vMerge/>
            <w:tcBorders>
              <w:left w:val="nil"/>
              <w:bottom w:val="single" w:sz="18" w:space="0" w:color="auto"/>
              <w:right w:val="single" w:sz="18" w:space="0" w:color="auto"/>
            </w:tcBorders>
          </w:tcPr>
          <w:p w14:paraId="27ECEF53" w14:textId="77777777" w:rsidR="00C66E67" w:rsidRDefault="00C66E67" w:rsidP="00EC104F">
            <w:pPr>
              <w:keepNext/>
              <w:keepLines/>
              <w:rPr>
                <w:rFonts w:ascii="Times New Roman" w:hAnsi="Times New Roman" w:cs="Times New Roman"/>
              </w:rPr>
            </w:pPr>
          </w:p>
        </w:tc>
        <w:tc>
          <w:tcPr>
            <w:tcW w:w="1176" w:type="dxa"/>
            <w:tcBorders>
              <w:top w:val="single" w:sz="12" w:space="0" w:color="auto"/>
              <w:left w:val="single" w:sz="18" w:space="0" w:color="auto"/>
              <w:bottom w:val="single" w:sz="18" w:space="0" w:color="auto"/>
            </w:tcBorders>
          </w:tcPr>
          <w:p w14:paraId="47A603BE" w14:textId="77777777" w:rsidR="00C66E67" w:rsidRPr="00B026E4" w:rsidRDefault="00C66E67" w:rsidP="00EC104F">
            <w:pPr>
              <w:keepNext/>
              <w:keepLines/>
              <w:jc w:val="center"/>
              <w:rPr>
                <w:rFonts w:ascii="Times New Roman" w:eastAsiaTheme="majorEastAsia" w:hAnsi="Times New Roman" w:cs="Times New Roman"/>
                <w:b/>
                <w:bCs/>
                <w:color w:val="4F81BD" w:themeColor="accent1"/>
                <w:sz w:val="26"/>
                <w:szCs w:val="26"/>
              </w:rPr>
            </w:pPr>
            <w:r w:rsidRPr="00B026E4">
              <w:rPr>
                <w:rFonts w:ascii="Times New Roman" w:hAnsi="Times New Roman" w:cs="Times New Roman"/>
                <w:b/>
              </w:rPr>
              <w:t>2010</w:t>
            </w:r>
          </w:p>
        </w:tc>
        <w:tc>
          <w:tcPr>
            <w:tcW w:w="1230" w:type="dxa"/>
            <w:tcBorders>
              <w:top w:val="single" w:sz="12" w:space="0" w:color="auto"/>
              <w:bottom w:val="single" w:sz="18" w:space="0" w:color="auto"/>
              <w:right w:val="single" w:sz="18" w:space="0" w:color="auto"/>
            </w:tcBorders>
          </w:tcPr>
          <w:p w14:paraId="46EA5987" w14:textId="77777777" w:rsidR="00C66E67" w:rsidRPr="00B026E4" w:rsidRDefault="00C66E67" w:rsidP="00EC104F">
            <w:pPr>
              <w:keepNext/>
              <w:keepLines/>
              <w:jc w:val="center"/>
              <w:rPr>
                <w:rFonts w:ascii="Times New Roman" w:eastAsiaTheme="majorEastAsia" w:hAnsi="Times New Roman" w:cs="Times New Roman"/>
                <w:b/>
                <w:bCs/>
                <w:color w:val="4F81BD" w:themeColor="accent1"/>
                <w:sz w:val="26"/>
                <w:szCs w:val="26"/>
              </w:rPr>
            </w:pPr>
            <w:r w:rsidRPr="00B026E4">
              <w:rPr>
                <w:rFonts w:ascii="Times New Roman" w:hAnsi="Times New Roman" w:cs="Times New Roman"/>
                <w:b/>
              </w:rPr>
              <w:t>2013</w:t>
            </w:r>
          </w:p>
        </w:tc>
        <w:tc>
          <w:tcPr>
            <w:tcW w:w="1228" w:type="dxa"/>
            <w:tcBorders>
              <w:top w:val="single" w:sz="12" w:space="0" w:color="auto"/>
              <w:left w:val="single" w:sz="18" w:space="0" w:color="auto"/>
              <w:bottom w:val="single" w:sz="18" w:space="0" w:color="auto"/>
            </w:tcBorders>
          </w:tcPr>
          <w:p w14:paraId="27797127" w14:textId="77777777" w:rsidR="00C66E67" w:rsidRPr="00B026E4" w:rsidRDefault="00C66E67" w:rsidP="00EC104F">
            <w:pPr>
              <w:keepNext/>
              <w:keepLines/>
              <w:jc w:val="center"/>
              <w:rPr>
                <w:rFonts w:ascii="Times New Roman" w:eastAsiaTheme="majorEastAsia" w:hAnsi="Times New Roman" w:cs="Times New Roman"/>
                <w:b/>
                <w:bCs/>
                <w:color w:val="4F81BD" w:themeColor="accent1"/>
                <w:sz w:val="26"/>
                <w:szCs w:val="26"/>
              </w:rPr>
            </w:pPr>
            <w:r w:rsidRPr="00B026E4">
              <w:rPr>
                <w:rFonts w:ascii="Times New Roman" w:hAnsi="Times New Roman" w:cs="Times New Roman"/>
                <w:b/>
              </w:rPr>
              <w:t>2010</w:t>
            </w:r>
          </w:p>
        </w:tc>
        <w:tc>
          <w:tcPr>
            <w:tcW w:w="1260" w:type="dxa"/>
            <w:tcBorders>
              <w:top w:val="single" w:sz="12" w:space="0" w:color="auto"/>
              <w:bottom w:val="single" w:sz="18" w:space="0" w:color="auto"/>
              <w:right w:val="triple" w:sz="4" w:space="0" w:color="auto"/>
            </w:tcBorders>
          </w:tcPr>
          <w:p w14:paraId="78F6A83A" w14:textId="77777777" w:rsidR="00C66E67" w:rsidRPr="00B026E4" w:rsidRDefault="00C66E67" w:rsidP="00EC104F">
            <w:pPr>
              <w:keepNext/>
              <w:keepLines/>
              <w:jc w:val="center"/>
              <w:rPr>
                <w:rFonts w:ascii="Times New Roman" w:eastAsiaTheme="majorEastAsia" w:hAnsi="Times New Roman" w:cs="Times New Roman"/>
                <w:b/>
                <w:bCs/>
                <w:color w:val="4F81BD" w:themeColor="accent1"/>
                <w:sz w:val="26"/>
                <w:szCs w:val="26"/>
              </w:rPr>
            </w:pPr>
            <w:r w:rsidRPr="00B026E4">
              <w:rPr>
                <w:rFonts w:ascii="Times New Roman" w:hAnsi="Times New Roman" w:cs="Times New Roman"/>
                <w:b/>
              </w:rPr>
              <w:t>2013</w:t>
            </w:r>
          </w:p>
        </w:tc>
        <w:tc>
          <w:tcPr>
            <w:tcW w:w="1272" w:type="dxa"/>
            <w:tcBorders>
              <w:top w:val="single" w:sz="12" w:space="0" w:color="auto"/>
              <w:left w:val="triple" w:sz="4" w:space="0" w:color="auto"/>
              <w:bottom w:val="single" w:sz="18" w:space="0" w:color="auto"/>
            </w:tcBorders>
          </w:tcPr>
          <w:p w14:paraId="29A0A8B7" w14:textId="77777777" w:rsidR="00C66E67" w:rsidRPr="00B026E4" w:rsidRDefault="00C66E67" w:rsidP="00EC104F">
            <w:pPr>
              <w:keepNext/>
              <w:keepLines/>
              <w:jc w:val="center"/>
              <w:rPr>
                <w:rFonts w:ascii="Times New Roman" w:eastAsiaTheme="majorEastAsia" w:hAnsi="Times New Roman" w:cs="Times New Roman"/>
                <w:b/>
                <w:bCs/>
                <w:color w:val="4F81BD" w:themeColor="accent1"/>
                <w:sz w:val="26"/>
                <w:szCs w:val="26"/>
              </w:rPr>
            </w:pPr>
            <w:r w:rsidRPr="00B026E4">
              <w:rPr>
                <w:rFonts w:ascii="Times New Roman" w:hAnsi="Times New Roman" w:cs="Times New Roman"/>
                <w:b/>
              </w:rPr>
              <w:t>2010</w:t>
            </w:r>
          </w:p>
        </w:tc>
        <w:tc>
          <w:tcPr>
            <w:tcW w:w="1176" w:type="dxa"/>
            <w:tcBorders>
              <w:top w:val="single" w:sz="12" w:space="0" w:color="auto"/>
              <w:bottom w:val="single" w:sz="18" w:space="0" w:color="auto"/>
              <w:right w:val="single" w:sz="18" w:space="0" w:color="auto"/>
            </w:tcBorders>
          </w:tcPr>
          <w:p w14:paraId="137540D6" w14:textId="77777777" w:rsidR="00C66E67" w:rsidRPr="00B026E4" w:rsidRDefault="00C66E67" w:rsidP="00EC104F">
            <w:pPr>
              <w:keepNext/>
              <w:keepLines/>
              <w:jc w:val="center"/>
              <w:rPr>
                <w:rFonts w:ascii="Times New Roman" w:eastAsiaTheme="majorEastAsia" w:hAnsi="Times New Roman" w:cs="Times New Roman"/>
                <w:b/>
                <w:bCs/>
                <w:color w:val="4F81BD" w:themeColor="accent1"/>
                <w:sz w:val="26"/>
                <w:szCs w:val="26"/>
              </w:rPr>
            </w:pPr>
            <w:r w:rsidRPr="00B026E4">
              <w:rPr>
                <w:rFonts w:ascii="Times New Roman" w:hAnsi="Times New Roman" w:cs="Times New Roman"/>
                <w:b/>
              </w:rPr>
              <w:t>2013</w:t>
            </w:r>
          </w:p>
        </w:tc>
      </w:tr>
      <w:tr w:rsidR="00C66E67" w14:paraId="02015484" w14:textId="77777777" w:rsidTr="00296FEB">
        <w:tc>
          <w:tcPr>
            <w:tcW w:w="1514" w:type="dxa"/>
            <w:tcBorders>
              <w:right w:val="single" w:sz="18" w:space="0" w:color="auto"/>
            </w:tcBorders>
            <w:vAlign w:val="bottom"/>
          </w:tcPr>
          <w:p w14:paraId="376D20F0" w14:textId="77777777" w:rsidR="00C66E67" w:rsidRDefault="00C66E67" w:rsidP="00EC104F">
            <w:pPr>
              <w:keepNext/>
              <w:keepLines/>
              <w:rPr>
                <w:rFonts w:ascii="Times New Roman" w:eastAsiaTheme="majorEastAsia" w:hAnsi="Times New Roman" w:cs="Times New Roman"/>
                <w:b/>
                <w:bCs/>
                <w:color w:val="404040" w:themeColor="text1" w:themeTint="BF"/>
                <w:sz w:val="20"/>
                <w:szCs w:val="20"/>
              </w:rPr>
            </w:pPr>
            <w:r w:rsidRPr="003268A0">
              <w:rPr>
                <w:rFonts w:ascii="Times New Roman" w:eastAsia="Times New Roman" w:hAnsi="Times New Roman" w:cs="Times New Roman"/>
                <w:b/>
                <w:bCs/>
                <w:color w:val="000000"/>
              </w:rPr>
              <w:t>Over 500K</w:t>
            </w:r>
          </w:p>
        </w:tc>
        <w:tc>
          <w:tcPr>
            <w:tcW w:w="1176" w:type="dxa"/>
            <w:tcBorders>
              <w:left w:val="single" w:sz="18" w:space="0" w:color="auto"/>
            </w:tcBorders>
            <w:vAlign w:val="bottom"/>
          </w:tcPr>
          <w:p w14:paraId="70956EB3"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0.9%</w:t>
            </w:r>
          </w:p>
        </w:tc>
        <w:tc>
          <w:tcPr>
            <w:tcW w:w="1230" w:type="dxa"/>
            <w:tcBorders>
              <w:right w:val="single" w:sz="18" w:space="0" w:color="auto"/>
            </w:tcBorders>
            <w:vAlign w:val="bottom"/>
          </w:tcPr>
          <w:p w14:paraId="2FC4CF3A"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5.3%</w:t>
            </w:r>
          </w:p>
        </w:tc>
        <w:tc>
          <w:tcPr>
            <w:tcW w:w="1228" w:type="dxa"/>
            <w:tcBorders>
              <w:left w:val="single" w:sz="18" w:space="0" w:color="auto"/>
            </w:tcBorders>
            <w:vAlign w:val="bottom"/>
          </w:tcPr>
          <w:p w14:paraId="2C4EA3D6"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0.0%</w:t>
            </w:r>
          </w:p>
        </w:tc>
        <w:tc>
          <w:tcPr>
            <w:tcW w:w="1260" w:type="dxa"/>
            <w:tcBorders>
              <w:right w:val="triple" w:sz="4" w:space="0" w:color="auto"/>
            </w:tcBorders>
            <w:vAlign w:val="bottom"/>
          </w:tcPr>
          <w:p w14:paraId="5FF01252"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0.0%</w:t>
            </w:r>
          </w:p>
        </w:tc>
        <w:tc>
          <w:tcPr>
            <w:tcW w:w="1272" w:type="dxa"/>
            <w:tcBorders>
              <w:left w:val="triple" w:sz="4" w:space="0" w:color="auto"/>
            </w:tcBorders>
            <w:vAlign w:val="bottom"/>
          </w:tcPr>
          <w:p w14:paraId="17FBBBDE"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1.8%</w:t>
            </w:r>
          </w:p>
        </w:tc>
        <w:tc>
          <w:tcPr>
            <w:tcW w:w="1176" w:type="dxa"/>
            <w:tcBorders>
              <w:top w:val="single" w:sz="18" w:space="0" w:color="auto"/>
              <w:right w:val="single" w:sz="18" w:space="0" w:color="auto"/>
            </w:tcBorders>
            <w:vAlign w:val="bottom"/>
          </w:tcPr>
          <w:p w14:paraId="2F62F297"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5.3%</w:t>
            </w:r>
          </w:p>
        </w:tc>
      </w:tr>
      <w:tr w:rsidR="00C66E67" w14:paraId="6D1E3E6D" w14:textId="77777777" w:rsidTr="00296FEB">
        <w:tc>
          <w:tcPr>
            <w:tcW w:w="1514" w:type="dxa"/>
            <w:tcBorders>
              <w:right w:val="single" w:sz="18" w:space="0" w:color="auto"/>
            </w:tcBorders>
            <w:vAlign w:val="bottom"/>
          </w:tcPr>
          <w:p w14:paraId="0813EE46" w14:textId="77777777" w:rsidR="00C66E67" w:rsidRDefault="00C66E67" w:rsidP="00EC104F">
            <w:pPr>
              <w:keepNext/>
              <w:keepLines/>
              <w:rPr>
                <w:rFonts w:ascii="Times New Roman" w:eastAsiaTheme="majorEastAsia" w:hAnsi="Times New Roman" w:cs="Times New Roman"/>
                <w:b/>
                <w:bCs/>
                <w:color w:val="404040" w:themeColor="text1" w:themeTint="BF"/>
                <w:sz w:val="20"/>
                <w:szCs w:val="20"/>
              </w:rPr>
            </w:pPr>
            <w:r w:rsidRPr="003268A0">
              <w:rPr>
                <w:rFonts w:ascii="Times New Roman" w:eastAsia="Times New Roman" w:hAnsi="Times New Roman" w:cs="Times New Roman"/>
                <w:b/>
                <w:bCs/>
                <w:color w:val="000000"/>
              </w:rPr>
              <w:t>250K to 500K</w:t>
            </w:r>
          </w:p>
        </w:tc>
        <w:tc>
          <w:tcPr>
            <w:tcW w:w="1176" w:type="dxa"/>
            <w:tcBorders>
              <w:left w:val="single" w:sz="18" w:space="0" w:color="auto"/>
            </w:tcBorders>
            <w:vAlign w:val="bottom"/>
          </w:tcPr>
          <w:p w14:paraId="7FA8AE3F"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2.8%</w:t>
            </w:r>
          </w:p>
        </w:tc>
        <w:tc>
          <w:tcPr>
            <w:tcW w:w="1230" w:type="dxa"/>
            <w:tcBorders>
              <w:right w:val="single" w:sz="18" w:space="0" w:color="auto"/>
            </w:tcBorders>
            <w:vAlign w:val="bottom"/>
          </w:tcPr>
          <w:p w14:paraId="0531AE47"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3.5%</w:t>
            </w:r>
          </w:p>
        </w:tc>
        <w:tc>
          <w:tcPr>
            <w:tcW w:w="1228" w:type="dxa"/>
            <w:tcBorders>
              <w:left w:val="single" w:sz="18" w:space="0" w:color="auto"/>
            </w:tcBorders>
            <w:vAlign w:val="bottom"/>
          </w:tcPr>
          <w:p w14:paraId="5DF786AC"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0.0%</w:t>
            </w:r>
          </w:p>
        </w:tc>
        <w:tc>
          <w:tcPr>
            <w:tcW w:w="1260" w:type="dxa"/>
            <w:tcBorders>
              <w:right w:val="triple" w:sz="6" w:space="0" w:color="auto"/>
            </w:tcBorders>
            <w:vAlign w:val="bottom"/>
          </w:tcPr>
          <w:p w14:paraId="7BF66D1E"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0.9%</w:t>
            </w:r>
          </w:p>
        </w:tc>
        <w:tc>
          <w:tcPr>
            <w:tcW w:w="1272" w:type="dxa"/>
            <w:tcBorders>
              <w:left w:val="triple" w:sz="6" w:space="0" w:color="auto"/>
            </w:tcBorders>
            <w:vAlign w:val="bottom"/>
          </w:tcPr>
          <w:p w14:paraId="37C502AC"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1.8%</w:t>
            </w:r>
          </w:p>
        </w:tc>
        <w:tc>
          <w:tcPr>
            <w:tcW w:w="1176" w:type="dxa"/>
            <w:tcBorders>
              <w:right w:val="single" w:sz="18" w:space="0" w:color="auto"/>
            </w:tcBorders>
            <w:vAlign w:val="bottom"/>
          </w:tcPr>
          <w:p w14:paraId="1C04542F"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4.4%</w:t>
            </w:r>
          </w:p>
        </w:tc>
      </w:tr>
      <w:tr w:rsidR="00C66E67" w14:paraId="0B5DF887" w14:textId="77777777" w:rsidTr="00296FEB">
        <w:tc>
          <w:tcPr>
            <w:tcW w:w="1514" w:type="dxa"/>
            <w:tcBorders>
              <w:right w:val="single" w:sz="18" w:space="0" w:color="auto"/>
            </w:tcBorders>
            <w:vAlign w:val="bottom"/>
          </w:tcPr>
          <w:p w14:paraId="3C4DD402" w14:textId="77777777" w:rsidR="00C66E67" w:rsidRDefault="00C66E67" w:rsidP="00EC104F">
            <w:pPr>
              <w:keepNext/>
              <w:keepLines/>
              <w:rPr>
                <w:rFonts w:ascii="Times New Roman" w:eastAsiaTheme="majorEastAsia" w:hAnsi="Times New Roman" w:cs="Times New Roman"/>
                <w:b/>
                <w:bCs/>
                <w:color w:val="404040" w:themeColor="text1" w:themeTint="BF"/>
                <w:sz w:val="20"/>
                <w:szCs w:val="20"/>
              </w:rPr>
            </w:pPr>
            <w:r w:rsidRPr="003268A0">
              <w:rPr>
                <w:rFonts w:ascii="Times New Roman" w:eastAsia="Times New Roman" w:hAnsi="Times New Roman" w:cs="Times New Roman"/>
                <w:b/>
                <w:bCs/>
                <w:color w:val="000000"/>
              </w:rPr>
              <w:t>100K to 250K</w:t>
            </w:r>
          </w:p>
        </w:tc>
        <w:tc>
          <w:tcPr>
            <w:tcW w:w="1176" w:type="dxa"/>
            <w:tcBorders>
              <w:left w:val="single" w:sz="18" w:space="0" w:color="auto"/>
            </w:tcBorders>
            <w:vAlign w:val="bottom"/>
          </w:tcPr>
          <w:p w14:paraId="10CB26AC"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3.7%</w:t>
            </w:r>
          </w:p>
        </w:tc>
        <w:tc>
          <w:tcPr>
            <w:tcW w:w="1230" w:type="dxa"/>
            <w:tcBorders>
              <w:right w:val="single" w:sz="18" w:space="0" w:color="auto"/>
            </w:tcBorders>
            <w:vAlign w:val="bottom"/>
          </w:tcPr>
          <w:p w14:paraId="5C975512"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7.9%</w:t>
            </w:r>
          </w:p>
        </w:tc>
        <w:tc>
          <w:tcPr>
            <w:tcW w:w="1228" w:type="dxa"/>
            <w:tcBorders>
              <w:left w:val="single" w:sz="18" w:space="0" w:color="auto"/>
            </w:tcBorders>
            <w:vAlign w:val="bottom"/>
          </w:tcPr>
          <w:p w14:paraId="34A78368"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0.9%</w:t>
            </w:r>
          </w:p>
        </w:tc>
        <w:tc>
          <w:tcPr>
            <w:tcW w:w="1260" w:type="dxa"/>
            <w:tcBorders>
              <w:right w:val="triple" w:sz="6" w:space="0" w:color="auto"/>
            </w:tcBorders>
            <w:vAlign w:val="bottom"/>
          </w:tcPr>
          <w:p w14:paraId="19690DE4"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0.0%</w:t>
            </w:r>
          </w:p>
        </w:tc>
        <w:tc>
          <w:tcPr>
            <w:tcW w:w="1272" w:type="dxa"/>
            <w:tcBorders>
              <w:left w:val="triple" w:sz="6" w:space="0" w:color="auto"/>
            </w:tcBorders>
            <w:vAlign w:val="bottom"/>
          </w:tcPr>
          <w:p w14:paraId="6E46A6E3"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3.7%</w:t>
            </w:r>
          </w:p>
        </w:tc>
        <w:tc>
          <w:tcPr>
            <w:tcW w:w="1176" w:type="dxa"/>
            <w:tcBorders>
              <w:right w:val="single" w:sz="18" w:space="0" w:color="auto"/>
            </w:tcBorders>
            <w:vAlign w:val="bottom"/>
          </w:tcPr>
          <w:p w14:paraId="277D421C"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7.9%</w:t>
            </w:r>
          </w:p>
        </w:tc>
      </w:tr>
      <w:tr w:rsidR="00C66E67" w14:paraId="3BF880B4" w14:textId="77777777" w:rsidTr="00296FEB">
        <w:tc>
          <w:tcPr>
            <w:tcW w:w="1514" w:type="dxa"/>
            <w:tcBorders>
              <w:right w:val="single" w:sz="18" w:space="0" w:color="auto"/>
            </w:tcBorders>
            <w:vAlign w:val="bottom"/>
          </w:tcPr>
          <w:p w14:paraId="2F140A0B" w14:textId="77777777" w:rsidR="00C66E67" w:rsidRDefault="00C66E67" w:rsidP="00EC104F">
            <w:pPr>
              <w:keepNext/>
              <w:keepLines/>
              <w:rPr>
                <w:rFonts w:ascii="Times New Roman" w:eastAsiaTheme="majorEastAsia" w:hAnsi="Times New Roman" w:cs="Times New Roman"/>
                <w:b/>
                <w:bCs/>
                <w:color w:val="404040" w:themeColor="text1" w:themeTint="BF"/>
                <w:sz w:val="20"/>
                <w:szCs w:val="20"/>
              </w:rPr>
            </w:pPr>
            <w:r w:rsidRPr="003268A0">
              <w:rPr>
                <w:rFonts w:ascii="Times New Roman" w:eastAsia="Times New Roman" w:hAnsi="Times New Roman" w:cs="Times New Roman"/>
                <w:b/>
                <w:bCs/>
                <w:color w:val="000000"/>
              </w:rPr>
              <w:t>50K to 100K</w:t>
            </w:r>
          </w:p>
        </w:tc>
        <w:tc>
          <w:tcPr>
            <w:tcW w:w="1176" w:type="dxa"/>
            <w:tcBorders>
              <w:left w:val="single" w:sz="18" w:space="0" w:color="auto"/>
            </w:tcBorders>
            <w:vAlign w:val="bottom"/>
          </w:tcPr>
          <w:p w14:paraId="2ED207E9"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9.2%</w:t>
            </w:r>
          </w:p>
        </w:tc>
        <w:tc>
          <w:tcPr>
            <w:tcW w:w="1230" w:type="dxa"/>
            <w:tcBorders>
              <w:right w:val="single" w:sz="18" w:space="0" w:color="auto"/>
            </w:tcBorders>
            <w:vAlign w:val="bottom"/>
          </w:tcPr>
          <w:p w14:paraId="4A864D29"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4.4%</w:t>
            </w:r>
          </w:p>
        </w:tc>
        <w:tc>
          <w:tcPr>
            <w:tcW w:w="1228" w:type="dxa"/>
            <w:tcBorders>
              <w:left w:val="single" w:sz="18" w:space="0" w:color="auto"/>
            </w:tcBorders>
            <w:vAlign w:val="bottom"/>
          </w:tcPr>
          <w:p w14:paraId="1D4AFDBB"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0.0%</w:t>
            </w:r>
          </w:p>
        </w:tc>
        <w:tc>
          <w:tcPr>
            <w:tcW w:w="1260" w:type="dxa"/>
            <w:tcBorders>
              <w:right w:val="triple" w:sz="6" w:space="0" w:color="auto"/>
            </w:tcBorders>
            <w:vAlign w:val="bottom"/>
          </w:tcPr>
          <w:p w14:paraId="60F4AE9F"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0.0%</w:t>
            </w:r>
          </w:p>
        </w:tc>
        <w:tc>
          <w:tcPr>
            <w:tcW w:w="1272" w:type="dxa"/>
            <w:tcBorders>
              <w:left w:val="triple" w:sz="6" w:space="0" w:color="auto"/>
            </w:tcBorders>
            <w:vAlign w:val="bottom"/>
          </w:tcPr>
          <w:p w14:paraId="25DBF2BD"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10.1%</w:t>
            </w:r>
          </w:p>
        </w:tc>
        <w:tc>
          <w:tcPr>
            <w:tcW w:w="1176" w:type="dxa"/>
            <w:tcBorders>
              <w:right w:val="single" w:sz="18" w:space="0" w:color="auto"/>
            </w:tcBorders>
            <w:vAlign w:val="bottom"/>
          </w:tcPr>
          <w:p w14:paraId="01FC027F"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6.1%</w:t>
            </w:r>
          </w:p>
        </w:tc>
      </w:tr>
      <w:tr w:rsidR="00C66E67" w14:paraId="655934E6" w14:textId="77777777" w:rsidTr="00296FEB">
        <w:tc>
          <w:tcPr>
            <w:tcW w:w="1514" w:type="dxa"/>
            <w:tcBorders>
              <w:right w:val="single" w:sz="18" w:space="0" w:color="auto"/>
            </w:tcBorders>
            <w:vAlign w:val="bottom"/>
          </w:tcPr>
          <w:p w14:paraId="476E4692" w14:textId="77777777" w:rsidR="00C66E67" w:rsidRDefault="00C66E67" w:rsidP="00EC104F">
            <w:pPr>
              <w:keepNext/>
              <w:keepLines/>
              <w:rPr>
                <w:rFonts w:ascii="Times New Roman" w:eastAsiaTheme="majorEastAsia" w:hAnsi="Times New Roman" w:cs="Times New Roman"/>
                <w:b/>
                <w:bCs/>
                <w:color w:val="404040" w:themeColor="text1" w:themeTint="BF"/>
                <w:sz w:val="20"/>
                <w:szCs w:val="20"/>
              </w:rPr>
            </w:pPr>
            <w:r w:rsidRPr="003268A0">
              <w:rPr>
                <w:rFonts w:ascii="Times New Roman" w:eastAsia="Times New Roman" w:hAnsi="Times New Roman" w:cs="Times New Roman"/>
                <w:b/>
                <w:bCs/>
                <w:color w:val="000000"/>
              </w:rPr>
              <w:t>25K to 50K</w:t>
            </w:r>
          </w:p>
        </w:tc>
        <w:tc>
          <w:tcPr>
            <w:tcW w:w="1176" w:type="dxa"/>
            <w:tcBorders>
              <w:left w:val="single" w:sz="18" w:space="0" w:color="auto"/>
            </w:tcBorders>
            <w:vAlign w:val="bottom"/>
          </w:tcPr>
          <w:p w14:paraId="6C961CF6"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11.0%</w:t>
            </w:r>
          </w:p>
        </w:tc>
        <w:tc>
          <w:tcPr>
            <w:tcW w:w="1230" w:type="dxa"/>
            <w:tcBorders>
              <w:right w:val="single" w:sz="18" w:space="0" w:color="auto"/>
            </w:tcBorders>
            <w:vAlign w:val="bottom"/>
          </w:tcPr>
          <w:p w14:paraId="55E205F9"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7.9%</w:t>
            </w:r>
          </w:p>
        </w:tc>
        <w:tc>
          <w:tcPr>
            <w:tcW w:w="1228" w:type="dxa"/>
            <w:tcBorders>
              <w:left w:val="single" w:sz="18" w:space="0" w:color="auto"/>
            </w:tcBorders>
            <w:vAlign w:val="bottom"/>
          </w:tcPr>
          <w:p w14:paraId="5B0BFDFE"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0.9%</w:t>
            </w:r>
          </w:p>
        </w:tc>
        <w:tc>
          <w:tcPr>
            <w:tcW w:w="1260" w:type="dxa"/>
            <w:tcBorders>
              <w:right w:val="triple" w:sz="6" w:space="0" w:color="auto"/>
            </w:tcBorders>
            <w:vAlign w:val="bottom"/>
          </w:tcPr>
          <w:p w14:paraId="761BDF9F"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0.9%</w:t>
            </w:r>
          </w:p>
        </w:tc>
        <w:tc>
          <w:tcPr>
            <w:tcW w:w="1272" w:type="dxa"/>
            <w:tcBorders>
              <w:left w:val="triple" w:sz="6" w:space="0" w:color="auto"/>
            </w:tcBorders>
            <w:vAlign w:val="bottom"/>
          </w:tcPr>
          <w:p w14:paraId="265EDB9D"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10.1%</w:t>
            </w:r>
          </w:p>
        </w:tc>
        <w:tc>
          <w:tcPr>
            <w:tcW w:w="1176" w:type="dxa"/>
            <w:tcBorders>
              <w:right w:val="single" w:sz="18" w:space="0" w:color="auto"/>
            </w:tcBorders>
            <w:vAlign w:val="bottom"/>
          </w:tcPr>
          <w:p w14:paraId="201BCB76"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8.8%</w:t>
            </w:r>
          </w:p>
        </w:tc>
      </w:tr>
      <w:tr w:rsidR="00C66E67" w14:paraId="758F05D1" w14:textId="77777777" w:rsidTr="00296FEB">
        <w:tc>
          <w:tcPr>
            <w:tcW w:w="1514" w:type="dxa"/>
            <w:tcBorders>
              <w:right w:val="single" w:sz="18" w:space="0" w:color="auto"/>
            </w:tcBorders>
            <w:vAlign w:val="bottom"/>
          </w:tcPr>
          <w:p w14:paraId="2A4F3CE3" w14:textId="77777777" w:rsidR="00C66E67" w:rsidRDefault="00C66E67" w:rsidP="00EC104F">
            <w:pPr>
              <w:keepNext/>
              <w:keepLines/>
              <w:rPr>
                <w:rFonts w:ascii="Times New Roman" w:eastAsiaTheme="majorEastAsia" w:hAnsi="Times New Roman" w:cs="Times New Roman"/>
                <w:b/>
                <w:bCs/>
                <w:color w:val="404040" w:themeColor="text1" w:themeTint="BF"/>
                <w:sz w:val="20"/>
                <w:szCs w:val="20"/>
              </w:rPr>
            </w:pPr>
            <w:r w:rsidRPr="003268A0">
              <w:rPr>
                <w:rFonts w:ascii="Times New Roman" w:eastAsia="Times New Roman" w:hAnsi="Times New Roman" w:cs="Times New Roman"/>
                <w:b/>
                <w:bCs/>
                <w:color w:val="000000"/>
              </w:rPr>
              <w:t>1 to 25K</w:t>
            </w:r>
          </w:p>
        </w:tc>
        <w:tc>
          <w:tcPr>
            <w:tcW w:w="1176" w:type="dxa"/>
            <w:tcBorders>
              <w:left w:val="single" w:sz="18" w:space="0" w:color="auto"/>
            </w:tcBorders>
            <w:vAlign w:val="bottom"/>
          </w:tcPr>
          <w:p w14:paraId="3CDFA86E"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16.5%</w:t>
            </w:r>
          </w:p>
        </w:tc>
        <w:tc>
          <w:tcPr>
            <w:tcW w:w="1230" w:type="dxa"/>
            <w:tcBorders>
              <w:right w:val="single" w:sz="18" w:space="0" w:color="auto"/>
            </w:tcBorders>
            <w:vAlign w:val="bottom"/>
          </w:tcPr>
          <w:p w14:paraId="6B4D673D"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18.4%</w:t>
            </w:r>
          </w:p>
        </w:tc>
        <w:tc>
          <w:tcPr>
            <w:tcW w:w="1228" w:type="dxa"/>
            <w:tcBorders>
              <w:left w:val="single" w:sz="18" w:space="0" w:color="auto"/>
            </w:tcBorders>
            <w:vAlign w:val="bottom"/>
          </w:tcPr>
          <w:p w14:paraId="137E82DA"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0.9%</w:t>
            </w:r>
          </w:p>
        </w:tc>
        <w:tc>
          <w:tcPr>
            <w:tcW w:w="1260" w:type="dxa"/>
            <w:tcBorders>
              <w:right w:val="triple" w:sz="6" w:space="0" w:color="auto"/>
            </w:tcBorders>
            <w:vAlign w:val="bottom"/>
          </w:tcPr>
          <w:p w14:paraId="776EAA0D"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2.6%</w:t>
            </w:r>
          </w:p>
        </w:tc>
        <w:tc>
          <w:tcPr>
            <w:tcW w:w="1272" w:type="dxa"/>
            <w:tcBorders>
              <w:left w:val="triple" w:sz="6" w:space="0" w:color="auto"/>
            </w:tcBorders>
            <w:vAlign w:val="bottom"/>
          </w:tcPr>
          <w:p w14:paraId="6B7EB226"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16.5%</w:t>
            </w:r>
          </w:p>
        </w:tc>
        <w:tc>
          <w:tcPr>
            <w:tcW w:w="1176" w:type="dxa"/>
            <w:tcBorders>
              <w:right w:val="single" w:sz="18" w:space="0" w:color="auto"/>
            </w:tcBorders>
            <w:vAlign w:val="bottom"/>
          </w:tcPr>
          <w:p w14:paraId="76855EB4"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20.2%</w:t>
            </w:r>
          </w:p>
        </w:tc>
      </w:tr>
      <w:tr w:rsidR="00C66E67" w14:paraId="0CDD85A5" w14:textId="77777777" w:rsidTr="00296FEB">
        <w:tc>
          <w:tcPr>
            <w:tcW w:w="1514" w:type="dxa"/>
            <w:tcBorders>
              <w:right w:val="single" w:sz="18" w:space="0" w:color="auto"/>
            </w:tcBorders>
            <w:vAlign w:val="bottom"/>
          </w:tcPr>
          <w:p w14:paraId="0ADF0875" w14:textId="77777777" w:rsidR="00C66E67" w:rsidRDefault="00C66E67" w:rsidP="00EC104F">
            <w:pPr>
              <w:keepNext/>
              <w:keepLines/>
              <w:rPr>
                <w:rFonts w:ascii="Times New Roman" w:eastAsiaTheme="majorEastAsia" w:hAnsi="Times New Roman" w:cs="Times New Roman"/>
                <w:b/>
                <w:bCs/>
                <w:color w:val="404040" w:themeColor="text1" w:themeTint="BF"/>
                <w:sz w:val="20"/>
                <w:szCs w:val="20"/>
              </w:rPr>
            </w:pPr>
            <w:r w:rsidRPr="003268A0">
              <w:rPr>
                <w:rFonts w:ascii="Times New Roman" w:eastAsia="Times New Roman" w:hAnsi="Times New Roman" w:cs="Times New Roman"/>
                <w:b/>
                <w:bCs/>
                <w:color w:val="000000"/>
              </w:rPr>
              <w:t>0</w:t>
            </w:r>
          </w:p>
        </w:tc>
        <w:tc>
          <w:tcPr>
            <w:tcW w:w="1176" w:type="dxa"/>
            <w:tcBorders>
              <w:left w:val="single" w:sz="18" w:space="0" w:color="auto"/>
            </w:tcBorders>
            <w:vAlign w:val="bottom"/>
          </w:tcPr>
          <w:p w14:paraId="295428C7"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Pr>
                <w:rFonts w:ascii="Times New Roman" w:eastAsia="Times New Roman" w:hAnsi="Times New Roman" w:cs="Times New Roman"/>
                <w:color w:val="000000"/>
              </w:rPr>
              <w:t>48.6</w:t>
            </w:r>
            <w:r w:rsidRPr="003268A0">
              <w:rPr>
                <w:rFonts w:ascii="Times New Roman" w:eastAsia="Times New Roman" w:hAnsi="Times New Roman" w:cs="Times New Roman"/>
                <w:color w:val="000000"/>
              </w:rPr>
              <w:t>%</w:t>
            </w:r>
          </w:p>
        </w:tc>
        <w:tc>
          <w:tcPr>
            <w:tcW w:w="1230" w:type="dxa"/>
            <w:tcBorders>
              <w:right w:val="single" w:sz="18" w:space="0" w:color="auto"/>
            </w:tcBorders>
            <w:vAlign w:val="bottom"/>
          </w:tcPr>
          <w:p w14:paraId="1CAD1D95"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48.2%</w:t>
            </w:r>
          </w:p>
        </w:tc>
        <w:tc>
          <w:tcPr>
            <w:tcW w:w="1228" w:type="dxa"/>
            <w:tcBorders>
              <w:left w:val="single" w:sz="18" w:space="0" w:color="auto"/>
            </w:tcBorders>
            <w:vAlign w:val="bottom"/>
          </w:tcPr>
          <w:p w14:paraId="385494F4"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Pr>
                <w:rFonts w:ascii="Times New Roman" w:eastAsia="Times New Roman" w:hAnsi="Times New Roman" w:cs="Times New Roman"/>
                <w:color w:val="000000"/>
              </w:rPr>
              <w:t>89.9</w:t>
            </w:r>
            <w:r w:rsidRPr="003268A0">
              <w:rPr>
                <w:rFonts w:ascii="Times New Roman" w:eastAsia="Times New Roman" w:hAnsi="Times New Roman" w:cs="Times New Roman"/>
                <w:color w:val="000000"/>
              </w:rPr>
              <w:t>%</w:t>
            </w:r>
          </w:p>
        </w:tc>
        <w:tc>
          <w:tcPr>
            <w:tcW w:w="1260" w:type="dxa"/>
            <w:tcBorders>
              <w:right w:val="triple" w:sz="6" w:space="0" w:color="auto"/>
            </w:tcBorders>
            <w:vAlign w:val="bottom"/>
          </w:tcPr>
          <w:p w14:paraId="1FE3147B"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91.2%</w:t>
            </w:r>
          </w:p>
        </w:tc>
        <w:tc>
          <w:tcPr>
            <w:tcW w:w="1272" w:type="dxa"/>
            <w:tcBorders>
              <w:left w:val="triple" w:sz="6" w:space="0" w:color="auto"/>
            </w:tcBorders>
            <w:vAlign w:val="bottom"/>
          </w:tcPr>
          <w:p w14:paraId="6595833B"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Pr>
                <w:rFonts w:ascii="Times New Roman" w:eastAsia="Times New Roman" w:hAnsi="Times New Roman" w:cs="Times New Roman"/>
                <w:color w:val="000000"/>
              </w:rPr>
              <w:t>48.6</w:t>
            </w:r>
            <w:r w:rsidRPr="003268A0">
              <w:rPr>
                <w:rFonts w:ascii="Times New Roman" w:eastAsia="Times New Roman" w:hAnsi="Times New Roman" w:cs="Times New Roman"/>
                <w:color w:val="000000"/>
              </w:rPr>
              <w:t>%</w:t>
            </w:r>
          </w:p>
        </w:tc>
        <w:tc>
          <w:tcPr>
            <w:tcW w:w="1176" w:type="dxa"/>
            <w:tcBorders>
              <w:right w:val="single" w:sz="18" w:space="0" w:color="auto"/>
            </w:tcBorders>
            <w:vAlign w:val="bottom"/>
          </w:tcPr>
          <w:p w14:paraId="33D85264"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43.0%</w:t>
            </w:r>
          </w:p>
        </w:tc>
      </w:tr>
      <w:tr w:rsidR="00C66E67" w14:paraId="380E0309" w14:textId="77777777" w:rsidTr="00296FEB">
        <w:tc>
          <w:tcPr>
            <w:tcW w:w="1514" w:type="dxa"/>
            <w:tcBorders>
              <w:bottom w:val="triple" w:sz="4" w:space="0" w:color="auto"/>
              <w:right w:val="single" w:sz="18" w:space="0" w:color="auto"/>
            </w:tcBorders>
            <w:vAlign w:val="bottom"/>
          </w:tcPr>
          <w:p w14:paraId="295CD113" w14:textId="77777777" w:rsidR="00C66E67" w:rsidRDefault="00C66E67" w:rsidP="00EC104F">
            <w:pPr>
              <w:keepNext/>
              <w:keepLines/>
              <w:rPr>
                <w:rFonts w:ascii="Times New Roman" w:eastAsiaTheme="majorEastAsia" w:hAnsi="Times New Roman" w:cs="Times New Roman"/>
                <w:b/>
                <w:bCs/>
                <w:color w:val="404040" w:themeColor="text1" w:themeTint="BF"/>
                <w:sz w:val="20"/>
                <w:szCs w:val="20"/>
              </w:rPr>
            </w:pPr>
            <w:r>
              <w:rPr>
                <w:rFonts w:ascii="Times New Roman" w:eastAsia="Times New Roman" w:hAnsi="Times New Roman" w:cs="Times New Roman"/>
                <w:b/>
                <w:bCs/>
                <w:color w:val="000000"/>
              </w:rPr>
              <w:t>N/A</w:t>
            </w:r>
          </w:p>
        </w:tc>
        <w:tc>
          <w:tcPr>
            <w:tcW w:w="1176" w:type="dxa"/>
            <w:tcBorders>
              <w:left w:val="single" w:sz="18" w:space="0" w:color="auto"/>
              <w:bottom w:val="triple" w:sz="4" w:space="0" w:color="auto"/>
            </w:tcBorders>
            <w:vAlign w:val="bottom"/>
          </w:tcPr>
          <w:p w14:paraId="68CDA057"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7.3%</w:t>
            </w:r>
          </w:p>
        </w:tc>
        <w:tc>
          <w:tcPr>
            <w:tcW w:w="1230" w:type="dxa"/>
            <w:tcBorders>
              <w:bottom w:val="triple" w:sz="4" w:space="0" w:color="auto"/>
              <w:right w:val="single" w:sz="18" w:space="0" w:color="auto"/>
            </w:tcBorders>
            <w:vAlign w:val="bottom"/>
          </w:tcPr>
          <w:p w14:paraId="338D0CA9"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4.4%</w:t>
            </w:r>
          </w:p>
        </w:tc>
        <w:tc>
          <w:tcPr>
            <w:tcW w:w="1228" w:type="dxa"/>
            <w:tcBorders>
              <w:left w:val="single" w:sz="18" w:space="0" w:color="auto"/>
              <w:bottom w:val="triple" w:sz="4" w:space="0" w:color="auto"/>
            </w:tcBorders>
            <w:vAlign w:val="bottom"/>
          </w:tcPr>
          <w:p w14:paraId="452B8E2E"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7.3%</w:t>
            </w:r>
          </w:p>
        </w:tc>
        <w:tc>
          <w:tcPr>
            <w:tcW w:w="1260" w:type="dxa"/>
            <w:tcBorders>
              <w:bottom w:val="triple" w:sz="4" w:space="0" w:color="auto"/>
              <w:right w:val="triple" w:sz="6" w:space="0" w:color="auto"/>
            </w:tcBorders>
            <w:vAlign w:val="bottom"/>
          </w:tcPr>
          <w:p w14:paraId="32FA4BEF"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4.4%</w:t>
            </w:r>
          </w:p>
        </w:tc>
        <w:tc>
          <w:tcPr>
            <w:tcW w:w="1272" w:type="dxa"/>
            <w:tcBorders>
              <w:left w:val="triple" w:sz="6" w:space="0" w:color="auto"/>
              <w:bottom w:val="triple" w:sz="4" w:space="0" w:color="auto"/>
            </w:tcBorders>
            <w:vAlign w:val="bottom"/>
          </w:tcPr>
          <w:p w14:paraId="473FE5C4"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9.2%</w:t>
            </w:r>
          </w:p>
        </w:tc>
        <w:tc>
          <w:tcPr>
            <w:tcW w:w="1176" w:type="dxa"/>
            <w:tcBorders>
              <w:bottom w:val="triple" w:sz="4" w:space="0" w:color="auto"/>
              <w:right w:val="single" w:sz="18" w:space="0" w:color="auto"/>
            </w:tcBorders>
            <w:vAlign w:val="bottom"/>
          </w:tcPr>
          <w:p w14:paraId="795E7727"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4.4%</w:t>
            </w:r>
          </w:p>
        </w:tc>
      </w:tr>
      <w:tr w:rsidR="00C66E67" w14:paraId="4D172276" w14:textId="77777777" w:rsidTr="00296FEB">
        <w:tc>
          <w:tcPr>
            <w:tcW w:w="1514" w:type="dxa"/>
            <w:tcBorders>
              <w:top w:val="triple" w:sz="4" w:space="0" w:color="auto"/>
              <w:bottom w:val="triple" w:sz="4" w:space="0" w:color="auto"/>
              <w:right w:val="single" w:sz="18" w:space="0" w:color="auto"/>
            </w:tcBorders>
            <w:vAlign w:val="bottom"/>
          </w:tcPr>
          <w:p w14:paraId="0C975174" w14:textId="77777777" w:rsidR="00C66E67" w:rsidRDefault="00C66E67" w:rsidP="00EC104F">
            <w:pPr>
              <w:keepNext/>
              <w:keepLines/>
              <w:rPr>
                <w:rFonts w:ascii="Times New Roman" w:eastAsiaTheme="majorEastAsia" w:hAnsi="Times New Roman" w:cs="Times New Roman"/>
                <w:b/>
                <w:bCs/>
                <w:color w:val="404040" w:themeColor="text1" w:themeTint="BF"/>
                <w:sz w:val="20"/>
                <w:szCs w:val="20"/>
              </w:rPr>
            </w:pPr>
            <w:r w:rsidRPr="003268A0">
              <w:rPr>
                <w:rFonts w:ascii="Times New Roman" w:eastAsia="Times New Roman" w:hAnsi="Times New Roman" w:cs="Times New Roman"/>
                <w:b/>
                <w:bCs/>
                <w:color w:val="000000"/>
              </w:rPr>
              <w:t>Max</w:t>
            </w:r>
            <w:r>
              <w:rPr>
                <w:rFonts w:ascii="Times New Roman" w:eastAsia="Times New Roman" w:hAnsi="Times New Roman" w:cs="Times New Roman"/>
                <w:b/>
                <w:bCs/>
                <w:color w:val="000000"/>
              </w:rPr>
              <w:t>imum</w:t>
            </w:r>
          </w:p>
        </w:tc>
        <w:tc>
          <w:tcPr>
            <w:tcW w:w="1176" w:type="dxa"/>
            <w:tcBorders>
              <w:top w:val="triple" w:sz="4" w:space="0" w:color="auto"/>
              <w:left w:val="single" w:sz="18" w:space="0" w:color="auto"/>
              <w:bottom w:val="triple" w:sz="4" w:space="0" w:color="auto"/>
            </w:tcBorders>
            <w:vAlign w:val="bottom"/>
          </w:tcPr>
          <w:p w14:paraId="241C992C"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1,063,692</w:t>
            </w:r>
          </w:p>
        </w:tc>
        <w:tc>
          <w:tcPr>
            <w:tcW w:w="1230" w:type="dxa"/>
            <w:tcBorders>
              <w:top w:val="triple" w:sz="4" w:space="0" w:color="auto"/>
              <w:bottom w:val="triple" w:sz="4" w:space="0" w:color="auto"/>
              <w:right w:val="single" w:sz="18" w:space="0" w:color="auto"/>
            </w:tcBorders>
            <w:vAlign w:val="bottom"/>
          </w:tcPr>
          <w:p w14:paraId="782CF224"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5,654,393</w:t>
            </w:r>
          </w:p>
        </w:tc>
        <w:tc>
          <w:tcPr>
            <w:tcW w:w="1228" w:type="dxa"/>
            <w:tcBorders>
              <w:top w:val="triple" w:sz="4" w:space="0" w:color="auto"/>
              <w:left w:val="single" w:sz="18" w:space="0" w:color="auto"/>
              <w:bottom w:val="triple" w:sz="4" w:space="0" w:color="auto"/>
            </w:tcBorders>
            <w:vAlign w:val="bottom"/>
          </w:tcPr>
          <w:p w14:paraId="6F524204"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139,500</w:t>
            </w:r>
          </w:p>
        </w:tc>
        <w:tc>
          <w:tcPr>
            <w:tcW w:w="1260" w:type="dxa"/>
            <w:tcBorders>
              <w:top w:val="triple" w:sz="4" w:space="0" w:color="auto"/>
              <w:bottom w:val="triple" w:sz="4" w:space="0" w:color="auto"/>
              <w:right w:val="triple" w:sz="6" w:space="0" w:color="auto"/>
            </w:tcBorders>
            <w:vAlign w:val="bottom"/>
          </w:tcPr>
          <w:p w14:paraId="41BB85DE"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498,260</w:t>
            </w:r>
          </w:p>
        </w:tc>
        <w:tc>
          <w:tcPr>
            <w:tcW w:w="1272" w:type="dxa"/>
            <w:tcBorders>
              <w:top w:val="triple" w:sz="4" w:space="0" w:color="auto"/>
              <w:left w:val="triple" w:sz="6" w:space="0" w:color="auto"/>
              <w:bottom w:val="triple" w:sz="4" w:space="0" w:color="auto"/>
            </w:tcBorders>
            <w:vAlign w:val="bottom"/>
          </w:tcPr>
          <w:p w14:paraId="520B7D93"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1,063,692</w:t>
            </w:r>
          </w:p>
        </w:tc>
        <w:tc>
          <w:tcPr>
            <w:tcW w:w="1176" w:type="dxa"/>
            <w:tcBorders>
              <w:top w:val="triple" w:sz="4" w:space="0" w:color="auto"/>
              <w:bottom w:val="triple" w:sz="4" w:space="0" w:color="auto"/>
              <w:right w:val="single" w:sz="18" w:space="0" w:color="auto"/>
            </w:tcBorders>
            <w:vAlign w:val="bottom"/>
          </w:tcPr>
          <w:p w14:paraId="1DDD47C5"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5,654,393</w:t>
            </w:r>
          </w:p>
        </w:tc>
      </w:tr>
      <w:tr w:rsidR="00C66E67" w14:paraId="425997DF" w14:textId="77777777" w:rsidTr="00296FEB">
        <w:tc>
          <w:tcPr>
            <w:tcW w:w="1514" w:type="dxa"/>
            <w:tcBorders>
              <w:top w:val="triple" w:sz="4" w:space="0" w:color="auto"/>
              <w:right w:val="single" w:sz="18" w:space="0" w:color="auto"/>
            </w:tcBorders>
            <w:vAlign w:val="bottom"/>
          </w:tcPr>
          <w:p w14:paraId="0B91F72A" w14:textId="77777777" w:rsidR="00C66E67" w:rsidRDefault="00C66E67" w:rsidP="00EC104F">
            <w:pPr>
              <w:keepNext/>
              <w:keepLines/>
              <w:rPr>
                <w:rFonts w:ascii="Times New Roman" w:eastAsiaTheme="majorEastAsia" w:hAnsi="Times New Roman" w:cs="Times New Roman"/>
                <w:b/>
                <w:bCs/>
                <w:color w:val="404040" w:themeColor="text1" w:themeTint="BF"/>
                <w:sz w:val="20"/>
                <w:szCs w:val="20"/>
              </w:rPr>
            </w:pPr>
            <w:r w:rsidRPr="003268A0">
              <w:rPr>
                <w:rFonts w:ascii="Times New Roman" w:eastAsia="Times New Roman" w:hAnsi="Times New Roman" w:cs="Times New Roman"/>
                <w:b/>
                <w:bCs/>
                <w:color w:val="000000"/>
              </w:rPr>
              <w:t>Av</w:t>
            </w:r>
            <w:r>
              <w:rPr>
                <w:rFonts w:ascii="Times New Roman" w:eastAsia="Times New Roman" w:hAnsi="Times New Roman" w:cs="Times New Roman"/>
                <w:b/>
                <w:bCs/>
                <w:color w:val="000000"/>
              </w:rPr>
              <w:t>era</w:t>
            </w:r>
            <w:r w:rsidRPr="003268A0">
              <w:rPr>
                <w:rFonts w:ascii="Times New Roman" w:eastAsia="Times New Roman" w:hAnsi="Times New Roman" w:cs="Times New Roman"/>
                <w:b/>
                <w:bCs/>
                <w:color w:val="000000"/>
              </w:rPr>
              <w:t>g</w:t>
            </w:r>
            <w:r>
              <w:rPr>
                <w:rFonts w:ascii="Times New Roman" w:eastAsia="Times New Roman" w:hAnsi="Times New Roman" w:cs="Times New Roman"/>
                <w:b/>
                <w:bCs/>
                <w:color w:val="000000"/>
              </w:rPr>
              <w:t>e</w:t>
            </w:r>
          </w:p>
        </w:tc>
        <w:tc>
          <w:tcPr>
            <w:tcW w:w="1176" w:type="dxa"/>
            <w:tcBorders>
              <w:top w:val="triple" w:sz="4" w:space="0" w:color="auto"/>
              <w:left w:val="single" w:sz="18" w:space="0" w:color="auto"/>
            </w:tcBorders>
            <w:vAlign w:val="bottom"/>
          </w:tcPr>
          <w:p w14:paraId="79C3C81E"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Pr>
                <w:rFonts w:ascii="Times New Roman" w:eastAsia="Times New Roman" w:hAnsi="Times New Roman" w:cs="Times New Roman"/>
                <w:color w:val="000000"/>
              </w:rPr>
              <w:t>41,872</w:t>
            </w:r>
          </w:p>
        </w:tc>
        <w:tc>
          <w:tcPr>
            <w:tcW w:w="1230" w:type="dxa"/>
            <w:tcBorders>
              <w:top w:val="triple" w:sz="4" w:space="0" w:color="auto"/>
              <w:right w:val="single" w:sz="18" w:space="0" w:color="auto"/>
            </w:tcBorders>
            <w:vAlign w:val="bottom"/>
          </w:tcPr>
          <w:p w14:paraId="66E11A23"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143,432</w:t>
            </w:r>
          </w:p>
        </w:tc>
        <w:tc>
          <w:tcPr>
            <w:tcW w:w="1228" w:type="dxa"/>
            <w:tcBorders>
              <w:top w:val="triple" w:sz="4" w:space="0" w:color="auto"/>
              <w:left w:val="single" w:sz="18" w:space="0" w:color="auto"/>
            </w:tcBorders>
            <w:vAlign w:val="bottom"/>
          </w:tcPr>
          <w:p w14:paraId="64B498A3"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Pr>
                <w:rFonts w:ascii="Times New Roman" w:eastAsia="Times New Roman" w:hAnsi="Times New Roman" w:cs="Times New Roman"/>
                <w:color w:val="000000"/>
              </w:rPr>
              <w:t>1,796</w:t>
            </w:r>
          </w:p>
        </w:tc>
        <w:tc>
          <w:tcPr>
            <w:tcW w:w="1260" w:type="dxa"/>
            <w:tcBorders>
              <w:top w:val="triple" w:sz="4" w:space="0" w:color="auto"/>
              <w:right w:val="triple" w:sz="6" w:space="0" w:color="auto"/>
            </w:tcBorders>
            <w:vAlign w:val="bottom"/>
          </w:tcPr>
          <w:p w14:paraId="7F50A2F1"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5,230</w:t>
            </w:r>
          </w:p>
        </w:tc>
        <w:tc>
          <w:tcPr>
            <w:tcW w:w="1272" w:type="dxa"/>
            <w:tcBorders>
              <w:top w:val="triple" w:sz="4" w:space="0" w:color="auto"/>
              <w:left w:val="triple" w:sz="6" w:space="0" w:color="auto"/>
            </w:tcBorders>
            <w:vAlign w:val="bottom"/>
          </w:tcPr>
          <w:p w14:paraId="5387EFCF"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Pr>
                <w:rFonts w:ascii="Times New Roman" w:eastAsia="Times New Roman" w:hAnsi="Times New Roman" w:cs="Times New Roman"/>
                <w:color w:val="000000"/>
              </w:rPr>
              <w:t>42,137</w:t>
            </w:r>
          </w:p>
        </w:tc>
        <w:tc>
          <w:tcPr>
            <w:tcW w:w="1176" w:type="dxa"/>
            <w:tcBorders>
              <w:top w:val="triple" w:sz="4" w:space="0" w:color="auto"/>
              <w:right w:val="single" w:sz="18" w:space="0" w:color="auto"/>
            </w:tcBorders>
            <w:vAlign w:val="bottom"/>
          </w:tcPr>
          <w:p w14:paraId="2107C692"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150,079</w:t>
            </w:r>
          </w:p>
        </w:tc>
      </w:tr>
      <w:tr w:rsidR="00C66E67" w14:paraId="1FF3A44F" w14:textId="77777777" w:rsidTr="00296FEB">
        <w:tc>
          <w:tcPr>
            <w:tcW w:w="1514" w:type="dxa"/>
            <w:tcBorders>
              <w:right w:val="single" w:sz="18" w:space="0" w:color="auto"/>
            </w:tcBorders>
            <w:vAlign w:val="bottom"/>
          </w:tcPr>
          <w:p w14:paraId="02240EC5" w14:textId="77777777" w:rsidR="00C66E67" w:rsidRDefault="00C66E67" w:rsidP="00EC104F">
            <w:pPr>
              <w:keepNext/>
              <w:keepLines/>
              <w:rPr>
                <w:rFonts w:ascii="Times New Roman" w:eastAsiaTheme="majorEastAsia" w:hAnsi="Times New Roman" w:cs="Times New Roman"/>
                <w:b/>
                <w:bCs/>
                <w:color w:val="404040" w:themeColor="text1" w:themeTint="BF"/>
                <w:sz w:val="20"/>
                <w:szCs w:val="20"/>
              </w:rPr>
            </w:pPr>
            <w:r>
              <w:rPr>
                <w:rFonts w:ascii="Times New Roman" w:eastAsia="Times New Roman" w:hAnsi="Times New Roman" w:cs="Times New Roman"/>
                <w:b/>
                <w:bCs/>
                <w:color w:val="000000"/>
              </w:rPr>
              <w:t>M</w:t>
            </w:r>
            <w:r w:rsidRPr="003268A0">
              <w:rPr>
                <w:rFonts w:ascii="Times New Roman" w:eastAsia="Times New Roman" w:hAnsi="Times New Roman" w:cs="Times New Roman"/>
                <w:b/>
                <w:bCs/>
                <w:color w:val="000000"/>
              </w:rPr>
              <w:t>edian</w:t>
            </w:r>
          </w:p>
        </w:tc>
        <w:tc>
          <w:tcPr>
            <w:tcW w:w="1176" w:type="dxa"/>
            <w:tcBorders>
              <w:left w:val="single" w:sz="18" w:space="0" w:color="auto"/>
            </w:tcBorders>
            <w:vAlign w:val="bottom"/>
          </w:tcPr>
          <w:p w14:paraId="3C575D5B"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Pr>
                <w:rFonts w:ascii="Times New Roman" w:eastAsia="Times New Roman" w:hAnsi="Times New Roman" w:cs="Times New Roman"/>
                <w:color w:val="000000"/>
              </w:rPr>
              <w:t>0</w:t>
            </w:r>
          </w:p>
        </w:tc>
        <w:tc>
          <w:tcPr>
            <w:tcW w:w="1230" w:type="dxa"/>
            <w:tcBorders>
              <w:right w:val="single" w:sz="18" w:space="0" w:color="auto"/>
            </w:tcBorders>
            <w:vAlign w:val="bottom"/>
          </w:tcPr>
          <w:p w14:paraId="7EA531F7"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0</w:t>
            </w:r>
          </w:p>
        </w:tc>
        <w:tc>
          <w:tcPr>
            <w:tcW w:w="1228" w:type="dxa"/>
            <w:tcBorders>
              <w:left w:val="single" w:sz="18" w:space="0" w:color="auto"/>
            </w:tcBorders>
            <w:vAlign w:val="bottom"/>
          </w:tcPr>
          <w:p w14:paraId="227AD3A2"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0</w:t>
            </w:r>
          </w:p>
        </w:tc>
        <w:tc>
          <w:tcPr>
            <w:tcW w:w="1260" w:type="dxa"/>
            <w:tcBorders>
              <w:right w:val="triple" w:sz="6" w:space="0" w:color="auto"/>
            </w:tcBorders>
            <w:vAlign w:val="bottom"/>
          </w:tcPr>
          <w:p w14:paraId="5D15ADEA"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0</w:t>
            </w:r>
          </w:p>
        </w:tc>
        <w:tc>
          <w:tcPr>
            <w:tcW w:w="1272" w:type="dxa"/>
            <w:tcBorders>
              <w:left w:val="triple" w:sz="6" w:space="0" w:color="auto"/>
            </w:tcBorders>
            <w:vAlign w:val="bottom"/>
          </w:tcPr>
          <w:p w14:paraId="23BDCF76"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Pr>
                <w:rFonts w:ascii="Times New Roman" w:eastAsia="Times New Roman" w:hAnsi="Times New Roman" w:cs="Times New Roman"/>
                <w:color w:val="000000"/>
              </w:rPr>
              <w:t>0</w:t>
            </w:r>
          </w:p>
        </w:tc>
        <w:tc>
          <w:tcPr>
            <w:tcW w:w="1176" w:type="dxa"/>
            <w:tcBorders>
              <w:right w:val="single" w:sz="18" w:space="0" w:color="auto"/>
            </w:tcBorders>
            <w:vAlign w:val="bottom"/>
          </w:tcPr>
          <w:p w14:paraId="43CCB975" w14:textId="77777777" w:rsidR="00C66E67" w:rsidRDefault="00C66E67" w:rsidP="00EC104F">
            <w:pPr>
              <w:keepNext/>
              <w:keepLines/>
              <w:jc w:val="right"/>
              <w:rPr>
                <w:rFonts w:ascii="Times New Roman" w:eastAsiaTheme="majorEastAsia" w:hAnsi="Times New Roman" w:cs="Times New Roman"/>
                <w:b/>
                <w:bCs/>
                <w:color w:val="4F81BD" w:themeColor="accent1"/>
                <w:sz w:val="26"/>
                <w:szCs w:val="26"/>
              </w:rPr>
            </w:pPr>
            <w:r w:rsidRPr="003268A0">
              <w:rPr>
                <w:rFonts w:ascii="Times New Roman" w:eastAsia="Times New Roman" w:hAnsi="Times New Roman" w:cs="Times New Roman"/>
                <w:color w:val="000000"/>
              </w:rPr>
              <w:t>2,500</w:t>
            </w:r>
          </w:p>
        </w:tc>
      </w:tr>
    </w:tbl>
    <w:p w14:paraId="60F32644" w14:textId="77777777" w:rsidR="00C66E67" w:rsidRDefault="00C66E67" w:rsidP="00C66E67">
      <w:pPr>
        <w:spacing w:line="480" w:lineRule="auto"/>
        <w:ind w:firstLine="720"/>
        <w:rPr>
          <w:rFonts w:ascii="Times New Roman" w:hAnsi="Times New Roman" w:cs="Times New Roman"/>
        </w:rPr>
      </w:pPr>
    </w:p>
    <w:p w14:paraId="4AD43567" w14:textId="60F11DA0" w:rsidR="008373AC" w:rsidRPr="00B026E4" w:rsidRDefault="008373AC" w:rsidP="00AC4305">
      <w:pPr>
        <w:spacing w:line="480" w:lineRule="auto"/>
        <w:rPr>
          <w:rFonts w:ascii="Times New Roman" w:hAnsi="Times New Roman" w:cs="Times New Roman"/>
          <w:i/>
        </w:rPr>
      </w:pPr>
      <w:r w:rsidRPr="003268A0">
        <w:rPr>
          <w:rFonts w:ascii="Times New Roman" w:hAnsi="Times New Roman" w:cs="Times New Roman"/>
        </w:rPr>
        <w:t xml:space="preserve">The results are striking. </w:t>
      </w:r>
      <w:r w:rsidR="00A77B21">
        <w:rPr>
          <w:rFonts w:ascii="Times New Roman" w:hAnsi="Times New Roman" w:cs="Times New Roman"/>
        </w:rPr>
        <w:t xml:space="preserve">Most of the debtors in the random samples reported little priority debt, apart from tax liabilities. </w:t>
      </w:r>
      <w:r w:rsidRPr="003268A0">
        <w:rPr>
          <w:rFonts w:ascii="Times New Roman" w:hAnsi="Times New Roman" w:cs="Times New Roman"/>
        </w:rPr>
        <w:t>While over half of the debtors listed tax obligations</w:t>
      </w:r>
      <w:r w:rsidR="00A77B21">
        <w:rPr>
          <w:rFonts w:ascii="Times New Roman" w:hAnsi="Times New Roman" w:cs="Times New Roman"/>
        </w:rPr>
        <w:t>, s</w:t>
      </w:r>
      <w:r w:rsidRPr="003268A0">
        <w:rPr>
          <w:rFonts w:ascii="Times New Roman" w:hAnsi="Times New Roman" w:cs="Times New Roman"/>
        </w:rPr>
        <w:t xml:space="preserve">ome debtors </w:t>
      </w:r>
      <w:r w:rsidR="00A77B21">
        <w:rPr>
          <w:rFonts w:ascii="Times New Roman" w:hAnsi="Times New Roman" w:cs="Times New Roman"/>
        </w:rPr>
        <w:t xml:space="preserve">reported those </w:t>
      </w:r>
      <w:r w:rsidRPr="003268A0">
        <w:rPr>
          <w:rFonts w:ascii="Times New Roman" w:hAnsi="Times New Roman" w:cs="Times New Roman"/>
        </w:rPr>
        <w:t>obligations as “notice only” or with a value of “un</w:t>
      </w:r>
      <w:r w:rsidR="00AC4305">
        <w:rPr>
          <w:rFonts w:ascii="Times New Roman" w:hAnsi="Times New Roman" w:cs="Times New Roman"/>
        </w:rPr>
        <w:t>known” or “0.” A</w:t>
      </w:r>
      <w:r w:rsidRPr="003268A0">
        <w:rPr>
          <w:rFonts w:ascii="Times New Roman" w:hAnsi="Times New Roman" w:cs="Times New Roman"/>
        </w:rPr>
        <w:t xml:space="preserve">bout 28% of the debtors in each year disclosed total priority tax debts </w:t>
      </w:r>
      <w:r w:rsidR="00717AF9">
        <w:rPr>
          <w:rFonts w:ascii="Times New Roman" w:hAnsi="Times New Roman" w:cs="Times New Roman"/>
        </w:rPr>
        <w:t>of $25,000 or more,</w:t>
      </w:r>
      <w:r w:rsidRPr="003268A0">
        <w:rPr>
          <w:rFonts w:ascii="Times New Roman" w:hAnsi="Times New Roman" w:cs="Times New Roman"/>
        </w:rPr>
        <w:t xml:space="preserve"> </w:t>
      </w:r>
      <w:r w:rsidR="00AC4305">
        <w:rPr>
          <w:rFonts w:ascii="Times New Roman" w:hAnsi="Times New Roman" w:cs="Times New Roman"/>
        </w:rPr>
        <w:t xml:space="preserve">however, </w:t>
      </w:r>
      <w:r w:rsidRPr="003268A0">
        <w:rPr>
          <w:rFonts w:ascii="Times New Roman" w:hAnsi="Times New Roman" w:cs="Times New Roman"/>
        </w:rPr>
        <w:t xml:space="preserve">and in 2013 more than </w:t>
      </w:r>
      <w:r>
        <w:rPr>
          <w:rFonts w:ascii="Times New Roman" w:hAnsi="Times New Roman" w:cs="Times New Roman"/>
        </w:rPr>
        <w:t>20%</w:t>
      </w:r>
      <w:r w:rsidRPr="003268A0">
        <w:rPr>
          <w:rFonts w:ascii="Times New Roman" w:hAnsi="Times New Roman" w:cs="Times New Roman"/>
        </w:rPr>
        <w:t xml:space="preserve"> disclosed tax debts </w:t>
      </w:r>
      <w:r w:rsidR="004D5CF2">
        <w:rPr>
          <w:rFonts w:ascii="Times New Roman" w:hAnsi="Times New Roman" w:cs="Times New Roman"/>
        </w:rPr>
        <w:t xml:space="preserve">of </w:t>
      </w:r>
      <w:r w:rsidRPr="003268A0">
        <w:rPr>
          <w:rFonts w:ascii="Times New Roman" w:hAnsi="Times New Roman" w:cs="Times New Roman"/>
        </w:rPr>
        <w:t>$50,000</w:t>
      </w:r>
      <w:r w:rsidR="004D5CF2">
        <w:rPr>
          <w:rFonts w:ascii="Times New Roman" w:hAnsi="Times New Roman" w:cs="Times New Roman"/>
        </w:rPr>
        <w:t xml:space="preserve"> or more</w:t>
      </w:r>
      <w:r w:rsidRPr="003268A0">
        <w:rPr>
          <w:rFonts w:ascii="Times New Roman" w:hAnsi="Times New Roman" w:cs="Times New Roman"/>
        </w:rPr>
        <w:t>.</w:t>
      </w:r>
    </w:p>
    <w:p w14:paraId="05C7531A" w14:textId="5EAD6AE9" w:rsidR="005A15D4" w:rsidRPr="0088040E" w:rsidRDefault="005A15D4" w:rsidP="005A15D4">
      <w:pPr>
        <w:spacing w:line="480" w:lineRule="auto"/>
        <w:rPr>
          <w:rFonts w:ascii="Times New Roman" w:hAnsi="Times New Roman" w:cs="Times New Roman"/>
          <w:i/>
        </w:rPr>
      </w:pPr>
      <w:r w:rsidRPr="0088040E">
        <w:rPr>
          <w:rFonts w:ascii="Times New Roman" w:hAnsi="Times New Roman" w:cs="Times New Roman"/>
          <w:i/>
        </w:rPr>
        <w:t>3.</w:t>
      </w:r>
      <w:r w:rsidRPr="0088040E">
        <w:rPr>
          <w:rFonts w:ascii="Times New Roman" w:hAnsi="Times New Roman" w:cs="Times New Roman"/>
          <w:i/>
        </w:rPr>
        <w:tab/>
        <w:t>Assets</w:t>
      </w:r>
    </w:p>
    <w:p w14:paraId="4ACBCAB6" w14:textId="7E255F09" w:rsidR="005A15D4" w:rsidRDefault="005A15D4" w:rsidP="005A15D4">
      <w:pPr>
        <w:spacing w:line="480" w:lineRule="auto"/>
        <w:ind w:firstLine="720"/>
        <w:rPr>
          <w:rFonts w:ascii="Times New Roman" w:hAnsi="Times New Roman" w:cs="Times New Roman"/>
        </w:rPr>
      </w:pPr>
      <w:r>
        <w:rPr>
          <w:rFonts w:ascii="Times New Roman" w:hAnsi="Times New Roman" w:cs="Times New Roman"/>
        </w:rPr>
        <w:t>The data in Table 3</w:t>
      </w:r>
      <w:r w:rsidR="00296FEB">
        <w:rPr>
          <w:rFonts w:ascii="Times New Roman" w:hAnsi="Times New Roman" w:cs="Times New Roman"/>
        </w:rPr>
        <w:t>4</w:t>
      </w:r>
      <w:r w:rsidR="00AC4305">
        <w:rPr>
          <w:rFonts w:ascii="Times New Roman" w:hAnsi="Times New Roman" w:cs="Times New Roman"/>
        </w:rPr>
        <w:t>,</w:t>
      </w:r>
      <w:r>
        <w:rPr>
          <w:rFonts w:ascii="Times New Roman" w:hAnsi="Times New Roman" w:cs="Times New Roman"/>
        </w:rPr>
        <w:t xml:space="preserve"> taken from the last-filed summary of schedules in the debtor</w:t>
      </w:r>
      <w:r w:rsidR="00CD0460">
        <w:rPr>
          <w:rFonts w:ascii="Times New Roman" w:hAnsi="Times New Roman" w:cs="Times New Roman"/>
        </w:rPr>
        <w:t>’</w:t>
      </w:r>
      <w:r>
        <w:rPr>
          <w:rFonts w:ascii="Times New Roman" w:hAnsi="Times New Roman" w:cs="Times New Roman"/>
        </w:rPr>
        <w:t xml:space="preserve">s </w:t>
      </w:r>
      <w:r w:rsidR="00AA091B">
        <w:rPr>
          <w:rFonts w:ascii="Times New Roman" w:hAnsi="Times New Roman" w:cs="Times New Roman"/>
        </w:rPr>
        <w:t>chapter</w:t>
      </w:r>
      <w:r>
        <w:rPr>
          <w:rFonts w:ascii="Times New Roman" w:hAnsi="Times New Roman" w:cs="Times New Roman"/>
        </w:rPr>
        <w:t xml:space="preserve"> 11 case, show that t</w:t>
      </w:r>
      <w:r w:rsidRPr="00995C17">
        <w:rPr>
          <w:rFonts w:ascii="Times New Roman" w:hAnsi="Times New Roman" w:cs="Times New Roman"/>
        </w:rPr>
        <w:t>he debtors in our sample h</w:t>
      </w:r>
      <w:r w:rsidR="004D5CF2">
        <w:rPr>
          <w:rFonts w:ascii="Times New Roman" w:hAnsi="Times New Roman" w:cs="Times New Roman"/>
        </w:rPr>
        <w:t>e</w:t>
      </w:r>
      <w:r w:rsidRPr="00995C17">
        <w:rPr>
          <w:rFonts w:ascii="Times New Roman" w:hAnsi="Times New Roman" w:cs="Times New Roman"/>
        </w:rPr>
        <w:t>ld substantial assets. The median value of assets in 2010 was $1,145,8</w:t>
      </w:r>
      <w:r w:rsidR="00CD0460">
        <w:rPr>
          <w:rFonts w:ascii="Times New Roman" w:hAnsi="Times New Roman" w:cs="Times New Roman"/>
        </w:rPr>
        <w:t>2</w:t>
      </w:r>
      <w:r w:rsidRPr="00995C17">
        <w:rPr>
          <w:rFonts w:ascii="Times New Roman" w:hAnsi="Times New Roman" w:cs="Times New Roman"/>
        </w:rPr>
        <w:t>0; in 2013</w:t>
      </w:r>
      <w:r>
        <w:rPr>
          <w:rFonts w:ascii="Times New Roman" w:hAnsi="Times New Roman" w:cs="Times New Roman"/>
        </w:rPr>
        <w:t xml:space="preserve">, </w:t>
      </w:r>
      <w:r w:rsidR="00AC4305">
        <w:rPr>
          <w:rFonts w:ascii="Times New Roman" w:hAnsi="Times New Roman" w:cs="Times New Roman"/>
        </w:rPr>
        <w:t>that</w:t>
      </w:r>
      <w:r>
        <w:rPr>
          <w:rFonts w:ascii="Times New Roman" w:hAnsi="Times New Roman" w:cs="Times New Roman"/>
        </w:rPr>
        <w:t xml:space="preserve"> figure </w:t>
      </w:r>
      <w:r w:rsidRPr="00995C17">
        <w:rPr>
          <w:rFonts w:ascii="Times New Roman" w:hAnsi="Times New Roman" w:cs="Times New Roman"/>
        </w:rPr>
        <w:t xml:space="preserve">fell </w:t>
      </w:r>
      <w:r>
        <w:rPr>
          <w:rFonts w:ascii="Times New Roman" w:hAnsi="Times New Roman" w:cs="Times New Roman"/>
        </w:rPr>
        <w:t xml:space="preserve">by </w:t>
      </w:r>
      <w:r w:rsidR="004D5CF2">
        <w:rPr>
          <w:rFonts w:ascii="Times New Roman" w:hAnsi="Times New Roman" w:cs="Times New Roman"/>
        </w:rPr>
        <w:t xml:space="preserve">28% </w:t>
      </w:r>
      <w:r w:rsidRPr="00995C17">
        <w:rPr>
          <w:rFonts w:ascii="Times New Roman" w:hAnsi="Times New Roman" w:cs="Times New Roman"/>
        </w:rPr>
        <w:t>to $8</w:t>
      </w:r>
      <w:r w:rsidR="003319EC">
        <w:rPr>
          <w:rFonts w:ascii="Times New Roman" w:hAnsi="Times New Roman" w:cs="Times New Roman"/>
        </w:rPr>
        <w:t>20,777</w:t>
      </w:r>
      <w:r w:rsidR="0088040E">
        <w:rPr>
          <w:rFonts w:ascii="Times New Roman" w:hAnsi="Times New Roman" w:cs="Times New Roman"/>
        </w:rPr>
        <w:t>.</w:t>
      </w:r>
      <w:r>
        <w:rPr>
          <w:rFonts w:ascii="Times New Roman" w:hAnsi="Times New Roman" w:cs="Times New Roman"/>
        </w:rPr>
        <w:t xml:space="preserve"> </w:t>
      </w:r>
      <w:r w:rsidRPr="00995C17">
        <w:rPr>
          <w:rFonts w:ascii="Times New Roman" w:hAnsi="Times New Roman" w:cs="Times New Roman"/>
        </w:rPr>
        <w:t>These medians</w:t>
      </w:r>
      <w:r w:rsidR="003319EC">
        <w:rPr>
          <w:rFonts w:ascii="Times New Roman" w:hAnsi="Times New Roman" w:cs="Times New Roman"/>
        </w:rPr>
        <w:t>, however,</w:t>
      </w:r>
      <w:r w:rsidRPr="00995C17">
        <w:rPr>
          <w:rFonts w:ascii="Times New Roman" w:hAnsi="Times New Roman" w:cs="Times New Roman"/>
        </w:rPr>
        <w:t xml:space="preserve"> hide a great deal of variance. One debtor in our sample disclosed more than </w:t>
      </w:r>
      <w:r>
        <w:rPr>
          <w:rFonts w:ascii="Times New Roman" w:hAnsi="Times New Roman" w:cs="Times New Roman"/>
        </w:rPr>
        <w:t>$66</w:t>
      </w:r>
      <w:r w:rsidRPr="00995C17">
        <w:rPr>
          <w:rFonts w:ascii="Times New Roman" w:hAnsi="Times New Roman" w:cs="Times New Roman"/>
        </w:rPr>
        <w:t xml:space="preserve"> million </w:t>
      </w:r>
      <w:r w:rsidR="003319EC">
        <w:rPr>
          <w:rFonts w:ascii="Times New Roman" w:hAnsi="Times New Roman" w:cs="Times New Roman"/>
        </w:rPr>
        <w:t>in</w:t>
      </w:r>
      <w:r w:rsidRPr="00995C17">
        <w:rPr>
          <w:rFonts w:ascii="Times New Roman" w:hAnsi="Times New Roman" w:cs="Times New Roman"/>
        </w:rPr>
        <w:t xml:space="preserve"> assets</w:t>
      </w:r>
      <w:r w:rsidR="00AC4305">
        <w:rPr>
          <w:rFonts w:ascii="Times New Roman" w:hAnsi="Times New Roman" w:cs="Times New Roman"/>
        </w:rPr>
        <w:t>, but</w:t>
      </w:r>
      <w:r w:rsidRPr="00995C17">
        <w:rPr>
          <w:rFonts w:ascii="Times New Roman" w:hAnsi="Times New Roman" w:cs="Times New Roman"/>
        </w:rPr>
        <w:t xml:space="preserve"> </w:t>
      </w:r>
      <w:r w:rsidR="003319EC">
        <w:rPr>
          <w:rFonts w:ascii="Times New Roman" w:hAnsi="Times New Roman" w:cs="Times New Roman"/>
        </w:rPr>
        <w:t>21</w:t>
      </w:r>
      <w:r w:rsidRPr="00995C17">
        <w:rPr>
          <w:rFonts w:ascii="Times New Roman" w:hAnsi="Times New Roman" w:cs="Times New Roman"/>
        </w:rPr>
        <w:t>% and 2</w:t>
      </w:r>
      <w:r w:rsidR="003319EC">
        <w:rPr>
          <w:rFonts w:ascii="Times New Roman" w:hAnsi="Times New Roman" w:cs="Times New Roman"/>
        </w:rPr>
        <w:t>5</w:t>
      </w:r>
      <w:r w:rsidRPr="00995C17">
        <w:rPr>
          <w:rFonts w:ascii="Times New Roman" w:hAnsi="Times New Roman" w:cs="Times New Roman"/>
        </w:rPr>
        <w:t xml:space="preserve">% of our debtors </w:t>
      </w:r>
      <w:r w:rsidR="003319EC">
        <w:rPr>
          <w:rFonts w:ascii="Times New Roman" w:hAnsi="Times New Roman" w:cs="Times New Roman"/>
        </w:rPr>
        <w:t xml:space="preserve">in 2010 and 2013, respectively, </w:t>
      </w:r>
      <w:r w:rsidR="007C64BB">
        <w:rPr>
          <w:rFonts w:ascii="Times New Roman" w:hAnsi="Times New Roman" w:cs="Times New Roman"/>
        </w:rPr>
        <w:t>disclosed</w:t>
      </w:r>
      <w:r w:rsidRPr="00995C17">
        <w:rPr>
          <w:rFonts w:ascii="Times New Roman" w:hAnsi="Times New Roman" w:cs="Times New Roman"/>
        </w:rPr>
        <w:t xml:space="preserve"> less than $500,000 in total assets.</w:t>
      </w:r>
    </w:p>
    <w:p w14:paraId="69D6125F" w14:textId="56A11DA0" w:rsidR="00C66E67" w:rsidRPr="00995C17" w:rsidRDefault="00C66E67" w:rsidP="00A1037E">
      <w:pPr>
        <w:keepNext/>
        <w:keepLines/>
        <w:spacing w:line="480" w:lineRule="auto"/>
        <w:ind w:firstLine="720"/>
        <w:jc w:val="center"/>
        <w:rPr>
          <w:rFonts w:ascii="Times New Roman" w:hAnsi="Times New Roman" w:cs="Times New Roman"/>
          <w:b/>
        </w:rPr>
      </w:pPr>
      <w:r w:rsidRPr="00995C17">
        <w:rPr>
          <w:rFonts w:ascii="Times New Roman" w:hAnsi="Times New Roman" w:cs="Times New Roman"/>
          <w:b/>
        </w:rPr>
        <w:t>Table 3</w:t>
      </w:r>
      <w:r w:rsidR="00296FEB">
        <w:rPr>
          <w:rFonts w:ascii="Times New Roman" w:hAnsi="Times New Roman" w:cs="Times New Roman"/>
          <w:b/>
        </w:rPr>
        <w:t>4</w:t>
      </w:r>
      <w:r w:rsidRPr="00995C17">
        <w:rPr>
          <w:rFonts w:ascii="Times New Roman" w:hAnsi="Times New Roman" w:cs="Times New Roman"/>
          <w:b/>
        </w:rPr>
        <w:t>: Assets from Summary of Schedules</w:t>
      </w:r>
    </w:p>
    <w:tbl>
      <w:tblPr>
        <w:tblStyle w:val="TableGrid"/>
        <w:tblW w:w="9198" w:type="dxa"/>
        <w:tblLayout w:type="fixed"/>
        <w:tblLook w:val="04A0" w:firstRow="1" w:lastRow="0" w:firstColumn="1" w:lastColumn="0" w:noHBand="0" w:noVBand="1"/>
      </w:tblPr>
      <w:tblGrid>
        <w:gridCol w:w="1638"/>
        <w:gridCol w:w="1260"/>
        <w:gridCol w:w="1260"/>
        <w:gridCol w:w="1260"/>
        <w:gridCol w:w="1260"/>
        <w:gridCol w:w="1260"/>
        <w:gridCol w:w="1260"/>
      </w:tblGrid>
      <w:tr w:rsidR="00C66E67" w:rsidRPr="00296FEB" w14:paraId="34A38457" w14:textId="77777777" w:rsidTr="00717AF9">
        <w:trPr>
          <w:trHeight w:val="300"/>
        </w:trPr>
        <w:tc>
          <w:tcPr>
            <w:tcW w:w="1638" w:type="dxa"/>
            <w:vMerge w:val="restart"/>
            <w:tcBorders>
              <w:top w:val="nil"/>
              <w:left w:val="nil"/>
              <w:right w:val="single" w:sz="18" w:space="0" w:color="auto"/>
            </w:tcBorders>
            <w:noWrap/>
            <w:hideMark/>
          </w:tcPr>
          <w:p w14:paraId="548BC3B7" w14:textId="77777777" w:rsidR="00C66E67" w:rsidRPr="00995C17" w:rsidRDefault="00C66E67" w:rsidP="00A1037E">
            <w:pPr>
              <w:keepNext/>
              <w:keepLines/>
              <w:rPr>
                <w:rFonts w:ascii="Times New Roman" w:eastAsia="Times New Roman" w:hAnsi="Times New Roman" w:cs="Times New Roman"/>
                <w:color w:val="000000"/>
              </w:rPr>
            </w:pPr>
          </w:p>
        </w:tc>
        <w:tc>
          <w:tcPr>
            <w:tcW w:w="2520" w:type="dxa"/>
            <w:gridSpan w:val="2"/>
            <w:tcBorders>
              <w:top w:val="single" w:sz="18" w:space="0" w:color="auto"/>
              <w:left w:val="single" w:sz="18" w:space="0" w:color="auto"/>
              <w:bottom w:val="single" w:sz="18" w:space="0" w:color="auto"/>
              <w:right w:val="single" w:sz="18" w:space="0" w:color="auto"/>
            </w:tcBorders>
            <w:noWrap/>
            <w:hideMark/>
          </w:tcPr>
          <w:p w14:paraId="10E03154" w14:textId="77777777" w:rsidR="00C66E67" w:rsidRPr="00296FEB" w:rsidRDefault="00C66E67" w:rsidP="00A1037E">
            <w:pPr>
              <w:keepNext/>
              <w:keepLines/>
              <w:jc w:val="center"/>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b/>
                <w:bCs/>
                <w:color w:val="000000"/>
                <w:sz w:val="22"/>
                <w:szCs w:val="22"/>
              </w:rPr>
              <w:t>Real Property</w:t>
            </w:r>
          </w:p>
        </w:tc>
        <w:tc>
          <w:tcPr>
            <w:tcW w:w="2520" w:type="dxa"/>
            <w:gridSpan w:val="2"/>
            <w:tcBorders>
              <w:top w:val="single" w:sz="18" w:space="0" w:color="auto"/>
              <w:left w:val="single" w:sz="18" w:space="0" w:color="auto"/>
              <w:bottom w:val="single" w:sz="18" w:space="0" w:color="auto"/>
              <w:right w:val="single" w:sz="18" w:space="0" w:color="auto"/>
            </w:tcBorders>
            <w:noWrap/>
            <w:hideMark/>
          </w:tcPr>
          <w:p w14:paraId="03D121EF" w14:textId="77777777" w:rsidR="00C66E67" w:rsidRPr="00296FEB" w:rsidRDefault="00C66E67" w:rsidP="00A1037E">
            <w:pPr>
              <w:keepNext/>
              <w:keepLines/>
              <w:jc w:val="center"/>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b/>
                <w:bCs/>
                <w:color w:val="000000"/>
                <w:sz w:val="22"/>
                <w:szCs w:val="22"/>
              </w:rPr>
              <w:t>Personal Property</w:t>
            </w:r>
          </w:p>
        </w:tc>
        <w:tc>
          <w:tcPr>
            <w:tcW w:w="2520" w:type="dxa"/>
            <w:gridSpan w:val="2"/>
            <w:tcBorders>
              <w:top w:val="single" w:sz="18" w:space="0" w:color="auto"/>
              <w:left w:val="single" w:sz="18" w:space="0" w:color="auto"/>
              <w:bottom w:val="single" w:sz="18" w:space="0" w:color="auto"/>
              <w:right w:val="single" w:sz="18" w:space="0" w:color="auto"/>
            </w:tcBorders>
            <w:noWrap/>
            <w:hideMark/>
          </w:tcPr>
          <w:p w14:paraId="090F8D11" w14:textId="77777777" w:rsidR="00C66E67" w:rsidRPr="00296FEB" w:rsidRDefault="00C66E67" w:rsidP="00A1037E">
            <w:pPr>
              <w:keepNext/>
              <w:keepLines/>
              <w:jc w:val="center"/>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b/>
                <w:bCs/>
                <w:color w:val="000000"/>
                <w:sz w:val="22"/>
                <w:szCs w:val="22"/>
              </w:rPr>
              <w:t>Total Assets</w:t>
            </w:r>
          </w:p>
        </w:tc>
      </w:tr>
      <w:tr w:rsidR="009629EF" w:rsidRPr="00296FEB" w14:paraId="30AAB312" w14:textId="77777777" w:rsidTr="009629EF">
        <w:trPr>
          <w:trHeight w:val="300"/>
        </w:trPr>
        <w:tc>
          <w:tcPr>
            <w:tcW w:w="1638" w:type="dxa"/>
            <w:vMerge/>
            <w:tcBorders>
              <w:left w:val="nil"/>
              <w:bottom w:val="single" w:sz="12" w:space="0" w:color="auto"/>
              <w:right w:val="single" w:sz="18" w:space="0" w:color="auto"/>
            </w:tcBorders>
            <w:noWrap/>
            <w:hideMark/>
          </w:tcPr>
          <w:p w14:paraId="0018DC2B" w14:textId="77777777" w:rsidR="00C66E67" w:rsidRPr="00995C17" w:rsidRDefault="00C66E67" w:rsidP="00A1037E">
            <w:pPr>
              <w:keepNext/>
              <w:keepLines/>
              <w:rPr>
                <w:rFonts w:ascii="Times New Roman" w:eastAsia="Times New Roman" w:hAnsi="Times New Roman" w:cs="Times New Roman"/>
                <w:color w:val="000000"/>
              </w:rPr>
            </w:pPr>
          </w:p>
        </w:tc>
        <w:tc>
          <w:tcPr>
            <w:tcW w:w="1260" w:type="dxa"/>
            <w:tcBorders>
              <w:top w:val="single" w:sz="18" w:space="0" w:color="auto"/>
              <w:left w:val="single" w:sz="18" w:space="0" w:color="auto"/>
              <w:bottom w:val="single" w:sz="18" w:space="0" w:color="auto"/>
            </w:tcBorders>
            <w:noWrap/>
            <w:hideMark/>
          </w:tcPr>
          <w:p w14:paraId="54C319F0"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b/>
                <w:bCs/>
                <w:color w:val="000000"/>
                <w:sz w:val="22"/>
                <w:szCs w:val="22"/>
              </w:rPr>
              <w:t>2010</w:t>
            </w:r>
          </w:p>
        </w:tc>
        <w:tc>
          <w:tcPr>
            <w:tcW w:w="1260" w:type="dxa"/>
            <w:tcBorders>
              <w:top w:val="single" w:sz="18" w:space="0" w:color="auto"/>
              <w:bottom w:val="single" w:sz="18" w:space="0" w:color="auto"/>
              <w:right w:val="single" w:sz="18" w:space="0" w:color="auto"/>
            </w:tcBorders>
            <w:noWrap/>
            <w:hideMark/>
          </w:tcPr>
          <w:p w14:paraId="5BC6EE7E"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b/>
                <w:bCs/>
                <w:color w:val="000000"/>
                <w:sz w:val="22"/>
                <w:szCs w:val="22"/>
              </w:rPr>
              <w:t>2013</w:t>
            </w:r>
          </w:p>
        </w:tc>
        <w:tc>
          <w:tcPr>
            <w:tcW w:w="1260" w:type="dxa"/>
            <w:tcBorders>
              <w:top w:val="single" w:sz="18" w:space="0" w:color="auto"/>
              <w:left w:val="single" w:sz="18" w:space="0" w:color="auto"/>
              <w:bottom w:val="single" w:sz="18" w:space="0" w:color="auto"/>
            </w:tcBorders>
            <w:noWrap/>
            <w:hideMark/>
          </w:tcPr>
          <w:p w14:paraId="79B84B3C"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b/>
                <w:bCs/>
                <w:color w:val="000000"/>
                <w:sz w:val="22"/>
                <w:szCs w:val="22"/>
              </w:rPr>
              <w:t>2010</w:t>
            </w:r>
          </w:p>
        </w:tc>
        <w:tc>
          <w:tcPr>
            <w:tcW w:w="1260" w:type="dxa"/>
            <w:tcBorders>
              <w:top w:val="single" w:sz="18" w:space="0" w:color="auto"/>
              <w:bottom w:val="single" w:sz="18" w:space="0" w:color="auto"/>
              <w:right w:val="single" w:sz="18" w:space="0" w:color="auto"/>
            </w:tcBorders>
            <w:noWrap/>
            <w:hideMark/>
          </w:tcPr>
          <w:p w14:paraId="2E2B397B"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b/>
                <w:bCs/>
                <w:color w:val="000000"/>
                <w:sz w:val="22"/>
                <w:szCs w:val="22"/>
              </w:rPr>
              <w:t>2013</w:t>
            </w:r>
          </w:p>
        </w:tc>
        <w:tc>
          <w:tcPr>
            <w:tcW w:w="1260" w:type="dxa"/>
            <w:tcBorders>
              <w:top w:val="single" w:sz="18" w:space="0" w:color="auto"/>
              <w:left w:val="single" w:sz="18" w:space="0" w:color="auto"/>
              <w:bottom w:val="single" w:sz="18" w:space="0" w:color="auto"/>
            </w:tcBorders>
            <w:noWrap/>
            <w:hideMark/>
          </w:tcPr>
          <w:p w14:paraId="4B48E0C0"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b/>
                <w:bCs/>
                <w:color w:val="000000"/>
                <w:sz w:val="22"/>
                <w:szCs w:val="22"/>
              </w:rPr>
              <w:t>2010</w:t>
            </w:r>
          </w:p>
        </w:tc>
        <w:tc>
          <w:tcPr>
            <w:tcW w:w="1260" w:type="dxa"/>
            <w:tcBorders>
              <w:top w:val="single" w:sz="18" w:space="0" w:color="auto"/>
              <w:bottom w:val="single" w:sz="18" w:space="0" w:color="auto"/>
              <w:right w:val="single" w:sz="18" w:space="0" w:color="auto"/>
            </w:tcBorders>
            <w:noWrap/>
            <w:hideMark/>
          </w:tcPr>
          <w:p w14:paraId="45E30103"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b/>
                <w:bCs/>
                <w:color w:val="000000"/>
                <w:sz w:val="22"/>
                <w:szCs w:val="22"/>
              </w:rPr>
              <w:t>2013</w:t>
            </w:r>
          </w:p>
        </w:tc>
      </w:tr>
      <w:tr w:rsidR="00C66E67" w:rsidRPr="00296FEB" w14:paraId="0AC3F671" w14:textId="77777777" w:rsidTr="00717AF9">
        <w:trPr>
          <w:trHeight w:val="300"/>
        </w:trPr>
        <w:tc>
          <w:tcPr>
            <w:tcW w:w="1638" w:type="dxa"/>
            <w:tcBorders>
              <w:top w:val="single" w:sz="12" w:space="0" w:color="auto"/>
              <w:right w:val="single" w:sz="18" w:space="0" w:color="auto"/>
            </w:tcBorders>
            <w:noWrap/>
            <w:hideMark/>
          </w:tcPr>
          <w:p w14:paraId="1FA4915B" w14:textId="77777777" w:rsidR="00C66E67" w:rsidRPr="00296FEB" w:rsidRDefault="00C66E67" w:rsidP="00A1037E">
            <w:pPr>
              <w:keepNext/>
              <w:keepLines/>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b/>
                <w:bCs/>
                <w:color w:val="000000"/>
                <w:sz w:val="22"/>
                <w:szCs w:val="22"/>
              </w:rPr>
              <w:t>Over $10M</w:t>
            </w:r>
          </w:p>
        </w:tc>
        <w:tc>
          <w:tcPr>
            <w:tcW w:w="1260" w:type="dxa"/>
            <w:tcBorders>
              <w:top w:val="single" w:sz="18" w:space="0" w:color="auto"/>
              <w:left w:val="single" w:sz="18" w:space="0" w:color="auto"/>
            </w:tcBorders>
            <w:noWrap/>
            <w:hideMark/>
          </w:tcPr>
          <w:p w14:paraId="07692568"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1.8%</w:t>
            </w:r>
          </w:p>
        </w:tc>
        <w:tc>
          <w:tcPr>
            <w:tcW w:w="1260" w:type="dxa"/>
            <w:tcBorders>
              <w:top w:val="single" w:sz="18" w:space="0" w:color="auto"/>
              <w:right w:val="single" w:sz="18" w:space="0" w:color="auto"/>
            </w:tcBorders>
            <w:noWrap/>
            <w:hideMark/>
          </w:tcPr>
          <w:p w14:paraId="67CCB5FC"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0.9%</w:t>
            </w:r>
          </w:p>
        </w:tc>
        <w:tc>
          <w:tcPr>
            <w:tcW w:w="1260" w:type="dxa"/>
            <w:tcBorders>
              <w:top w:val="single" w:sz="18" w:space="0" w:color="auto"/>
              <w:left w:val="single" w:sz="18" w:space="0" w:color="auto"/>
            </w:tcBorders>
            <w:noWrap/>
            <w:hideMark/>
          </w:tcPr>
          <w:p w14:paraId="336E6F05"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3.7%</w:t>
            </w:r>
          </w:p>
        </w:tc>
        <w:tc>
          <w:tcPr>
            <w:tcW w:w="1260" w:type="dxa"/>
            <w:tcBorders>
              <w:top w:val="single" w:sz="18" w:space="0" w:color="auto"/>
              <w:right w:val="single" w:sz="18" w:space="0" w:color="auto"/>
            </w:tcBorders>
            <w:noWrap/>
            <w:hideMark/>
          </w:tcPr>
          <w:p w14:paraId="2EA5F0ED"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0.9%</w:t>
            </w:r>
          </w:p>
        </w:tc>
        <w:tc>
          <w:tcPr>
            <w:tcW w:w="1260" w:type="dxa"/>
            <w:tcBorders>
              <w:top w:val="single" w:sz="18" w:space="0" w:color="auto"/>
              <w:left w:val="single" w:sz="18" w:space="0" w:color="auto"/>
            </w:tcBorders>
            <w:noWrap/>
            <w:hideMark/>
          </w:tcPr>
          <w:p w14:paraId="2F189355"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5.5%</w:t>
            </w:r>
          </w:p>
        </w:tc>
        <w:tc>
          <w:tcPr>
            <w:tcW w:w="1260" w:type="dxa"/>
            <w:tcBorders>
              <w:top w:val="single" w:sz="18" w:space="0" w:color="auto"/>
              <w:right w:val="single" w:sz="18" w:space="0" w:color="auto"/>
            </w:tcBorders>
            <w:noWrap/>
            <w:hideMark/>
          </w:tcPr>
          <w:p w14:paraId="5CD8F88C"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1.8%</w:t>
            </w:r>
          </w:p>
        </w:tc>
      </w:tr>
      <w:tr w:rsidR="00C66E67" w:rsidRPr="00296FEB" w14:paraId="59615AB7" w14:textId="77777777" w:rsidTr="00717AF9">
        <w:trPr>
          <w:trHeight w:val="300"/>
        </w:trPr>
        <w:tc>
          <w:tcPr>
            <w:tcW w:w="1638" w:type="dxa"/>
            <w:tcBorders>
              <w:right w:val="single" w:sz="18" w:space="0" w:color="auto"/>
            </w:tcBorders>
            <w:noWrap/>
            <w:hideMark/>
          </w:tcPr>
          <w:p w14:paraId="1AD20FE4" w14:textId="77777777" w:rsidR="00C66E67" w:rsidRPr="00296FEB" w:rsidRDefault="00C66E67" w:rsidP="00A1037E">
            <w:pPr>
              <w:keepNext/>
              <w:keepLines/>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b/>
                <w:bCs/>
                <w:color w:val="000000"/>
                <w:sz w:val="22"/>
                <w:szCs w:val="22"/>
              </w:rPr>
              <w:t>$5M to $10M</w:t>
            </w:r>
          </w:p>
        </w:tc>
        <w:tc>
          <w:tcPr>
            <w:tcW w:w="1260" w:type="dxa"/>
            <w:tcBorders>
              <w:left w:val="single" w:sz="18" w:space="0" w:color="auto"/>
            </w:tcBorders>
            <w:noWrap/>
            <w:hideMark/>
          </w:tcPr>
          <w:p w14:paraId="07B85235"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6.4%</w:t>
            </w:r>
          </w:p>
        </w:tc>
        <w:tc>
          <w:tcPr>
            <w:tcW w:w="1260" w:type="dxa"/>
            <w:tcBorders>
              <w:right w:val="single" w:sz="18" w:space="0" w:color="auto"/>
            </w:tcBorders>
            <w:noWrap/>
            <w:hideMark/>
          </w:tcPr>
          <w:p w14:paraId="45366D75"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2.6%</w:t>
            </w:r>
          </w:p>
        </w:tc>
        <w:tc>
          <w:tcPr>
            <w:tcW w:w="1260" w:type="dxa"/>
            <w:tcBorders>
              <w:left w:val="single" w:sz="18" w:space="0" w:color="auto"/>
            </w:tcBorders>
            <w:noWrap/>
            <w:hideMark/>
          </w:tcPr>
          <w:p w14:paraId="5411EFCE"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0.9%</w:t>
            </w:r>
          </w:p>
        </w:tc>
        <w:tc>
          <w:tcPr>
            <w:tcW w:w="1260" w:type="dxa"/>
            <w:tcBorders>
              <w:right w:val="single" w:sz="18" w:space="0" w:color="auto"/>
            </w:tcBorders>
            <w:noWrap/>
            <w:hideMark/>
          </w:tcPr>
          <w:p w14:paraId="4F29848E"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0.0%</w:t>
            </w:r>
          </w:p>
        </w:tc>
        <w:tc>
          <w:tcPr>
            <w:tcW w:w="1260" w:type="dxa"/>
            <w:tcBorders>
              <w:left w:val="single" w:sz="18" w:space="0" w:color="auto"/>
            </w:tcBorders>
            <w:noWrap/>
            <w:hideMark/>
          </w:tcPr>
          <w:p w14:paraId="06CF29CF"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7.3%</w:t>
            </w:r>
          </w:p>
        </w:tc>
        <w:tc>
          <w:tcPr>
            <w:tcW w:w="1260" w:type="dxa"/>
            <w:tcBorders>
              <w:right w:val="single" w:sz="18" w:space="0" w:color="auto"/>
            </w:tcBorders>
            <w:noWrap/>
            <w:hideMark/>
          </w:tcPr>
          <w:p w14:paraId="5483A518"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3.5%</w:t>
            </w:r>
          </w:p>
        </w:tc>
      </w:tr>
      <w:tr w:rsidR="00C66E67" w:rsidRPr="00296FEB" w14:paraId="03301D5E" w14:textId="77777777" w:rsidTr="00717AF9">
        <w:trPr>
          <w:trHeight w:val="300"/>
        </w:trPr>
        <w:tc>
          <w:tcPr>
            <w:tcW w:w="1638" w:type="dxa"/>
            <w:tcBorders>
              <w:right w:val="single" w:sz="18" w:space="0" w:color="auto"/>
            </w:tcBorders>
            <w:noWrap/>
            <w:hideMark/>
          </w:tcPr>
          <w:p w14:paraId="06E205E3" w14:textId="77777777" w:rsidR="00C66E67" w:rsidRPr="00296FEB" w:rsidRDefault="00C66E67" w:rsidP="00A1037E">
            <w:pPr>
              <w:keepNext/>
              <w:keepLines/>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b/>
                <w:bCs/>
                <w:color w:val="000000"/>
                <w:sz w:val="22"/>
                <w:szCs w:val="22"/>
              </w:rPr>
              <w:t>$2.5M to $5M</w:t>
            </w:r>
          </w:p>
        </w:tc>
        <w:tc>
          <w:tcPr>
            <w:tcW w:w="1260" w:type="dxa"/>
            <w:tcBorders>
              <w:left w:val="single" w:sz="18" w:space="0" w:color="auto"/>
            </w:tcBorders>
            <w:noWrap/>
            <w:hideMark/>
          </w:tcPr>
          <w:p w14:paraId="28087C0E"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8.3%</w:t>
            </w:r>
          </w:p>
        </w:tc>
        <w:tc>
          <w:tcPr>
            <w:tcW w:w="1260" w:type="dxa"/>
            <w:tcBorders>
              <w:right w:val="single" w:sz="18" w:space="0" w:color="auto"/>
            </w:tcBorders>
            <w:noWrap/>
            <w:hideMark/>
          </w:tcPr>
          <w:p w14:paraId="688BED77"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3.5%</w:t>
            </w:r>
          </w:p>
        </w:tc>
        <w:tc>
          <w:tcPr>
            <w:tcW w:w="1260" w:type="dxa"/>
            <w:tcBorders>
              <w:left w:val="single" w:sz="18" w:space="0" w:color="auto"/>
            </w:tcBorders>
            <w:noWrap/>
            <w:hideMark/>
          </w:tcPr>
          <w:p w14:paraId="5B21D9E7"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0.9%</w:t>
            </w:r>
          </w:p>
        </w:tc>
        <w:tc>
          <w:tcPr>
            <w:tcW w:w="1260" w:type="dxa"/>
            <w:tcBorders>
              <w:right w:val="single" w:sz="18" w:space="0" w:color="auto"/>
            </w:tcBorders>
            <w:noWrap/>
            <w:hideMark/>
          </w:tcPr>
          <w:p w14:paraId="3CB14D6F"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1.8%</w:t>
            </w:r>
          </w:p>
        </w:tc>
        <w:tc>
          <w:tcPr>
            <w:tcW w:w="1260" w:type="dxa"/>
            <w:tcBorders>
              <w:left w:val="single" w:sz="18" w:space="0" w:color="auto"/>
            </w:tcBorders>
            <w:noWrap/>
            <w:hideMark/>
          </w:tcPr>
          <w:p w14:paraId="78F45EFB"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11.0%</w:t>
            </w:r>
          </w:p>
        </w:tc>
        <w:tc>
          <w:tcPr>
            <w:tcW w:w="1260" w:type="dxa"/>
            <w:tcBorders>
              <w:right w:val="single" w:sz="18" w:space="0" w:color="auto"/>
            </w:tcBorders>
            <w:noWrap/>
            <w:hideMark/>
          </w:tcPr>
          <w:p w14:paraId="51ECC436"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4.4%</w:t>
            </w:r>
          </w:p>
        </w:tc>
      </w:tr>
      <w:tr w:rsidR="00C66E67" w:rsidRPr="00296FEB" w14:paraId="51A3F586" w14:textId="77777777" w:rsidTr="00717AF9">
        <w:trPr>
          <w:trHeight w:val="300"/>
        </w:trPr>
        <w:tc>
          <w:tcPr>
            <w:tcW w:w="1638" w:type="dxa"/>
            <w:tcBorders>
              <w:right w:val="single" w:sz="18" w:space="0" w:color="auto"/>
            </w:tcBorders>
            <w:noWrap/>
            <w:hideMark/>
          </w:tcPr>
          <w:p w14:paraId="67E35924" w14:textId="77777777" w:rsidR="00C66E67" w:rsidRPr="00296FEB" w:rsidRDefault="00C66E67" w:rsidP="00A1037E">
            <w:pPr>
              <w:keepNext/>
              <w:keepLines/>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b/>
                <w:bCs/>
                <w:color w:val="000000"/>
                <w:sz w:val="22"/>
                <w:szCs w:val="22"/>
              </w:rPr>
              <w:t>$1M to $2.5M</w:t>
            </w:r>
          </w:p>
        </w:tc>
        <w:tc>
          <w:tcPr>
            <w:tcW w:w="1260" w:type="dxa"/>
            <w:tcBorders>
              <w:left w:val="single" w:sz="18" w:space="0" w:color="auto"/>
            </w:tcBorders>
            <w:noWrap/>
            <w:hideMark/>
          </w:tcPr>
          <w:p w14:paraId="17DFAA8D"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26.6%</w:t>
            </w:r>
          </w:p>
        </w:tc>
        <w:tc>
          <w:tcPr>
            <w:tcW w:w="1260" w:type="dxa"/>
            <w:tcBorders>
              <w:right w:val="single" w:sz="18" w:space="0" w:color="auto"/>
            </w:tcBorders>
            <w:noWrap/>
            <w:hideMark/>
          </w:tcPr>
          <w:p w14:paraId="7A9E9FFC"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19.3%</w:t>
            </w:r>
          </w:p>
        </w:tc>
        <w:tc>
          <w:tcPr>
            <w:tcW w:w="1260" w:type="dxa"/>
            <w:tcBorders>
              <w:left w:val="single" w:sz="18" w:space="0" w:color="auto"/>
            </w:tcBorders>
            <w:noWrap/>
            <w:hideMark/>
          </w:tcPr>
          <w:p w14:paraId="326C92AA"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5.5%</w:t>
            </w:r>
          </w:p>
        </w:tc>
        <w:tc>
          <w:tcPr>
            <w:tcW w:w="1260" w:type="dxa"/>
            <w:tcBorders>
              <w:right w:val="single" w:sz="18" w:space="0" w:color="auto"/>
            </w:tcBorders>
            <w:noWrap/>
            <w:hideMark/>
          </w:tcPr>
          <w:p w14:paraId="0A435103"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5.3%</w:t>
            </w:r>
          </w:p>
        </w:tc>
        <w:tc>
          <w:tcPr>
            <w:tcW w:w="1260" w:type="dxa"/>
            <w:tcBorders>
              <w:left w:val="single" w:sz="18" w:space="0" w:color="auto"/>
            </w:tcBorders>
            <w:noWrap/>
            <w:hideMark/>
          </w:tcPr>
          <w:p w14:paraId="53879DFB"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28.4%</w:t>
            </w:r>
          </w:p>
        </w:tc>
        <w:tc>
          <w:tcPr>
            <w:tcW w:w="1260" w:type="dxa"/>
            <w:tcBorders>
              <w:right w:val="single" w:sz="18" w:space="0" w:color="auto"/>
            </w:tcBorders>
            <w:noWrap/>
            <w:hideMark/>
          </w:tcPr>
          <w:p w14:paraId="14C48160"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28.1%</w:t>
            </w:r>
          </w:p>
        </w:tc>
      </w:tr>
      <w:tr w:rsidR="00C66E67" w:rsidRPr="00296FEB" w14:paraId="5E4AC83C" w14:textId="77777777" w:rsidTr="00717AF9">
        <w:trPr>
          <w:trHeight w:val="300"/>
        </w:trPr>
        <w:tc>
          <w:tcPr>
            <w:tcW w:w="1638" w:type="dxa"/>
            <w:tcBorders>
              <w:right w:val="single" w:sz="18" w:space="0" w:color="auto"/>
            </w:tcBorders>
            <w:noWrap/>
            <w:hideMark/>
          </w:tcPr>
          <w:p w14:paraId="1A0EF19F" w14:textId="77777777" w:rsidR="00C66E67" w:rsidRPr="00296FEB" w:rsidRDefault="00C66E67" w:rsidP="00A1037E">
            <w:pPr>
              <w:keepNext/>
              <w:keepLines/>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b/>
                <w:bCs/>
                <w:color w:val="000000"/>
                <w:sz w:val="22"/>
                <w:szCs w:val="22"/>
              </w:rPr>
              <w:t>$500K to $1M</w:t>
            </w:r>
          </w:p>
        </w:tc>
        <w:tc>
          <w:tcPr>
            <w:tcW w:w="1260" w:type="dxa"/>
            <w:tcBorders>
              <w:left w:val="single" w:sz="18" w:space="0" w:color="auto"/>
            </w:tcBorders>
            <w:noWrap/>
            <w:hideMark/>
          </w:tcPr>
          <w:p w14:paraId="4A580F5E"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20.2%</w:t>
            </w:r>
          </w:p>
        </w:tc>
        <w:tc>
          <w:tcPr>
            <w:tcW w:w="1260" w:type="dxa"/>
            <w:tcBorders>
              <w:right w:val="single" w:sz="18" w:space="0" w:color="auto"/>
            </w:tcBorders>
            <w:noWrap/>
            <w:hideMark/>
          </w:tcPr>
          <w:p w14:paraId="2F52623D"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31.6%</w:t>
            </w:r>
          </w:p>
        </w:tc>
        <w:tc>
          <w:tcPr>
            <w:tcW w:w="1260" w:type="dxa"/>
            <w:tcBorders>
              <w:left w:val="single" w:sz="18" w:space="0" w:color="auto"/>
            </w:tcBorders>
            <w:noWrap/>
            <w:hideMark/>
          </w:tcPr>
          <w:p w14:paraId="068F96E1"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6.4%</w:t>
            </w:r>
          </w:p>
        </w:tc>
        <w:tc>
          <w:tcPr>
            <w:tcW w:w="1260" w:type="dxa"/>
            <w:tcBorders>
              <w:right w:val="single" w:sz="18" w:space="0" w:color="auto"/>
            </w:tcBorders>
            <w:noWrap/>
            <w:hideMark/>
          </w:tcPr>
          <w:p w14:paraId="4D9BEB9C"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4.4%</w:t>
            </w:r>
          </w:p>
        </w:tc>
        <w:tc>
          <w:tcPr>
            <w:tcW w:w="1260" w:type="dxa"/>
            <w:tcBorders>
              <w:left w:val="single" w:sz="18" w:space="0" w:color="auto"/>
            </w:tcBorders>
            <w:noWrap/>
            <w:hideMark/>
          </w:tcPr>
          <w:p w14:paraId="71AAB083"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20.2%</w:t>
            </w:r>
          </w:p>
        </w:tc>
        <w:tc>
          <w:tcPr>
            <w:tcW w:w="1260" w:type="dxa"/>
            <w:tcBorders>
              <w:right w:val="single" w:sz="18" w:space="0" w:color="auto"/>
            </w:tcBorders>
            <w:noWrap/>
            <w:hideMark/>
          </w:tcPr>
          <w:p w14:paraId="3C42808F"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30.7%</w:t>
            </w:r>
          </w:p>
        </w:tc>
      </w:tr>
      <w:tr w:rsidR="00C66E67" w:rsidRPr="00296FEB" w14:paraId="19728029" w14:textId="77777777" w:rsidTr="00717AF9">
        <w:trPr>
          <w:trHeight w:val="300"/>
        </w:trPr>
        <w:tc>
          <w:tcPr>
            <w:tcW w:w="1638" w:type="dxa"/>
            <w:tcBorders>
              <w:right w:val="single" w:sz="18" w:space="0" w:color="auto"/>
            </w:tcBorders>
            <w:noWrap/>
            <w:hideMark/>
          </w:tcPr>
          <w:p w14:paraId="75F0A147" w14:textId="77777777" w:rsidR="00C66E67" w:rsidRPr="00296FEB" w:rsidRDefault="00C66E67" w:rsidP="00A1037E">
            <w:pPr>
              <w:keepNext/>
              <w:keepLines/>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b/>
                <w:bCs/>
                <w:color w:val="000000"/>
                <w:sz w:val="22"/>
                <w:szCs w:val="22"/>
              </w:rPr>
              <w:t>$1 to $500K</w:t>
            </w:r>
          </w:p>
        </w:tc>
        <w:tc>
          <w:tcPr>
            <w:tcW w:w="1260" w:type="dxa"/>
            <w:tcBorders>
              <w:left w:val="single" w:sz="18" w:space="0" w:color="auto"/>
            </w:tcBorders>
            <w:noWrap/>
            <w:hideMark/>
          </w:tcPr>
          <w:p w14:paraId="2B6807D2"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21.1%</w:t>
            </w:r>
          </w:p>
        </w:tc>
        <w:tc>
          <w:tcPr>
            <w:tcW w:w="1260" w:type="dxa"/>
            <w:tcBorders>
              <w:right w:val="single" w:sz="18" w:space="0" w:color="auto"/>
            </w:tcBorders>
            <w:noWrap/>
            <w:hideMark/>
          </w:tcPr>
          <w:p w14:paraId="5100D3D6"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29.8%</w:t>
            </w:r>
          </w:p>
        </w:tc>
        <w:tc>
          <w:tcPr>
            <w:tcW w:w="1260" w:type="dxa"/>
            <w:tcBorders>
              <w:left w:val="single" w:sz="18" w:space="0" w:color="auto"/>
            </w:tcBorders>
            <w:noWrap/>
            <w:hideMark/>
          </w:tcPr>
          <w:p w14:paraId="27CB9CB3"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75.2%</w:t>
            </w:r>
          </w:p>
        </w:tc>
        <w:tc>
          <w:tcPr>
            <w:tcW w:w="1260" w:type="dxa"/>
            <w:tcBorders>
              <w:right w:val="single" w:sz="18" w:space="0" w:color="auto"/>
            </w:tcBorders>
            <w:noWrap/>
            <w:hideMark/>
          </w:tcPr>
          <w:p w14:paraId="49473E57"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81.6%</w:t>
            </w:r>
          </w:p>
        </w:tc>
        <w:tc>
          <w:tcPr>
            <w:tcW w:w="1260" w:type="dxa"/>
            <w:tcBorders>
              <w:left w:val="single" w:sz="18" w:space="0" w:color="auto"/>
            </w:tcBorders>
            <w:noWrap/>
            <w:hideMark/>
          </w:tcPr>
          <w:p w14:paraId="4D2F7C1A"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18.3%</w:t>
            </w:r>
          </w:p>
        </w:tc>
        <w:tc>
          <w:tcPr>
            <w:tcW w:w="1260" w:type="dxa"/>
            <w:tcBorders>
              <w:right w:val="single" w:sz="18" w:space="0" w:color="auto"/>
            </w:tcBorders>
            <w:noWrap/>
            <w:hideMark/>
          </w:tcPr>
          <w:p w14:paraId="31B8CBE3"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25.4%</w:t>
            </w:r>
          </w:p>
        </w:tc>
      </w:tr>
      <w:tr w:rsidR="00C66E67" w:rsidRPr="00296FEB" w14:paraId="40CE5320" w14:textId="77777777" w:rsidTr="00717AF9">
        <w:trPr>
          <w:trHeight w:val="300"/>
        </w:trPr>
        <w:tc>
          <w:tcPr>
            <w:tcW w:w="1638" w:type="dxa"/>
            <w:tcBorders>
              <w:right w:val="single" w:sz="18" w:space="0" w:color="auto"/>
            </w:tcBorders>
            <w:noWrap/>
            <w:hideMark/>
          </w:tcPr>
          <w:p w14:paraId="58AB5D50" w14:textId="77777777" w:rsidR="00C66E67" w:rsidRPr="00296FEB" w:rsidRDefault="00C66E67" w:rsidP="00A1037E">
            <w:pPr>
              <w:keepNext/>
              <w:keepLines/>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b/>
                <w:bCs/>
                <w:color w:val="000000"/>
                <w:sz w:val="22"/>
                <w:szCs w:val="22"/>
              </w:rPr>
              <w:t>0</w:t>
            </w:r>
          </w:p>
        </w:tc>
        <w:tc>
          <w:tcPr>
            <w:tcW w:w="1260" w:type="dxa"/>
            <w:tcBorders>
              <w:left w:val="single" w:sz="18" w:space="0" w:color="auto"/>
            </w:tcBorders>
            <w:noWrap/>
            <w:hideMark/>
          </w:tcPr>
          <w:p w14:paraId="4127BDA6"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9.2%</w:t>
            </w:r>
          </w:p>
        </w:tc>
        <w:tc>
          <w:tcPr>
            <w:tcW w:w="1260" w:type="dxa"/>
            <w:tcBorders>
              <w:right w:val="single" w:sz="18" w:space="0" w:color="auto"/>
            </w:tcBorders>
            <w:noWrap/>
            <w:hideMark/>
          </w:tcPr>
          <w:p w14:paraId="2CA35F40"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6.1%</w:t>
            </w:r>
          </w:p>
        </w:tc>
        <w:tc>
          <w:tcPr>
            <w:tcW w:w="1260" w:type="dxa"/>
            <w:tcBorders>
              <w:left w:val="single" w:sz="18" w:space="0" w:color="auto"/>
            </w:tcBorders>
            <w:noWrap/>
            <w:hideMark/>
          </w:tcPr>
          <w:p w14:paraId="1289DAD7"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0.9%</w:t>
            </w:r>
          </w:p>
        </w:tc>
        <w:tc>
          <w:tcPr>
            <w:tcW w:w="1260" w:type="dxa"/>
            <w:tcBorders>
              <w:right w:val="single" w:sz="18" w:space="0" w:color="auto"/>
            </w:tcBorders>
            <w:noWrap/>
            <w:hideMark/>
          </w:tcPr>
          <w:p w14:paraId="4D9D339C"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0.0%</w:t>
            </w:r>
          </w:p>
        </w:tc>
        <w:tc>
          <w:tcPr>
            <w:tcW w:w="1260" w:type="dxa"/>
            <w:tcBorders>
              <w:left w:val="single" w:sz="18" w:space="0" w:color="auto"/>
            </w:tcBorders>
            <w:noWrap/>
            <w:hideMark/>
          </w:tcPr>
          <w:p w14:paraId="22D1C8C8"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2.8%</w:t>
            </w:r>
          </w:p>
        </w:tc>
        <w:tc>
          <w:tcPr>
            <w:tcW w:w="1260" w:type="dxa"/>
            <w:tcBorders>
              <w:right w:val="single" w:sz="18" w:space="0" w:color="auto"/>
            </w:tcBorders>
            <w:noWrap/>
            <w:hideMark/>
          </w:tcPr>
          <w:p w14:paraId="651063B7"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0.0%</w:t>
            </w:r>
          </w:p>
        </w:tc>
      </w:tr>
      <w:tr w:rsidR="00C66E67" w:rsidRPr="00296FEB" w14:paraId="2497BC2A" w14:textId="77777777" w:rsidTr="00717AF9">
        <w:trPr>
          <w:trHeight w:val="300"/>
        </w:trPr>
        <w:tc>
          <w:tcPr>
            <w:tcW w:w="1638" w:type="dxa"/>
            <w:tcBorders>
              <w:bottom w:val="triple" w:sz="4" w:space="0" w:color="auto"/>
              <w:right w:val="single" w:sz="18" w:space="0" w:color="auto"/>
            </w:tcBorders>
            <w:noWrap/>
            <w:hideMark/>
          </w:tcPr>
          <w:p w14:paraId="4657BED4" w14:textId="77777777" w:rsidR="00C66E67" w:rsidRPr="00296FEB" w:rsidRDefault="00C66E67" w:rsidP="00A1037E">
            <w:pPr>
              <w:keepNext/>
              <w:keepLines/>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b/>
                <w:bCs/>
                <w:color w:val="000000"/>
                <w:sz w:val="22"/>
                <w:szCs w:val="22"/>
              </w:rPr>
              <w:t>N/A</w:t>
            </w:r>
          </w:p>
        </w:tc>
        <w:tc>
          <w:tcPr>
            <w:tcW w:w="1260" w:type="dxa"/>
            <w:tcBorders>
              <w:left w:val="single" w:sz="18" w:space="0" w:color="auto"/>
              <w:bottom w:val="triple" w:sz="4" w:space="0" w:color="auto"/>
            </w:tcBorders>
            <w:noWrap/>
            <w:hideMark/>
          </w:tcPr>
          <w:p w14:paraId="2F409A71"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6.4%</w:t>
            </w:r>
          </w:p>
        </w:tc>
        <w:tc>
          <w:tcPr>
            <w:tcW w:w="1260" w:type="dxa"/>
            <w:tcBorders>
              <w:bottom w:val="triple" w:sz="4" w:space="0" w:color="auto"/>
              <w:right w:val="single" w:sz="18" w:space="0" w:color="auto"/>
            </w:tcBorders>
            <w:noWrap/>
            <w:hideMark/>
          </w:tcPr>
          <w:p w14:paraId="5C71A935"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6.1%</w:t>
            </w:r>
          </w:p>
        </w:tc>
        <w:tc>
          <w:tcPr>
            <w:tcW w:w="1260" w:type="dxa"/>
            <w:tcBorders>
              <w:left w:val="single" w:sz="18" w:space="0" w:color="auto"/>
              <w:bottom w:val="triple" w:sz="4" w:space="0" w:color="auto"/>
            </w:tcBorders>
            <w:noWrap/>
            <w:hideMark/>
          </w:tcPr>
          <w:p w14:paraId="0F752D06"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6.4%</w:t>
            </w:r>
          </w:p>
        </w:tc>
        <w:tc>
          <w:tcPr>
            <w:tcW w:w="1260" w:type="dxa"/>
            <w:tcBorders>
              <w:bottom w:val="triple" w:sz="4" w:space="0" w:color="auto"/>
              <w:right w:val="single" w:sz="18" w:space="0" w:color="auto"/>
            </w:tcBorders>
            <w:noWrap/>
            <w:hideMark/>
          </w:tcPr>
          <w:p w14:paraId="1D4CFFB2"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6.1%</w:t>
            </w:r>
          </w:p>
        </w:tc>
        <w:tc>
          <w:tcPr>
            <w:tcW w:w="1260" w:type="dxa"/>
            <w:tcBorders>
              <w:left w:val="single" w:sz="18" w:space="0" w:color="auto"/>
              <w:bottom w:val="triple" w:sz="4" w:space="0" w:color="auto"/>
            </w:tcBorders>
            <w:noWrap/>
            <w:hideMark/>
          </w:tcPr>
          <w:p w14:paraId="2DFA1234"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6.4%</w:t>
            </w:r>
          </w:p>
        </w:tc>
        <w:tc>
          <w:tcPr>
            <w:tcW w:w="1260" w:type="dxa"/>
            <w:tcBorders>
              <w:bottom w:val="triple" w:sz="4" w:space="0" w:color="auto"/>
              <w:right w:val="single" w:sz="18" w:space="0" w:color="auto"/>
            </w:tcBorders>
            <w:noWrap/>
            <w:hideMark/>
          </w:tcPr>
          <w:p w14:paraId="6D9913C1"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6.1%</w:t>
            </w:r>
          </w:p>
        </w:tc>
      </w:tr>
      <w:tr w:rsidR="00C66E67" w:rsidRPr="00296FEB" w14:paraId="10C68293" w14:textId="77777777" w:rsidTr="00717AF9">
        <w:trPr>
          <w:trHeight w:val="37"/>
        </w:trPr>
        <w:tc>
          <w:tcPr>
            <w:tcW w:w="1638" w:type="dxa"/>
            <w:tcBorders>
              <w:top w:val="triple" w:sz="4" w:space="0" w:color="auto"/>
              <w:bottom w:val="triple" w:sz="4" w:space="0" w:color="auto"/>
              <w:right w:val="single" w:sz="18" w:space="0" w:color="auto"/>
            </w:tcBorders>
            <w:noWrap/>
            <w:hideMark/>
          </w:tcPr>
          <w:p w14:paraId="6C1A6435" w14:textId="77777777" w:rsidR="00C66E67" w:rsidRPr="00296FEB" w:rsidRDefault="00C66E67" w:rsidP="00A1037E">
            <w:pPr>
              <w:keepNext/>
              <w:keepLines/>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b/>
                <w:bCs/>
                <w:color w:val="000000"/>
                <w:sz w:val="22"/>
                <w:szCs w:val="22"/>
              </w:rPr>
              <w:t>Maximum</w:t>
            </w:r>
          </w:p>
        </w:tc>
        <w:tc>
          <w:tcPr>
            <w:tcW w:w="1260" w:type="dxa"/>
            <w:tcBorders>
              <w:top w:val="triple" w:sz="4" w:space="0" w:color="auto"/>
              <w:left w:val="single" w:sz="18" w:space="0" w:color="auto"/>
              <w:bottom w:val="triple" w:sz="4" w:space="0" w:color="auto"/>
            </w:tcBorders>
            <w:noWrap/>
            <w:hideMark/>
          </w:tcPr>
          <w:p w14:paraId="4B8333FF"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66,647,000</w:t>
            </w:r>
          </w:p>
        </w:tc>
        <w:tc>
          <w:tcPr>
            <w:tcW w:w="1260" w:type="dxa"/>
            <w:tcBorders>
              <w:top w:val="triple" w:sz="4" w:space="0" w:color="auto"/>
              <w:bottom w:val="triple" w:sz="4" w:space="0" w:color="auto"/>
              <w:right w:val="single" w:sz="18" w:space="0" w:color="auto"/>
            </w:tcBorders>
            <w:noWrap/>
            <w:hideMark/>
          </w:tcPr>
          <w:p w14:paraId="036EA976"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11,250,000</w:t>
            </w:r>
          </w:p>
        </w:tc>
        <w:tc>
          <w:tcPr>
            <w:tcW w:w="1260" w:type="dxa"/>
            <w:tcBorders>
              <w:top w:val="triple" w:sz="4" w:space="0" w:color="auto"/>
              <w:left w:val="single" w:sz="18" w:space="0" w:color="auto"/>
              <w:bottom w:val="triple" w:sz="4" w:space="0" w:color="auto"/>
            </w:tcBorders>
            <w:noWrap/>
            <w:hideMark/>
          </w:tcPr>
          <w:p w14:paraId="4767D5F4"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43,246,837</w:t>
            </w:r>
          </w:p>
        </w:tc>
        <w:tc>
          <w:tcPr>
            <w:tcW w:w="1260" w:type="dxa"/>
            <w:tcBorders>
              <w:top w:val="triple" w:sz="4" w:space="0" w:color="auto"/>
              <w:bottom w:val="triple" w:sz="4" w:space="0" w:color="auto"/>
              <w:right w:val="single" w:sz="18" w:space="0" w:color="auto"/>
            </w:tcBorders>
            <w:noWrap/>
            <w:hideMark/>
          </w:tcPr>
          <w:p w14:paraId="7587D36B"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10,555,535</w:t>
            </w:r>
          </w:p>
        </w:tc>
        <w:tc>
          <w:tcPr>
            <w:tcW w:w="1260" w:type="dxa"/>
            <w:tcBorders>
              <w:top w:val="triple" w:sz="4" w:space="0" w:color="auto"/>
              <w:left w:val="single" w:sz="18" w:space="0" w:color="auto"/>
              <w:bottom w:val="triple" w:sz="4" w:space="0" w:color="auto"/>
            </w:tcBorders>
            <w:noWrap/>
            <w:hideMark/>
          </w:tcPr>
          <w:p w14:paraId="76C6B1A5" w14:textId="77777777" w:rsidR="00C66E67" w:rsidRPr="00296FEB" w:rsidRDefault="00C66E67" w:rsidP="00A1037E">
            <w:pPr>
              <w:keepNext/>
              <w:keepLines/>
              <w:jc w:val="right"/>
              <w:rPr>
                <w:rFonts w:ascii="Times New Roman" w:eastAsia="Times New Roman" w:hAnsi="Times New Roman" w:cs="Times New Roman"/>
                <w:bCs/>
                <w:color w:val="000000"/>
                <w:sz w:val="22"/>
                <w:szCs w:val="22"/>
              </w:rPr>
            </w:pPr>
            <w:r w:rsidRPr="00296FEB">
              <w:rPr>
                <w:rFonts w:ascii="Times New Roman" w:eastAsia="Times New Roman" w:hAnsi="Times New Roman" w:cs="Times New Roman"/>
                <w:color w:val="000000"/>
                <w:sz w:val="22"/>
                <w:szCs w:val="22"/>
              </w:rPr>
              <w:t>66,671,585</w:t>
            </w:r>
          </w:p>
        </w:tc>
        <w:tc>
          <w:tcPr>
            <w:tcW w:w="1260" w:type="dxa"/>
            <w:tcBorders>
              <w:top w:val="triple" w:sz="4" w:space="0" w:color="auto"/>
              <w:bottom w:val="triple" w:sz="4" w:space="0" w:color="auto"/>
              <w:right w:val="single" w:sz="18" w:space="0" w:color="auto"/>
            </w:tcBorders>
            <w:noWrap/>
            <w:hideMark/>
          </w:tcPr>
          <w:p w14:paraId="3F99F7DC" w14:textId="77777777" w:rsidR="00C66E67" w:rsidRPr="00296FEB" w:rsidRDefault="00C66E67" w:rsidP="00A1037E">
            <w:pPr>
              <w:keepNext/>
              <w:keepLines/>
              <w:jc w:val="right"/>
              <w:rPr>
                <w:rFonts w:ascii="Times New Roman" w:eastAsia="Times New Roman" w:hAnsi="Times New Roman" w:cs="Times New Roman"/>
                <w:bCs/>
                <w:color w:val="000000"/>
                <w:sz w:val="22"/>
                <w:szCs w:val="22"/>
              </w:rPr>
            </w:pPr>
            <w:r w:rsidRPr="00296FEB">
              <w:rPr>
                <w:rFonts w:ascii="Times New Roman" w:eastAsia="Times New Roman" w:hAnsi="Times New Roman" w:cs="Times New Roman"/>
                <w:color w:val="000000"/>
                <w:sz w:val="22"/>
                <w:szCs w:val="22"/>
              </w:rPr>
              <w:t>18,740,635</w:t>
            </w:r>
          </w:p>
        </w:tc>
      </w:tr>
      <w:tr w:rsidR="00C66E67" w:rsidRPr="00296FEB" w14:paraId="79AE7235" w14:textId="77777777" w:rsidTr="00717AF9">
        <w:trPr>
          <w:trHeight w:val="300"/>
        </w:trPr>
        <w:tc>
          <w:tcPr>
            <w:tcW w:w="1638" w:type="dxa"/>
            <w:tcBorders>
              <w:right w:val="single" w:sz="18" w:space="0" w:color="auto"/>
            </w:tcBorders>
            <w:noWrap/>
            <w:hideMark/>
          </w:tcPr>
          <w:p w14:paraId="2A8BF81A" w14:textId="77777777" w:rsidR="00C66E67" w:rsidRPr="00296FEB" w:rsidRDefault="00C66E67" w:rsidP="00A1037E">
            <w:pPr>
              <w:keepNext/>
              <w:keepLines/>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b/>
                <w:bCs/>
                <w:color w:val="000000"/>
                <w:sz w:val="22"/>
                <w:szCs w:val="22"/>
              </w:rPr>
              <w:t>Average</w:t>
            </w:r>
          </w:p>
        </w:tc>
        <w:tc>
          <w:tcPr>
            <w:tcW w:w="1260" w:type="dxa"/>
            <w:tcBorders>
              <w:left w:val="single" w:sz="18" w:space="0" w:color="auto"/>
            </w:tcBorders>
            <w:noWrap/>
            <w:hideMark/>
          </w:tcPr>
          <w:p w14:paraId="56B9C7D9"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2,217,490</w:t>
            </w:r>
          </w:p>
        </w:tc>
        <w:tc>
          <w:tcPr>
            <w:tcW w:w="1260" w:type="dxa"/>
            <w:tcBorders>
              <w:right w:val="single" w:sz="18" w:space="0" w:color="auto"/>
            </w:tcBorders>
            <w:noWrap/>
            <w:hideMark/>
          </w:tcPr>
          <w:p w14:paraId="3034B7D5"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1,097,198</w:t>
            </w:r>
          </w:p>
        </w:tc>
        <w:tc>
          <w:tcPr>
            <w:tcW w:w="1260" w:type="dxa"/>
            <w:tcBorders>
              <w:left w:val="single" w:sz="18" w:space="0" w:color="auto"/>
            </w:tcBorders>
            <w:noWrap/>
            <w:hideMark/>
          </w:tcPr>
          <w:p w14:paraId="717D44B6"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1,147,352</w:t>
            </w:r>
          </w:p>
        </w:tc>
        <w:tc>
          <w:tcPr>
            <w:tcW w:w="1260" w:type="dxa"/>
            <w:tcBorders>
              <w:right w:val="single" w:sz="18" w:space="0" w:color="auto"/>
            </w:tcBorders>
            <w:noWrap/>
            <w:hideMark/>
          </w:tcPr>
          <w:p w14:paraId="6DC1EE41"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361,666</w:t>
            </w:r>
          </w:p>
        </w:tc>
        <w:tc>
          <w:tcPr>
            <w:tcW w:w="1260" w:type="dxa"/>
            <w:tcBorders>
              <w:left w:val="single" w:sz="18" w:space="0" w:color="auto"/>
            </w:tcBorders>
            <w:noWrap/>
            <w:hideMark/>
          </w:tcPr>
          <w:p w14:paraId="43DE226F"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3,359,966</w:t>
            </w:r>
          </w:p>
        </w:tc>
        <w:tc>
          <w:tcPr>
            <w:tcW w:w="1260" w:type="dxa"/>
            <w:tcBorders>
              <w:right w:val="single" w:sz="18" w:space="0" w:color="auto"/>
            </w:tcBorders>
            <w:noWrap/>
            <w:hideMark/>
          </w:tcPr>
          <w:p w14:paraId="3BDBC8AD"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1,460,836</w:t>
            </w:r>
          </w:p>
        </w:tc>
      </w:tr>
      <w:tr w:rsidR="00C66E67" w:rsidRPr="00296FEB" w14:paraId="3E02A58C" w14:textId="77777777" w:rsidTr="00717AF9">
        <w:trPr>
          <w:trHeight w:val="300"/>
        </w:trPr>
        <w:tc>
          <w:tcPr>
            <w:tcW w:w="1638" w:type="dxa"/>
            <w:tcBorders>
              <w:right w:val="single" w:sz="18" w:space="0" w:color="auto"/>
            </w:tcBorders>
            <w:noWrap/>
            <w:hideMark/>
          </w:tcPr>
          <w:p w14:paraId="34604188" w14:textId="77777777" w:rsidR="00C66E67" w:rsidRPr="00296FEB" w:rsidRDefault="00C66E67" w:rsidP="00A1037E">
            <w:pPr>
              <w:keepNext/>
              <w:keepLines/>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b/>
                <w:bCs/>
                <w:color w:val="000000"/>
                <w:sz w:val="22"/>
                <w:szCs w:val="22"/>
              </w:rPr>
              <w:t>Median</w:t>
            </w:r>
          </w:p>
        </w:tc>
        <w:tc>
          <w:tcPr>
            <w:tcW w:w="1260" w:type="dxa"/>
            <w:tcBorders>
              <w:left w:val="single" w:sz="18" w:space="0" w:color="auto"/>
            </w:tcBorders>
            <w:noWrap/>
            <w:hideMark/>
          </w:tcPr>
          <w:p w14:paraId="6BBED5FF"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927,500</w:t>
            </w:r>
          </w:p>
        </w:tc>
        <w:tc>
          <w:tcPr>
            <w:tcW w:w="1260" w:type="dxa"/>
            <w:tcBorders>
              <w:right w:val="single" w:sz="18" w:space="0" w:color="auto"/>
            </w:tcBorders>
            <w:noWrap/>
            <w:hideMark/>
          </w:tcPr>
          <w:p w14:paraId="13247E71"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637,609</w:t>
            </w:r>
          </w:p>
        </w:tc>
        <w:tc>
          <w:tcPr>
            <w:tcW w:w="1260" w:type="dxa"/>
            <w:tcBorders>
              <w:left w:val="single" w:sz="18" w:space="0" w:color="auto"/>
            </w:tcBorders>
            <w:noWrap/>
            <w:hideMark/>
          </w:tcPr>
          <w:p w14:paraId="7A13709E"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113,835</w:t>
            </w:r>
          </w:p>
        </w:tc>
        <w:tc>
          <w:tcPr>
            <w:tcW w:w="1260" w:type="dxa"/>
            <w:tcBorders>
              <w:right w:val="single" w:sz="18" w:space="0" w:color="auto"/>
            </w:tcBorders>
            <w:noWrap/>
            <w:hideMark/>
          </w:tcPr>
          <w:p w14:paraId="56D446BF"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55,428</w:t>
            </w:r>
          </w:p>
        </w:tc>
        <w:tc>
          <w:tcPr>
            <w:tcW w:w="1260" w:type="dxa"/>
            <w:tcBorders>
              <w:left w:val="single" w:sz="18" w:space="0" w:color="auto"/>
            </w:tcBorders>
            <w:noWrap/>
            <w:hideMark/>
          </w:tcPr>
          <w:p w14:paraId="28AAF637"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1,145,820</w:t>
            </w:r>
          </w:p>
        </w:tc>
        <w:tc>
          <w:tcPr>
            <w:tcW w:w="1260" w:type="dxa"/>
            <w:tcBorders>
              <w:right w:val="single" w:sz="18" w:space="0" w:color="auto"/>
            </w:tcBorders>
            <w:noWrap/>
            <w:hideMark/>
          </w:tcPr>
          <w:p w14:paraId="41B453E1" w14:textId="77777777" w:rsidR="00C66E67" w:rsidRPr="00296FEB" w:rsidRDefault="00C66E67" w:rsidP="00A1037E">
            <w:pPr>
              <w:keepNext/>
              <w:keepLines/>
              <w:jc w:val="right"/>
              <w:rPr>
                <w:rFonts w:ascii="Times New Roman" w:eastAsia="Times New Roman" w:hAnsi="Times New Roman" w:cs="Times New Roman"/>
                <w:b/>
                <w:bCs/>
                <w:color w:val="000000"/>
                <w:sz w:val="22"/>
                <w:szCs w:val="22"/>
              </w:rPr>
            </w:pPr>
            <w:r w:rsidRPr="00296FEB">
              <w:rPr>
                <w:rFonts w:ascii="Times New Roman" w:eastAsia="Times New Roman" w:hAnsi="Times New Roman" w:cs="Times New Roman"/>
                <w:color w:val="000000"/>
                <w:sz w:val="22"/>
                <w:szCs w:val="22"/>
              </w:rPr>
              <w:t>820,777</w:t>
            </w:r>
          </w:p>
        </w:tc>
      </w:tr>
    </w:tbl>
    <w:p w14:paraId="0695B84A" w14:textId="77777777" w:rsidR="00C66E67" w:rsidRPr="00537498" w:rsidRDefault="00C66E67" w:rsidP="00C66E67">
      <w:pPr>
        <w:rPr>
          <w:rFonts w:ascii="Times New Roman" w:hAnsi="Times New Roman" w:cs="Times New Roman"/>
        </w:rPr>
      </w:pPr>
    </w:p>
    <w:p w14:paraId="524647D9" w14:textId="24F44A16" w:rsidR="005A15D4" w:rsidRPr="00537498" w:rsidRDefault="00CD0460" w:rsidP="005A15D4">
      <w:pPr>
        <w:spacing w:line="480" w:lineRule="auto"/>
        <w:ind w:firstLine="720"/>
        <w:rPr>
          <w:rFonts w:ascii="Times New Roman" w:hAnsi="Times New Roman" w:cs="Times New Roman"/>
        </w:rPr>
      </w:pPr>
      <w:r w:rsidRPr="00995C17">
        <w:rPr>
          <w:rFonts w:ascii="Times New Roman" w:hAnsi="Times New Roman" w:cs="Times New Roman"/>
        </w:rPr>
        <w:t>Most of the debtors’ assets were in the form of real property</w:t>
      </w:r>
      <w:r w:rsidR="00AC4305">
        <w:rPr>
          <w:rFonts w:ascii="Times New Roman" w:hAnsi="Times New Roman" w:cs="Times New Roman"/>
        </w:rPr>
        <w:t>, which</w:t>
      </w:r>
      <w:r w:rsidR="005A15D4" w:rsidRPr="00995C17">
        <w:rPr>
          <w:rFonts w:ascii="Times New Roman" w:hAnsi="Times New Roman" w:cs="Times New Roman"/>
        </w:rPr>
        <w:t xml:space="preserve"> play</w:t>
      </w:r>
      <w:r w:rsidR="002553B2">
        <w:rPr>
          <w:rFonts w:ascii="Times New Roman" w:hAnsi="Times New Roman" w:cs="Times New Roman"/>
        </w:rPr>
        <w:t>ed</w:t>
      </w:r>
      <w:r w:rsidR="005A15D4" w:rsidRPr="00995C17">
        <w:rPr>
          <w:rFonts w:ascii="Times New Roman" w:hAnsi="Times New Roman" w:cs="Times New Roman"/>
        </w:rPr>
        <w:t xml:space="preserve"> a greater role on the balance sheet of the individual </w:t>
      </w:r>
      <w:r w:rsidR="00AA091B">
        <w:rPr>
          <w:rFonts w:ascii="Times New Roman" w:hAnsi="Times New Roman" w:cs="Times New Roman"/>
        </w:rPr>
        <w:t>chapter</w:t>
      </w:r>
      <w:r w:rsidR="005A15D4" w:rsidRPr="00995C17">
        <w:rPr>
          <w:rFonts w:ascii="Times New Roman" w:hAnsi="Times New Roman" w:cs="Times New Roman"/>
        </w:rPr>
        <w:t xml:space="preserve"> 11 debtor than </w:t>
      </w:r>
      <w:r w:rsidR="00AC4305">
        <w:rPr>
          <w:rFonts w:ascii="Times New Roman" w:hAnsi="Times New Roman" w:cs="Times New Roman"/>
        </w:rPr>
        <w:t>d</w:t>
      </w:r>
      <w:r w:rsidR="002553B2">
        <w:rPr>
          <w:rFonts w:ascii="Times New Roman" w:hAnsi="Times New Roman" w:cs="Times New Roman"/>
        </w:rPr>
        <w:t>id</w:t>
      </w:r>
      <w:r w:rsidR="00AC4305">
        <w:rPr>
          <w:rFonts w:ascii="Times New Roman" w:hAnsi="Times New Roman" w:cs="Times New Roman"/>
        </w:rPr>
        <w:t xml:space="preserve"> </w:t>
      </w:r>
      <w:r w:rsidR="005A15D4" w:rsidRPr="00995C17">
        <w:rPr>
          <w:rFonts w:ascii="Times New Roman" w:hAnsi="Times New Roman" w:cs="Times New Roman"/>
        </w:rPr>
        <w:t>personal property. In 2010</w:t>
      </w:r>
      <w:r w:rsidR="005A15D4">
        <w:rPr>
          <w:rFonts w:ascii="Times New Roman" w:hAnsi="Times New Roman" w:cs="Times New Roman"/>
        </w:rPr>
        <w:t>,</w:t>
      </w:r>
      <w:r w:rsidR="005A15D4" w:rsidRPr="00995C17">
        <w:rPr>
          <w:rFonts w:ascii="Times New Roman" w:hAnsi="Times New Roman" w:cs="Times New Roman"/>
        </w:rPr>
        <w:t xml:space="preserve"> the median value for real property was $927,500; </w:t>
      </w:r>
      <w:r w:rsidR="00AC4305">
        <w:rPr>
          <w:rFonts w:ascii="Times New Roman" w:hAnsi="Times New Roman" w:cs="Times New Roman"/>
        </w:rPr>
        <w:t xml:space="preserve">for personal property, </w:t>
      </w:r>
      <w:r w:rsidR="005A15D4" w:rsidRPr="00995C17">
        <w:rPr>
          <w:rFonts w:ascii="Times New Roman" w:hAnsi="Times New Roman" w:cs="Times New Roman"/>
        </w:rPr>
        <w:t xml:space="preserve">the median was $113,835. </w:t>
      </w:r>
      <w:r w:rsidR="005A15D4">
        <w:rPr>
          <w:rFonts w:ascii="Times New Roman" w:hAnsi="Times New Roman" w:cs="Times New Roman"/>
        </w:rPr>
        <w:t xml:space="preserve">In 2013, the median real property value was </w:t>
      </w:r>
      <w:r w:rsidR="00A6676F">
        <w:rPr>
          <w:rFonts w:ascii="Times New Roman" w:hAnsi="Times New Roman" w:cs="Times New Roman"/>
        </w:rPr>
        <w:t>$</w:t>
      </w:r>
      <w:r w:rsidR="005A15D4">
        <w:rPr>
          <w:rFonts w:ascii="Times New Roman" w:hAnsi="Times New Roman" w:cs="Times New Roman"/>
        </w:rPr>
        <w:t>637,609</w:t>
      </w:r>
      <w:r w:rsidR="00AC4305">
        <w:rPr>
          <w:rFonts w:ascii="Times New Roman" w:hAnsi="Times New Roman" w:cs="Times New Roman"/>
        </w:rPr>
        <w:t>;</w:t>
      </w:r>
      <w:r w:rsidR="005A15D4">
        <w:rPr>
          <w:rFonts w:ascii="Times New Roman" w:hAnsi="Times New Roman" w:cs="Times New Roman"/>
        </w:rPr>
        <w:t xml:space="preserve"> </w:t>
      </w:r>
      <w:r w:rsidR="003319EC">
        <w:rPr>
          <w:rFonts w:ascii="Times New Roman" w:hAnsi="Times New Roman" w:cs="Times New Roman"/>
        </w:rPr>
        <w:t xml:space="preserve">for </w:t>
      </w:r>
      <w:r w:rsidR="005A15D4">
        <w:rPr>
          <w:rFonts w:ascii="Times New Roman" w:hAnsi="Times New Roman" w:cs="Times New Roman"/>
        </w:rPr>
        <w:t>personal property</w:t>
      </w:r>
      <w:r w:rsidR="003319EC">
        <w:rPr>
          <w:rFonts w:ascii="Times New Roman" w:hAnsi="Times New Roman" w:cs="Times New Roman"/>
        </w:rPr>
        <w:t>,</w:t>
      </w:r>
      <w:r w:rsidR="005A15D4">
        <w:rPr>
          <w:rFonts w:ascii="Times New Roman" w:hAnsi="Times New Roman" w:cs="Times New Roman"/>
        </w:rPr>
        <w:t xml:space="preserve"> it was $55,428. </w:t>
      </w:r>
      <w:r w:rsidR="000844B4">
        <w:rPr>
          <w:rFonts w:ascii="Times New Roman" w:hAnsi="Times New Roman" w:cs="Times New Roman"/>
        </w:rPr>
        <w:t xml:space="preserve">If we look at totals (or averages), </w:t>
      </w:r>
      <w:r w:rsidR="005A15D4">
        <w:rPr>
          <w:rFonts w:ascii="Times New Roman" w:hAnsi="Times New Roman" w:cs="Times New Roman"/>
        </w:rPr>
        <w:t xml:space="preserve">real property comprised </w:t>
      </w:r>
      <w:r w:rsidR="000844B4">
        <w:rPr>
          <w:rFonts w:ascii="Times New Roman" w:hAnsi="Times New Roman" w:cs="Times New Roman"/>
        </w:rPr>
        <w:t>66</w:t>
      </w:r>
      <w:r w:rsidR="005A15D4">
        <w:rPr>
          <w:rFonts w:ascii="Times New Roman" w:hAnsi="Times New Roman" w:cs="Times New Roman"/>
        </w:rPr>
        <w:t xml:space="preserve">% of our debtors’ assets, while in 2013 that figure rose to </w:t>
      </w:r>
      <w:r w:rsidR="000844B4">
        <w:rPr>
          <w:rFonts w:ascii="Times New Roman" w:hAnsi="Times New Roman" w:cs="Times New Roman"/>
        </w:rPr>
        <w:t>75</w:t>
      </w:r>
      <w:r w:rsidR="005A15D4">
        <w:rPr>
          <w:rFonts w:ascii="Times New Roman" w:hAnsi="Times New Roman" w:cs="Times New Roman"/>
        </w:rPr>
        <w:t>% of debtor</w:t>
      </w:r>
      <w:r w:rsidR="003319EC">
        <w:rPr>
          <w:rFonts w:ascii="Times New Roman" w:hAnsi="Times New Roman" w:cs="Times New Roman"/>
        </w:rPr>
        <w:t>s’</w:t>
      </w:r>
      <w:r w:rsidR="005A15D4">
        <w:rPr>
          <w:rFonts w:ascii="Times New Roman" w:hAnsi="Times New Roman" w:cs="Times New Roman"/>
        </w:rPr>
        <w:t xml:space="preserve"> assets.</w:t>
      </w:r>
      <w:r w:rsidR="004D3C8D">
        <w:rPr>
          <w:rFonts w:ascii="Times New Roman" w:hAnsi="Times New Roman" w:cs="Times New Roman"/>
        </w:rPr>
        <w:t xml:space="preserve"> These </w:t>
      </w:r>
      <w:r w:rsidR="000844B4">
        <w:rPr>
          <w:rFonts w:ascii="Times New Roman" w:hAnsi="Times New Roman" w:cs="Times New Roman"/>
        </w:rPr>
        <w:t xml:space="preserve">shares are a little lower than </w:t>
      </w:r>
      <w:r w:rsidR="004D3C8D">
        <w:rPr>
          <w:rFonts w:ascii="Times New Roman" w:hAnsi="Times New Roman" w:cs="Times New Roman"/>
        </w:rPr>
        <w:t>the findings of the A</w:t>
      </w:r>
      <w:r w:rsidR="003319EC">
        <w:rPr>
          <w:rFonts w:ascii="Times New Roman" w:hAnsi="Times New Roman" w:cs="Times New Roman"/>
        </w:rPr>
        <w:t>O, which reported</w:t>
      </w:r>
      <w:r w:rsidR="004D3C8D">
        <w:rPr>
          <w:rFonts w:ascii="Times New Roman" w:hAnsi="Times New Roman" w:cs="Times New Roman"/>
        </w:rPr>
        <w:t xml:space="preserve"> that in 201</w:t>
      </w:r>
      <w:r w:rsidR="009629EF">
        <w:rPr>
          <w:rFonts w:ascii="Times New Roman" w:hAnsi="Times New Roman" w:cs="Times New Roman"/>
        </w:rPr>
        <w:t>3</w:t>
      </w:r>
      <w:r w:rsidR="004D3C8D">
        <w:rPr>
          <w:rFonts w:ascii="Times New Roman" w:hAnsi="Times New Roman" w:cs="Times New Roman"/>
        </w:rPr>
        <w:t xml:space="preserve"> real property comprised </w:t>
      </w:r>
      <w:r w:rsidR="009629EF">
        <w:rPr>
          <w:rFonts w:ascii="Times New Roman" w:hAnsi="Times New Roman" w:cs="Times New Roman"/>
        </w:rPr>
        <w:t>approximately 70</w:t>
      </w:r>
      <w:r w:rsidR="00650C3A">
        <w:rPr>
          <w:rFonts w:ascii="Times New Roman" w:hAnsi="Times New Roman" w:cs="Times New Roman"/>
        </w:rPr>
        <w:t>%</w:t>
      </w:r>
      <w:r w:rsidR="004D3C8D">
        <w:rPr>
          <w:rFonts w:ascii="Times New Roman" w:hAnsi="Times New Roman" w:cs="Times New Roman"/>
        </w:rPr>
        <w:t xml:space="preserve"> of the assets of individuals who filed non-business </w:t>
      </w:r>
      <w:r w:rsidR="00AA091B">
        <w:rPr>
          <w:rFonts w:ascii="Times New Roman" w:hAnsi="Times New Roman" w:cs="Times New Roman"/>
        </w:rPr>
        <w:t>chapter</w:t>
      </w:r>
      <w:r w:rsidR="004D3C8D">
        <w:rPr>
          <w:rFonts w:ascii="Times New Roman" w:hAnsi="Times New Roman" w:cs="Times New Roman"/>
        </w:rPr>
        <w:t xml:space="preserve"> 11 bankruptcy petitions.</w:t>
      </w:r>
      <w:r w:rsidR="004D3C8D">
        <w:rPr>
          <w:rStyle w:val="FootnoteReference"/>
          <w:rFonts w:ascii="Times New Roman" w:hAnsi="Times New Roman" w:cs="Times New Roman"/>
        </w:rPr>
        <w:footnoteReference w:id="168"/>
      </w:r>
      <w:r w:rsidR="004D3C8D">
        <w:rPr>
          <w:rFonts w:ascii="Times New Roman" w:hAnsi="Times New Roman" w:cs="Times New Roman"/>
        </w:rPr>
        <w:t xml:space="preserve"> </w:t>
      </w:r>
    </w:p>
    <w:p w14:paraId="2C900D40" w14:textId="72E359F1" w:rsidR="005A15D4" w:rsidRPr="00537498" w:rsidRDefault="002553B2" w:rsidP="008E7E3D">
      <w:pPr>
        <w:spacing w:line="480" w:lineRule="auto"/>
        <w:ind w:firstLine="720"/>
        <w:rPr>
          <w:rFonts w:ascii="Times New Roman" w:hAnsi="Times New Roman" w:cs="Times New Roman"/>
        </w:rPr>
      </w:pPr>
      <w:r>
        <w:rPr>
          <w:rFonts w:ascii="Times New Roman" w:hAnsi="Times New Roman" w:cs="Times New Roman"/>
        </w:rPr>
        <w:t>In order to develop a fuller picture of our debtors’ holdings, w</w:t>
      </w:r>
      <w:r w:rsidR="005A15D4" w:rsidRPr="00537498">
        <w:rPr>
          <w:rFonts w:ascii="Times New Roman" w:hAnsi="Times New Roman" w:cs="Times New Roman"/>
        </w:rPr>
        <w:t xml:space="preserve">e </w:t>
      </w:r>
      <w:r>
        <w:rPr>
          <w:rFonts w:ascii="Times New Roman" w:hAnsi="Times New Roman" w:cs="Times New Roman"/>
        </w:rPr>
        <w:t xml:space="preserve">examined </w:t>
      </w:r>
      <w:r w:rsidR="005A15D4" w:rsidRPr="00537498">
        <w:rPr>
          <w:rFonts w:ascii="Times New Roman" w:hAnsi="Times New Roman" w:cs="Times New Roman"/>
        </w:rPr>
        <w:t>the full schedules</w:t>
      </w:r>
      <w:r w:rsidR="00AC4305">
        <w:rPr>
          <w:rFonts w:ascii="Times New Roman" w:hAnsi="Times New Roman" w:cs="Times New Roman"/>
        </w:rPr>
        <w:t xml:space="preserve">, </w:t>
      </w:r>
      <w:r w:rsidR="005A15D4" w:rsidRPr="00537498">
        <w:rPr>
          <w:rFonts w:ascii="Times New Roman" w:hAnsi="Times New Roman" w:cs="Times New Roman"/>
        </w:rPr>
        <w:t>start</w:t>
      </w:r>
      <w:r w:rsidR="00AC4305">
        <w:rPr>
          <w:rFonts w:ascii="Times New Roman" w:hAnsi="Times New Roman" w:cs="Times New Roman"/>
        </w:rPr>
        <w:t>ing</w:t>
      </w:r>
      <w:r w:rsidR="005A15D4" w:rsidRPr="00537498">
        <w:rPr>
          <w:rFonts w:ascii="Times New Roman" w:hAnsi="Times New Roman" w:cs="Times New Roman"/>
        </w:rPr>
        <w:t xml:space="preserve"> with homeownership. The overwhelming majority of our debtors own</w:t>
      </w:r>
      <w:r>
        <w:rPr>
          <w:rFonts w:ascii="Times New Roman" w:hAnsi="Times New Roman" w:cs="Times New Roman"/>
        </w:rPr>
        <w:t>ed</w:t>
      </w:r>
      <w:r w:rsidR="005A15D4" w:rsidRPr="00537498">
        <w:rPr>
          <w:rFonts w:ascii="Times New Roman" w:hAnsi="Times New Roman" w:cs="Times New Roman"/>
        </w:rPr>
        <w:t xml:space="preserve"> a home; only </w:t>
      </w:r>
      <w:r w:rsidR="005A15D4">
        <w:rPr>
          <w:rFonts w:ascii="Times New Roman" w:hAnsi="Times New Roman" w:cs="Times New Roman"/>
        </w:rPr>
        <w:t>6%</w:t>
      </w:r>
      <w:r w:rsidR="005A15D4" w:rsidRPr="00537498">
        <w:rPr>
          <w:rFonts w:ascii="Times New Roman" w:hAnsi="Times New Roman" w:cs="Times New Roman"/>
        </w:rPr>
        <w:t xml:space="preserve"> </w:t>
      </w:r>
      <w:r w:rsidR="00513B33">
        <w:rPr>
          <w:rFonts w:ascii="Times New Roman" w:hAnsi="Times New Roman" w:cs="Times New Roman"/>
        </w:rPr>
        <w:t xml:space="preserve">in 2010 and 8% in 2013 </w:t>
      </w:r>
      <w:r w:rsidR="005A15D4" w:rsidRPr="00537498">
        <w:rPr>
          <w:rFonts w:ascii="Times New Roman" w:hAnsi="Times New Roman" w:cs="Times New Roman"/>
        </w:rPr>
        <w:t>clearly had no home</w:t>
      </w:r>
      <w:r w:rsidR="00513B33">
        <w:rPr>
          <w:rFonts w:ascii="Times New Roman" w:hAnsi="Times New Roman" w:cs="Times New Roman"/>
        </w:rPr>
        <w:t>.</w:t>
      </w:r>
      <w:r w:rsidR="005A15D4" w:rsidRPr="00933FD2">
        <w:rPr>
          <w:rFonts w:ascii="Times New Roman" w:hAnsi="Times New Roman" w:cs="Times New Roman"/>
        </w:rPr>
        <w:t xml:space="preserve"> </w:t>
      </w:r>
      <w:r w:rsidR="005A15D4" w:rsidRPr="00537498">
        <w:rPr>
          <w:rFonts w:ascii="Times New Roman" w:hAnsi="Times New Roman" w:cs="Times New Roman"/>
        </w:rPr>
        <w:t xml:space="preserve">We also coded the debtor’s estimate of the value of the home and the </w:t>
      </w:r>
      <w:r w:rsidR="00AC4305">
        <w:rPr>
          <w:rFonts w:ascii="Times New Roman" w:hAnsi="Times New Roman" w:cs="Times New Roman"/>
        </w:rPr>
        <w:t xml:space="preserve">amount </w:t>
      </w:r>
      <w:r w:rsidR="005A15D4" w:rsidRPr="00537498">
        <w:rPr>
          <w:rFonts w:ascii="Times New Roman" w:hAnsi="Times New Roman" w:cs="Times New Roman"/>
        </w:rPr>
        <w:t>of the home mortgage</w:t>
      </w:r>
      <w:r w:rsidR="005A15D4">
        <w:rPr>
          <w:rFonts w:ascii="Times New Roman" w:hAnsi="Times New Roman" w:cs="Times New Roman"/>
        </w:rPr>
        <w:t>, and present that data in Table 3</w:t>
      </w:r>
      <w:r w:rsidR="00296FEB">
        <w:rPr>
          <w:rFonts w:ascii="Times New Roman" w:hAnsi="Times New Roman" w:cs="Times New Roman"/>
        </w:rPr>
        <w:t>5</w:t>
      </w:r>
      <w:r w:rsidR="005A15D4" w:rsidRPr="00537498">
        <w:rPr>
          <w:rFonts w:ascii="Times New Roman" w:hAnsi="Times New Roman" w:cs="Times New Roman"/>
        </w:rPr>
        <w:t xml:space="preserve">. </w:t>
      </w:r>
      <w:r w:rsidR="005A15D4">
        <w:rPr>
          <w:rFonts w:ascii="Times New Roman" w:hAnsi="Times New Roman" w:cs="Times New Roman"/>
        </w:rPr>
        <w:t>W</w:t>
      </w:r>
      <w:r w:rsidR="005A15D4" w:rsidRPr="00933FD2">
        <w:rPr>
          <w:rFonts w:ascii="Times New Roman" w:hAnsi="Times New Roman" w:cs="Times New Roman"/>
        </w:rPr>
        <w:t xml:space="preserve">e were not able to determine home ownership for a number of debtors because </w:t>
      </w:r>
      <w:r w:rsidR="00AC4305">
        <w:rPr>
          <w:rFonts w:ascii="Times New Roman" w:hAnsi="Times New Roman" w:cs="Times New Roman"/>
        </w:rPr>
        <w:t xml:space="preserve">either </w:t>
      </w:r>
      <w:r w:rsidR="005A15D4" w:rsidRPr="00933FD2">
        <w:rPr>
          <w:rFonts w:ascii="Times New Roman" w:hAnsi="Times New Roman" w:cs="Times New Roman"/>
        </w:rPr>
        <w:t xml:space="preserve">the debtor did not complete the </w:t>
      </w:r>
      <w:r>
        <w:rPr>
          <w:rFonts w:ascii="Times New Roman" w:hAnsi="Times New Roman" w:cs="Times New Roman"/>
        </w:rPr>
        <w:t xml:space="preserve">relevant </w:t>
      </w:r>
      <w:r w:rsidR="005A15D4" w:rsidRPr="00933FD2">
        <w:rPr>
          <w:rFonts w:ascii="Times New Roman" w:hAnsi="Times New Roman" w:cs="Times New Roman"/>
        </w:rPr>
        <w:t>schedule</w:t>
      </w:r>
      <w:r>
        <w:rPr>
          <w:rFonts w:ascii="Times New Roman" w:hAnsi="Times New Roman" w:cs="Times New Roman"/>
        </w:rPr>
        <w:t>s</w:t>
      </w:r>
      <w:r w:rsidR="005A15D4" w:rsidRPr="00933FD2">
        <w:rPr>
          <w:rFonts w:ascii="Times New Roman" w:hAnsi="Times New Roman" w:cs="Times New Roman"/>
        </w:rPr>
        <w:t xml:space="preserve"> or we could not tell if the property listed was t</w:t>
      </w:r>
      <w:r w:rsidR="005A15D4" w:rsidRPr="00537498">
        <w:rPr>
          <w:rFonts w:ascii="Times New Roman" w:hAnsi="Times New Roman" w:cs="Times New Roman"/>
        </w:rPr>
        <w:t>he debtor’s princip</w:t>
      </w:r>
      <w:r w:rsidR="005A15D4">
        <w:rPr>
          <w:rFonts w:ascii="Times New Roman" w:hAnsi="Times New Roman" w:cs="Times New Roman"/>
        </w:rPr>
        <w:t>al</w:t>
      </w:r>
      <w:r w:rsidR="008E7E3D">
        <w:rPr>
          <w:rFonts w:ascii="Times New Roman" w:hAnsi="Times New Roman" w:cs="Times New Roman"/>
        </w:rPr>
        <w:t xml:space="preserve"> residence. </w:t>
      </w:r>
    </w:p>
    <w:p w14:paraId="2D59218C" w14:textId="082688E8" w:rsidR="005A15D4" w:rsidRPr="00995C17" w:rsidRDefault="005A15D4" w:rsidP="00A1037E">
      <w:pPr>
        <w:keepNext/>
        <w:keepLines/>
        <w:spacing w:line="480" w:lineRule="auto"/>
        <w:jc w:val="center"/>
        <w:rPr>
          <w:rFonts w:ascii="Times New Roman" w:hAnsi="Times New Roman" w:cs="Times New Roman"/>
          <w:b/>
        </w:rPr>
      </w:pPr>
      <w:r w:rsidRPr="00995C17">
        <w:rPr>
          <w:rFonts w:ascii="Times New Roman" w:hAnsi="Times New Roman" w:cs="Times New Roman"/>
          <w:b/>
        </w:rPr>
        <w:t xml:space="preserve">Table </w:t>
      </w:r>
      <w:r>
        <w:rPr>
          <w:rFonts w:ascii="Times New Roman" w:hAnsi="Times New Roman" w:cs="Times New Roman"/>
          <w:b/>
        </w:rPr>
        <w:t>3</w:t>
      </w:r>
      <w:r w:rsidR="00296FEB">
        <w:rPr>
          <w:rFonts w:ascii="Times New Roman" w:hAnsi="Times New Roman" w:cs="Times New Roman"/>
          <w:b/>
        </w:rPr>
        <w:t>5</w:t>
      </w:r>
      <w:r>
        <w:rPr>
          <w:rFonts w:ascii="Times New Roman" w:hAnsi="Times New Roman" w:cs="Times New Roman"/>
          <w:b/>
        </w:rPr>
        <w:t>: Home Ownership</w:t>
      </w:r>
    </w:p>
    <w:tbl>
      <w:tblPr>
        <w:tblStyle w:val="TableGrid"/>
        <w:tblW w:w="8494" w:type="dxa"/>
        <w:tblLook w:val="04A0" w:firstRow="1" w:lastRow="0" w:firstColumn="1" w:lastColumn="0" w:noHBand="0" w:noVBand="1"/>
      </w:tblPr>
      <w:tblGrid>
        <w:gridCol w:w="3078"/>
        <w:gridCol w:w="1260"/>
        <w:gridCol w:w="1260"/>
        <w:gridCol w:w="1270"/>
        <w:gridCol w:w="1626"/>
      </w:tblGrid>
      <w:tr w:rsidR="00513B33" w:rsidRPr="00537498" w14:paraId="08CF046A" w14:textId="77777777" w:rsidTr="00296FEB">
        <w:trPr>
          <w:trHeight w:val="300"/>
        </w:trPr>
        <w:tc>
          <w:tcPr>
            <w:tcW w:w="3078" w:type="dxa"/>
            <w:vMerge w:val="restart"/>
            <w:tcBorders>
              <w:top w:val="nil"/>
              <w:left w:val="nil"/>
              <w:right w:val="single" w:sz="18" w:space="0" w:color="auto"/>
            </w:tcBorders>
            <w:noWrap/>
            <w:hideMark/>
          </w:tcPr>
          <w:p w14:paraId="4F68D4C5" w14:textId="77777777" w:rsidR="00513B33" w:rsidRPr="00995C17" w:rsidRDefault="00513B33" w:rsidP="00A1037E">
            <w:pPr>
              <w:keepNext/>
              <w:keepLines/>
              <w:rPr>
                <w:rFonts w:ascii="Times New Roman" w:eastAsia="Times New Roman" w:hAnsi="Times New Roman" w:cs="Times New Roman"/>
                <w:color w:val="000000"/>
              </w:rPr>
            </w:pPr>
          </w:p>
        </w:tc>
        <w:tc>
          <w:tcPr>
            <w:tcW w:w="2520" w:type="dxa"/>
            <w:gridSpan w:val="2"/>
            <w:tcBorders>
              <w:top w:val="single" w:sz="18" w:space="0" w:color="auto"/>
              <w:left w:val="single" w:sz="18" w:space="0" w:color="auto"/>
              <w:bottom w:val="single" w:sz="18" w:space="0" w:color="auto"/>
              <w:right w:val="single" w:sz="18" w:space="0" w:color="auto"/>
            </w:tcBorders>
            <w:noWrap/>
            <w:hideMark/>
          </w:tcPr>
          <w:p w14:paraId="565DF749" w14:textId="77777777" w:rsidR="002553B2" w:rsidRDefault="002553B2" w:rsidP="00A1037E">
            <w:pPr>
              <w:pStyle w:val="ListParagraph"/>
              <w:keepNext/>
              <w:keepLines/>
              <w:numPr>
                <w:ilvl w:val="0"/>
                <w:numId w:val="26"/>
              </w:numPr>
              <w:jc w:val="center"/>
              <w:rPr>
                <w:rFonts w:ascii="Times New Roman" w:eastAsia="Times New Roman" w:hAnsi="Times New Roman" w:cs="Times New Roman"/>
                <w:b/>
                <w:bCs/>
                <w:color w:val="000000"/>
              </w:rPr>
            </w:pPr>
          </w:p>
          <w:p w14:paraId="03B76C67" w14:textId="26C41866" w:rsidR="00513B33" w:rsidRPr="00741D07" w:rsidRDefault="00513B33" w:rsidP="00A1037E">
            <w:pPr>
              <w:pStyle w:val="ListParagraph"/>
              <w:keepNext/>
              <w:keepLines/>
              <w:rPr>
                <w:rFonts w:ascii="Times New Roman" w:eastAsia="Times New Roman" w:hAnsi="Times New Roman" w:cs="Times New Roman"/>
                <w:b/>
                <w:bCs/>
                <w:color w:val="000000"/>
              </w:rPr>
            </w:pPr>
            <w:r w:rsidRPr="00741D07">
              <w:rPr>
                <w:rFonts w:ascii="Times New Roman" w:eastAsia="Times New Roman" w:hAnsi="Times New Roman" w:cs="Times New Roman"/>
                <w:b/>
                <w:bCs/>
                <w:color w:val="000000"/>
              </w:rPr>
              <w:t>Home Value</w:t>
            </w:r>
          </w:p>
        </w:tc>
        <w:tc>
          <w:tcPr>
            <w:tcW w:w="2896" w:type="dxa"/>
            <w:gridSpan w:val="2"/>
            <w:tcBorders>
              <w:top w:val="single" w:sz="18" w:space="0" w:color="auto"/>
              <w:left w:val="single" w:sz="18" w:space="0" w:color="auto"/>
              <w:bottom w:val="single" w:sz="18" w:space="0" w:color="auto"/>
              <w:right w:val="single" w:sz="18" w:space="0" w:color="auto"/>
            </w:tcBorders>
            <w:noWrap/>
            <w:hideMark/>
          </w:tcPr>
          <w:p w14:paraId="6DE49697" w14:textId="77777777" w:rsidR="002553B2" w:rsidRDefault="002553B2" w:rsidP="00A1037E">
            <w:pPr>
              <w:keepNext/>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(B)</w:t>
            </w:r>
          </w:p>
          <w:p w14:paraId="2EC64EEF" w14:textId="7F3A117C" w:rsidR="00513B33" w:rsidRPr="00995C17" w:rsidRDefault="00513B33" w:rsidP="00A1037E">
            <w:pPr>
              <w:keepNext/>
              <w:keepLines/>
              <w:jc w:val="center"/>
              <w:rPr>
                <w:rFonts w:ascii="Times New Roman" w:eastAsia="Times New Roman" w:hAnsi="Times New Roman" w:cs="Times New Roman"/>
                <w:b/>
                <w:bCs/>
                <w:color w:val="000000"/>
              </w:rPr>
            </w:pPr>
            <w:r w:rsidRPr="00995C17">
              <w:rPr>
                <w:rFonts w:ascii="Times New Roman" w:eastAsia="Times New Roman" w:hAnsi="Times New Roman" w:cs="Times New Roman"/>
                <w:b/>
                <w:bCs/>
                <w:color w:val="000000"/>
              </w:rPr>
              <w:t>Home Mortgage</w:t>
            </w:r>
            <w:r w:rsidR="00FB072E">
              <w:rPr>
                <w:rFonts w:ascii="Times New Roman" w:eastAsia="Times New Roman" w:hAnsi="Times New Roman" w:cs="Times New Roman"/>
                <w:b/>
                <w:bCs/>
                <w:color w:val="000000"/>
              </w:rPr>
              <w:t xml:space="preserve"> Amount</w:t>
            </w:r>
          </w:p>
        </w:tc>
      </w:tr>
      <w:tr w:rsidR="00513B33" w:rsidRPr="00537498" w14:paraId="6F809459" w14:textId="77777777" w:rsidTr="00296FEB">
        <w:trPr>
          <w:trHeight w:val="300"/>
        </w:trPr>
        <w:tc>
          <w:tcPr>
            <w:tcW w:w="3078" w:type="dxa"/>
            <w:vMerge/>
            <w:tcBorders>
              <w:left w:val="nil"/>
              <w:bottom w:val="single" w:sz="18" w:space="0" w:color="auto"/>
              <w:right w:val="single" w:sz="18" w:space="0" w:color="auto"/>
            </w:tcBorders>
            <w:noWrap/>
            <w:hideMark/>
          </w:tcPr>
          <w:p w14:paraId="08E904F8" w14:textId="75720E59" w:rsidR="00513B33" w:rsidRPr="00995C17" w:rsidRDefault="00513B33" w:rsidP="00A1037E">
            <w:pPr>
              <w:keepNext/>
              <w:keepLines/>
              <w:rPr>
                <w:rFonts w:ascii="Times New Roman" w:eastAsia="Times New Roman" w:hAnsi="Times New Roman" w:cs="Times New Roman"/>
                <w:color w:val="000000"/>
              </w:rPr>
            </w:pPr>
          </w:p>
        </w:tc>
        <w:tc>
          <w:tcPr>
            <w:tcW w:w="1260" w:type="dxa"/>
            <w:tcBorders>
              <w:top w:val="single" w:sz="18" w:space="0" w:color="auto"/>
              <w:left w:val="single" w:sz="18" w:space="0" w:color="auto"/>
              <w:bottom w:val="single" w:sz="18" w:space="0" w:color="auto"/>
            </w:tcBorders>
            <w:noWrap/>
            <w:hideMark/>
          </w:tcPr>
          <w:p w14:paraId="6E7042E2" w14:textId="77777777" w:rsidR="00513B33" w:rsidRPr="00995C17" w:rsidRDefault="00513B33" w:rsidP="00A1037E">
            <w:pPr>
              <w:keepNext/>
              <w:keepLines/>
              <w:jc w:val="center"/>
              <w:rPr>
                <w:rFonts w:ascii="Times New Roman" w:eastAsia="Times New Roman" w:hAnsi="Times New Roman" w:cs="Times New Roman"/>
                <w:b/>
                <w:bCs/>
                <w:color w:val="000000"/>
              </w:rPr>
            </w:pPr>
            <w:r w:rsidRPr="00995C17">
              <w:rPr>
                <w:rFonts w:ascii="Times New Roman" w:eastAsia="Times New Roman" w:hAnsi="Times New Roman" w:cs="Times New Roman"/>
                <w:b/>
                <w:bCs/>
                <w:color w:val="000000"/>
              </w:rPr>
              <w:t>2010</w:t>
            </w:r>
          </w:p>
        </w:tc>
        <w:tc>
          <w:tcPr>
            <w:tcW w:w="1260" w:type="dxa"/>
            <w:tcBorders>
              <w:top w:val="single" w:sz="18" w:space="0" w:color="auto"/>
              <w:bottom w:val="single" w:sz="18" w:space="0" w:color="auto"/>
              <w:right w:val="single" w:sz="18" w:space="0" w:color="auto"/>
            </w:tcBorders>
            <w:noWrap/>
            <w:hideMark/>
          </w:tcPr>
          <w:p w14:paraId="63C2B90F" w14:textId="77777777" w:rsidR="00513B33" w:rsidRPr="00995C17" w:rsidRDefault="00513B33" w:rsidP="00A1037E">
            <w:pPr>
              <w:keepNext/>
              <w:keepLines/>
              <w:jc w:val="center"/>
              <w:rPr>
                <w:rFonts w:ascii="Times New Roman" w:eastAsia="Times New Roman" w:hAnsi="Times New Roman" w:cs="Times New Roman"/>
                <w:b/>
                <w:bCs/>
                <w:color w:val="000000"/>
              </w:rPr>
            </w:pPr>
            <w:r w:rsidRPr="00995C17">
              <w:rPr>
                <w:rFonts w:ascii="Times New Roman" w:eastAsia="Times New Roman" w:hAnsi="Times New Roman" w:cs="Times New Roman"/>
                <w:b/>
                <w:bCs/>
                <w:color w:val="000000"/>
              </w:rPr>
              <w:t>2013</w:t>
            </w:r>
          </w:p>
        </w:tc>
        <w:tc>
          <w:tcPr>
            <w:tcW w:w="1270" w:type="dxa"/>
            <w:tcBorders>
              <w:top w:val="single" w:sz="18" w:space="0" w:color="auto"/>
              <w:left w:val="single" w:sz="18" w:space="0" w:color="auto"/>
              <w:bottom w:val="single" w:sz="18" w:space="0" w:color="auto"/>
            </w:tcBorders>
            <w:noWrap/>
            <w:hideMark/>
          </w:tcPr>
          <w:p w14:paraId="40425016" w14:textId="77777777" w:rsidR="00513B33" w:rsidRPr="00995C17" w:rsidRDefault="00513B33" w:rsidP="00A1037E">
            <w:pPr>
              <w:keepNext/>
              <w:keepLines/>
              <w:jc w:val="center"/>
              <w:rPr>
                <w:rFonts w:ascii="Times New Roman" w:eastAsia="Times New Roman" w:hAnsi="Times New Roman" w:cs="Times New Roman"/>
                <w:b/>
                <w:bCs/>
                <w:color w:val="000000"/>
              </w:rPr>
            </w:pPr>
            <w:r w:rsidRPr="00995C17">
              <w:rPr>
                <w:rFonts w:ascii="Times New Roman" w:eastAsia="Times New Roman" w:hAnsi="Times New Roman" w:cs="Times New Roman"/>
                <w:b/>
                <w:bCs/>
                <w:color w:val="000000"/>
              </w:rPr>
              <w:t>2010</w:t>
            </w:r>
          </w:p>
        </w:tc>
        <w:tc>
          <w:tcPr>
            <w:tcW w:w="1626" w:type="dxa"/>
            <w:tcBorders>
              <w:top w:val="single" w:sz="18" w:space="0" w:color="auto"/>
              <w:bottom w:val="single" w:sz="18" w:space="0" w:color="auto"/>
              <w:right w:val="single" w:sz="18" w:space="0" w:color="auto"/>
            </w:tcBorders>
            <w:noWrap/>
            <w:hideMark/>
          </w:tcPr>
          <w:p w14:paraId="4B073B73" w14:textId="77777777" w:rsidR="00513B33" w:rsidRPr="00995C17" w:rsidRDefault="00513B33" w:rsidP="00A1037E">
            <w:pPr>
              <w:keepNext/>
              <w:keepLines/>
              <w:jc w:val="center"/>
              <w:rPr>
                <w:rFonts w:ascii="Times New Roman" w:eastAsia="Times New Roman" w:hAnsi="Times New Roman" w:cs="Times New Roman"/>
                <w:b/>
                <w:bCs/>
                <w:color w:val="000000"/>
              </w:rPr>
            </w:pPr>
            <w:r w:rsidRPr="00995C17">
              <w:rPr>
                <w:rFonts w:ascii="Times New Roman" w:eastAsia="Times New Roman" w:hAnsi="Times New Roman" w:cs="Times New Roman"/>
                <w:b/>
                <w:bCs/>
                <w:color w:val="000000"/>
              </w:rPr>
              <w:t>2013</w:t>
            </w:r>
          </w:p>
        </w:tc>
      </w:tr>
      <w:tr w:rsidR="005A15D4" w:rsidRPr="00537498" w14:paraId="403BFC1D" w14:textId="77777777" w:rsidTr="00296FEB">
        <w:trPr>
          <w:trHeight w:val="300"/>
        </w:trPr>
        <w:tc>
          <w:tcPr>
            <w:tcW w:w="3078" w:type="dxa"/>
            <w:tcBorders>
              <w:top w:val="single" w:sz="18" w:space="0" w:color="auto"/>
              <w:right w:val="single" w:sz="18" w:space="0" w:color="auto"/>
            </w:tcBorders>
            <w:noWrap/>
            <w:hideMark/>
          </w:tcPr>
          <w:p w14:paraId="32C817EA" w14:textId="77777777" w:rsidR="005A15D4" w:rsidRPr="00995C17" w:rsidRDefault="005A15D4" w:rsidP="00A1037E">
            <w:pPr>
              <w:keepNext/>
              <w:keepLines/>
              <w:rPr>
                <w:rFonts w:ascii="Times New Roman" w:eastAsia="Times New Roman" w:hAnsi="Times New Roman" w:cs="Times New Roman"/>
                <w:b/>
                <w:bCs/>
                <w:color w:val="000000"/>
              </w:rPr>
            </w:pPr>
            <w:r w:rsidRPr="00995C17">
              <w:rPr>
                <w:rFonts w:ascii="Times New Roman" w:eastAsia="Times New Roman" w:hAnsi="Times New Roman" w:cs="Times New Roman"/>
                <w:b/>
                <w:bCs/>
                <w:color w:val="000000"/>
              </w:rPr>
              <w:t xml:space="preserve">Over </w:t>
            </w:r>
            <w:r>
              <w:rPr>
                <w:rFonts w:ascii="Times New Roman" w:eastAsia="Times New Roman" w:hAnsi="Times New Roman" w:cs="Times New Roman"/>
                <w:b/>
                <w:bCs/>
                <w:color w:val="000000"/>
              </w:rPr>
              <w:t>$</w:t>
            </w:r>
            <w:r w:rsidRPr="00995C17">
              <w:rPr>
                <w:rFonts w:ascii="Times New Roman" w:eastAsia="Times New Roman" w:hAnsi="Times New Roman" w:cs="Times New Roman"/>
                <w:b/>
                <w:bCs/>
                <w:color w:val="000000"/>
              </w:rPr>
              <w:t>5M</w:t>
            </w:r>
          </w:p>
        </w:tc>
        <w:tc>
          <w:tcPr>
            <w:tcW w:w="1260" w:type="dxa"/>
            <w:tcBorders>
              <w:top w:val="single" w:sz="18" w:space="0" w:color="auto"/>
              <w:left w:val="single" w:sz="18" w:space="0" w:color="auto"/>
            </w:tcBorders>
            <w:noWrap/>
            <w:hideMark/>
          </w:tcPr>
          <w:p w14:paraId="414A2FF8"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0.0%</w:t>
            </w:r>
          </w:p>
        </w:tc>
        <w:tc>
          <w:tcPr>
            <w:tcW w:w="1260" w:type="dxa"/>
            <w:tcBorders>
              <w:top w:val="single" w:sz="18" w:space="0" w:color="auto"/>
              <w:right w:val="single" w:sz="18" w:space="0" w:color="auto"/>
            </w:tcBorders>
            <w:noWrap/>
            <w:hideMark/>
          </w:tcPr>
          <w:p w14:paraId="561F0D44"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0.9%</w:t>
            </w:r>
          </w:p>
        </w:tc>
        <w:tc>
          <w:tcPr>
            <w:tcW w:w="1270" w:type="dxa"/>
            <w:tcBorders>
              <w:top w:val="single" w:sz="18" w:space="0" w:color="auto"/>
              <w:left w:val="single" w:sz="18" w:space="0" w:color="auto"/>
            </w:tcBorders>
            <w:noWrap/>
            <w:hideMark/>
          </w:tcPr>
          <w:p w14:paraId="004CD12F"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0.0%</w:t>
            </w:r>
          </w:p>
        </w:tc>
        <w:tc>
          <w:tcPr>
            <w:tcW w:w="1626" w:type="dxa"/>
            <w:tcBorders>
              <w:top w:val="single" w:sz="18" w:space="0" w:color="auto"/>
              <w:right w:val="single" w:sz="18" w:space="0" w:color="auto"/>
            </w:tcBorders>
            <w:noWrap/>
            <w:hideMark/>
          </w:tcPr>
          <w:p w14:paraId="1E01A5A2"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0.9%</w:t>
            </w:r>
          </w:p>
        </w:tc>
      </w:tr>
      <w:tr w:rsidR="005A15D4" w:rsidRPr="00537498" w14:paraId="525F9415" w14:textId="77777777" w:rsidTr="00296FEB">
        <w:trPr>
          <w:trHeight w:val="300"/>
        </w:trPr>
        <w:tc>
          <w:tcPr>
            <w:tcW w:w="3078" w:type="dxa"/>
            <w:tcBorders>
              <w:right w:val="single" w:sz="18" w:space="0" w:color="auto"/>
            </w:tcBorders>
            <w:noWrap/>
            <w:hideMark/>
          </w:tcPr>
          <w:p w14:paraId="5843B89B" w14:textId="77777777" w:rsidR="005A15D4" w:rsidRPr="00995C17" w:rsidRDefault="005A15D4" w:rsidP="00A1037E">
            <w:pPr>
              <w:keepNext/>
              <w:keepLines/>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r w:rsidRPr="00995C17">
              <w:rPr>
                <w:rFonts w:ascii="Times New Roman" w:eastAsia="Times New Roman" w:hAnsi="Times New Roman" w:cs="Times New Roman"/>
                <w:b/>
                <w:bCs/>
                <w:color w:val="000000"/>
              </w:rPr>
              <w:t xml:space="preserve">2.5M to </w:t>
            </w:r>
            <w:r>
              <w:rPr>
                <w:rFonts w:ascii="Times New Roman" w:eastAsia="Times New Roman" w:hAnsi="Times New Roman" w:cs="Times New Roman"/>
                <w:b/>
                <w:bCs/>
                <w:color w:val="000000"/>
              </w:rPr>
              <w:t>$</w:t>
            </w:r>
            <w:r w:rsidRPr="00995C17">
              <w:rPr>
                <w:rFonts w:ascii="Times New Roman" w:eastAsia="Times New Roman" w:hAnsi="Times New Roman" w:cs="Times New Roman"/>
                <w:b/>
                <w:bCs/>
                <w:color w:val="000000"/>
              </w:rPr>
              <w:t>5M</w:t>
            </w:r>
          </w:p>
        </w:tc>
        <w:tc>
          <w:tcPr>
            <w:tcW w:w="1260" w:type="dxa"/>
            <w:tcBorders>
              <w:left w:val="single" w:sz="18" w:space="0" w:color="auto"/>
            </w:tcBorders>
            <w:noWrap/>
            <w:hideMark/>
          </w:tcPr>
          <w:p w14:paraId="390DE481"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4.6%</w:t>
            </w:r>
          </w:p>
        </w:tc>
        <w:tc>
          <w:tcPr>
            <w:tcW w:w="1260" w:type="dxa"/>
            <w:tcBorders>
              <w:right w:val="single" w:sz="18" w:space="0" w:color="auto"/>
            </w:tcBorders>
            <w:noWrap/>
            <w:hideMark/>
          </w:tcPr>
          <w:p w14:paraId="65040CAA"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2.6%</w:t>
            </w:r>
          </w:p>
        </w:tc>
        <w:tc>
          <w:tcPr>
            <w:tcW w:w="1270" w:type="dxa"/>
            <w:tcBorders>
              <w:left w:val="single" w:sz="18" w:space="0" w:color="auto"/>
            </w:tcBorders>
            <w:noWrap/>
            <w:hideMark/>
          </w:tcPr>
          <w:p w14:paraId="6766D3DC"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5.5%</w:t>
            </w:r>
          </w:p>
        </w:tc>
        <w:tc>
          <w:tcPr>
            <w:tcW w:w="1626" w:type="dxa"/>
            <w:tcBorders>
              <w:right w:val="single" w:sz="18" w:space="0" w:color="auto"/>
            </w:tcBorders>
            <w:noWrap/>
            <w:hideMark/>
          </w:tcPr>
          <w:p w14:paraId="6EDA93A8"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2.6%</w:t>
            </w:r>
          </w:p>
        </w:tc>
      </w:tr>
      <w:tr w:rsidR="005A15D4" w:rsidRPr="00537498" w14:paraId="73488598" w14:textId="77777777" w:rsidTr="00296FEB">
        <w:trPr>
          <w:trHeight w:val="300"/>
        </w:trPr>
        <w:tc>
          <w:tcPr>
            <w:tcW w:w="3078" w:type="dxa"/>
            <w:tcBorders>
              <w:right w:val="single" w:sz="18" w:space="0" w:color="auto"/>
            </w:tcBorders>
            <w:noWrap/>
            <w:hideMark/>
          </w:tcPr>
          <w:p w14:paraId="37C0D3CE" w14:textId="77777777" w:rsidR="005A15D4" w:rsidRPr="00995C17" w:rsidRDefault="005A15D4" w:rsidP="00A1037E">
            <w:pPr>
              <w:keepNext/>
              <w:keepLines/>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r w:rsidRPr="00995C17">
              <w:rPr>
                <w:rFonts w:ascii="Times New Roman" w:eastAsia="Times New Roman" w:hAnsi="Times New Roman" w:cs="Times New Roman"/>
                <w:b/>
                <w:bCs/>
                <w:color w:val="000000"/>
              </w:rPr>
              <w:t xml:space="preserve">1M to </w:t>
            </w:r>
            <w:r>
              <w:rPr>
                <w:rFonts w:ascii="Times New Roman" w:eastAsia="Times New Roman" w:hAnsi="Times New Roman" w:cs="Times New Roman"/>
                <w:b/>
                <w:bCs/>
                <w:color w:val="000000"/>
              </w:rPr>
              <w:t>$</w:t>
            </w:r>
            <w:r w:rsidRPr="00995C17">
              <w:rPr>
                <w:rFonts w:ascii="Times New Roman" w:eastAsia="Times New Roman" w:hAnsi="Times New Roman" w:cs="Times New Roman"/>
                <w:b/>
                <w:bCs/>
                <w:color w:val="000000"/>
              </w:rPr>
              <w:t>2.5M</w:t>
            </w:r>
          </w:p>
        </w:tc>
        <w:tc>
          <w:tcPr>
            <w:tcW w:w="1260" w:type="dxa"/>
            <w:tcBorders>
              <w:left w:val="single" w:sz="18" w:space="0" w:color="auto"/>
            </w:tcBorders>
            <w:noWrap/>
            <w:hideMark/>
          </w:tcPr>
          <w:p w14:paraId="7B8A4812"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11.9%</w:t>
            </w:r>
          </w:p>
        </w:tc>
        <w:tc>
          <w:tcPr>
            <w:tcW w:w="1260" w:type="dxa"/>
            <w:tcBorders>
              <w:right w:val="single" w:sz="18" w:space="0" w:color="auto"/>
            </w:tcBorders>
            <w:noWrap/>
            <w:hideMark/>
          </w:tcPr>
          <w:p w14:paraId="02FBCA43"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7.0%</w:t>
            </w:r>
          </w:p>
        </w:tc>
        <w:tc>
          <w:tcPr>
            <w:tcW w:w="1270" w:type="dxa"/>
            <w:tcBorders>
              <w:left w:val="single" w:sz="18" w:space="0" w:color="auto"/>
            </w:tcBorders>
            <w:noWrap/>
            <w:hideMark/>
          </w:tcPr>
          <w:p w14:paraId="108B193A"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10.1%</w:t>
            </w:r>
          </w:p>
        </w:tc>
        <w:tc>
          <w:tcPr>
            <w:tcW w:w="1626" w:type="dxa"/>
            <w:tcBorders>
              <w:right w:val="single" w:sz="18" w:space="0" w:color="auto"/>
            </w:tcBorders>
            <w:noWrap/>
            <w:hideMark/>
          </w:tcPr>
          <w:p w14:paraId="435371FB"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13.2%</w:t>
            </w:r>
          </w:p>
        </w:tc>
      </w:tr>
      <w:tr w:rsidR="005A15D4" w:rsidRPr="00537498" w14:paraId="579F6771" w14:textId="77777777" w:rsidTr="00296FEB">
        <w:trPr>
          <w:trHeight w:val="300"/>
        </w:trPr>
        <w:tc>
          <w:tcPr>
            <w:tcW w:w="3078" w:type="dxa"/>
            <w:tcBorders>
              <w:right w:val="single" w:sz="18" w:space="0" w:color="auto"/>
            </w:tcBorders>
            <w:noWrap/>
            <w:hideMark/>
          </w:tcPr>
          <w:p w14:paraId="403A0923" w14:textId="77777777" w:rsidR="005A15D4" w:rsidRPr="00995C17" w:rsidRDefault="005A15D4" w:rsidP="00A1037E">
            <w:pPr>
              <w:keepNext/>
              <w:keepLines/>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r w:rsidRPr="00995C17">
              <w:rPr>
                <w:rFonts w:ascii="Times New Roman" w:eastAsia="Times New Roman" w:hAnsi="Times New Roman" w:cs="Times New Roman"/>
                <w:b/>
                <w:bCs/>
                <w:color w:val="000000"/>
              </w:rPr>
              <w:t xml:space="preserve">500K to </w:t>
            </w:r>
            <w:r>
              <w:rPr>
                <w:rFonts w:ascii="Times New Roman" w:eastAsia="Times New Roman" w:hAnsi="Times New Roman" w:cs="Times New Roman"/>
                <w:b/>
                <w:bCs/>
                <w:color w:val="000000"/>
              </w:rPr>
              <w:t>$</w:t>
            </w:r>
            <w:r w:rsidRPr="00995C17">
              <w:rPr>
                <w:rFonts w:ascii="Times New Roman" w:eastAsia="Times New Roman" w:hAnsi="Times New Roman" w:cs="Times New Roman"/>
                <w:b/>
                <w:bCs/>
                <w:color w:val="000000"/>
              </w:rPr>
              <w:t>1M</w:t>
            </w:r>
          </w:p>
        </w:tc>
        <w:tc>
          <w:tcPr>
            <w:tcW w:w="1260" w:type="dxa"/>
            <w:tcBorders>
              <w:left w:val="single" w:sz="18" w:space="0" w:color="auto"/>
            </w:tcBorders>
            <w:noWrap/>
            <w:hideMark/>
          </w:tcPr>
          <w:p w14:paraId="0D7D535E"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20.2%</w:t>
            </w:r>
          </w:p>
        </w:tc>
        <w:tc>
          <w:tcPr>
            <w:tcW w:w="1260" w:type="dxa"/>
            <w:tcBorders>
              <w:right w:val="single" w:sz="18" w:space="0" w:color="auto"/>
            </w:tcBorders>
            <w:noWrap/>
            <w:hideMark/>
          </w:tcPr>
          <w:p w14:paraId="1BF3F3D9"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14.9%</w:t>
            </w:r>
          </w:p>
        </w:tc>
        <w:tc>
          <w:tcPr>
            <w:tcW w:w="1270" w:type="dxa"/>
            <w:tcBorders>
              <w:left w:val="single" w:sz="18" w:space="0" w:color="auto"/>
            </w:tcBorders>
            <w:noWrap/>
            <w:hideMark/>
          </w:tcPr>
          <w:p w14:paraId="78DE963C"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21.1%</w:t>
            </w:r>
          </w:p>
        </w:tc>
        <w:tc>
          <w:tcPr>
            <w:tcW w:w="1626" w:type="dxa"/>
            <w:tcBorders>
              <w:right w:val="single" w:sz="18" w:space="0" w:color="auto"/>
            </w:tcBorders>
            <w:noWrap/>
            <w:hideMark/>
          </w:tcPr>
          <w:p w14:paraId="0E3663CD"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13.2%</w:t>
            </w:r>
          </w:p>
        </w:tc>
      </w:tr>
      <w:tr w:rsidR="005A15D4" w:rsidRPr="00537498" w14:paraId="1FE52B65" w14:textId="77777777" w:rsidTr="00296FEB">
        <w:trPr>
          <w:trHeight w:val="300"/>
        </w:trPr>
        <w:tc>
          <w:tcPr>
            <w:tcW w:w="3078" w:type="dxa"/>
            <w:tcBorders>
              <w:right w:val="single" w:sz="18" w:space="0" w:color="auto"/>
            </w:tcBorders>
            <w:noWrap/>
            <w:hideMark/>
          </w:tcPr>
          <w:p w14:paraId="19504E31" w14:textId="77777777" w:rsidR="005A15D4" w:rsidRPr="00995C17" w:rsidRDefault="005A15D4" w:rsidP="00A1037E">
            <w:pPr>
              <w:keepNext/>
              <w:keepLines/>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r w:rsidRPr="00995C17">
              <w:rPr>
                <w:rFonts w:ascii="Times New Roman" w:eastAsia="Times New Roman" w:hAnsi="Times New Roman" w:cs="Times New Roman"/>
                <w:b/>
                <w:bCs/>
                <w:color w:val="000000"/>
              </w:rPr>
              <w:t xml:space="preserve">250K to </w:t>
            </w:r>
            <w:r>
              <w:rPr>
                <w:rFonts w:ascii="Times New Roman" w:eastAsia="Times New Roman" w:hAnsi="Times New Roman" w:cs="Times New Roman"/>
                <w:b/>
                <w:bCs/>
                <w:color w:val="000000"/>
              </w:rPr>
              <w:t>$</w:t>
            </w:r>
            <w:r w:rsidRPr="00995C17">
              <w:rPr>
                <w:rFonts w:ascii="Times New Roman" w:eastAsia="Times New Roman" w:hAnsi="Times New Roman" w:cs="Times New Roman"/>
                <w:b/>
                <w:bCs/>
                <w:color w:val="000000"/>
              </w:rPr>
              <w:t>500K</w:t>
            </w:r>
          </w:p>
        </w:tc>
        <w:tc>
          <w:tcPr>
            <w:tcW w:w="1260" w:type="dxa"/>
            <w:tcBorders>
              <w:left w:val="single" w:sz="18" w:space="0" w:color="auto"/>
            </w:tcBorders>
            <w:noWrap/>
            <w:hideMark/>
          </w:tcPr>
          <w:p w14:paraId="38D4761B"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25.7%</w:t>
            </w:r>
          </w:p>
        </w:tc>
        <w:tc>
          <w:tcPr>
            <w:tcW w:w="1260" w:type="dxa"/>
            <w:tcBorders>
              <w:right w:val="single" w:sz="18" w:space="0" w:color="auto"/>
            </w:tcBorders>
            <w:noWrap/>
            <w:hideMark/>
          </w:tcPr>
          <w:p w14:paraId="49C3CE83"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29.8%</w:t>
            </w:r>
          </w:p>
        </w:tc>
        <w:tc>
          <w:tcPr>
            <w:tcW w:w="1270" w:type="dxa"/>
            <w:tcBorders>
              <w:left w:val="single" w:sz="18" w:space="0" w:color="auto"/>
            </w:tcBorders>
            <w:noWrap/>
            <w:hideMark/>
          </w:tcPr>
          <w:p w14:paraId="77D65639" w14:textId="53E604EF"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2</w:t>
            </w:r>
            <w:r w:rsidR="004474CC">
              <w:rPr>
                <w:rFonts w:ascii="Times New Roman" w:eastAsia="Times New Roman" w:hAnsi="Times New Roman" w:cs="Times New Roman"/>
                <w:color w:val="000000"/>
              </w:rPr>
              <w:t>2</w:t>
            </w:r>
            <w:r w:rsidRPr="00995C17">
              <w:rPr>
                <w:rFonts w:ascii="Times New Roman" w:eastAsia="Times New Roman" w:hAnsi="Times New Roman" w:cs="Times New Roman"/>
                <w:color w:val="000000"/>
              </w:rPr>
              <w:t>.9%</w:t>
            </w:r>
          </w:p>
        </w:tc>
        <w:tc>
          <w:tcPr>
            <w:tcW w:w="1626" w:type="dxa"/>
            <w:tcBorders>
              <w:right w:val="single" w:sz="18" w:space="0" w:color="auto"/>
            </w:tcBorders>
            <w:noWrap/>
            <w:hideMark/>
          </w:tcPr>
          <w:p w14:paraId="74B6B25A"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21.1%</w:t>
            </w:r>
          </w:p>
        </w:tc>
      </w:tr>
      <w:tr w:rsidR="005A15D4" w:rsidRPr="00537498" w14:paraId="179000E2" w14:textId="77777777" w:rsidTr="00296FEB">
        <w:trPr>
          <w:trHeight w:val="300"/>
        </w:trPr>
        <w:tc>
          <w:tcPr>
            <w:tcW w:w="3078" w:type="dxa"/>
            <w:tcBorders>
              <w:right w:val="single" w:sz="18" w:space="0" w:color="auto"/>
            </w:tcBorders>
            <w:noWrap/>
            <w:hideMark/>
          </w:tcPr>
          <w:p w14:paraId="35BE8F8B" w14:textId="77777777" w:rsidR="005A15D4" w:rsidRPr="00995C17" w:rsidRDefault="005A15D4" w:rsidP="00A1037E">
            <w:pPr>
              <w:keepNext/>
              <w:keepLines/>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r w:rsidRPr="00995C17">
              <w:rPr>
                <w:rFonts w:ascii="Times New Roman" w:eastAsia="Times New Roman" w:hAnsi="Times New Roman" w:cs="Times New Roman"/>
                <w:b/>
                <w:bCs/>
                <w:color w:val="000000"/>
              </w:rPr>
              <w:t xml:space="preserve">1 to </w:t>
            </w:r>
            <w:r>
              <w:rPr>
                <w:rFonts w:ascii="Times New Roman" w:eastAsia="Times New Roman" w:hAnsi="Times New Roman" w:cs="Times New Roman"/>
                <w:b/>
                <w:bCs/>
                <w:color w:val="000000"/>
              </w:rPr>
              <w:t>$</w:t>
            </w:r>
            <w:r w:rsidRPr="00995C17">
              <w:rPr>
                <w:rFonts w:ascii="Times New Roman" w:eastAsia="Times New Roman" w:hAnsi="Times New Roman" w:cs="Times New Roman"/>
                <w:b/>
                <w:bCs/>
                <w:color w:val="000000"/>
              </w:rPr>
              <w:t>250K</w:t>
            </w:r>
          </w:p>
        </w:tc>
        <w:tc>
          <w:tcPr>
            <w:tcW w:w="1260" w:type="dxa"/>
            <w:tcBorders>
              <w:left w:val="single" w:sz="18" w:space="0" w:color="auto"/>
            </w:tcBorders>
            <w:noWrap/>
            <w:hideMark/>
          </w:tcPr>
          <w:p w14:paraId="6A9596C5"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16.5%</w:t>
            </w:r>
          </w:p>
        </w:tc>
        <w:tc>
          <w:tcPr>
            <w:tcW w:w="1260" w:type="dxa"/>
            <w:tcBorders>
              <w:right w:val="single" w:sz="18" w:space="0" w:color="auto"/>
            </w:tcBorders>
            <w:noWrap/>
            <w:hideMark/>
          </w:tcPr>
          <w:p w14:paraId="07C5E427"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28.1%</w:t>
            </w:r>
          </w:p>
        </w:tc>
        <w:tc>
          <w:tcPr>
            <w:tcW w:w="1270" w:type="dxa"/>
            <w:tcBorders>
              <w:left w:val="single" w:sz="18" w:space="0" w:color="auto"/>
            </w:tcBorders>
            <w:noWrap/>
            <w:hideMark/>
          </w:tcPr>
          <w:p w14:paraId="4DCE64D0"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15.6%</w:t>
            </w:r>
          </w:p>
        </w:tc>
        <w:tc>
          <w:tcPr>
            <w:tcW w:w="1626" w:type="dxa"/>
            <w:tcBorders>
              <w:right w:val="single" w:sz="18" w:space="0" w:color="auto"/>
            </w:tcBorders>
            <w:noWrap/>
            <w:hideMark/>
          </w:tcPr>
          <w:p w14:paraId="01FE65B2"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27.2%</w:t>
            </w:r>
          </w:p>
        </w:tc>
      </w:tr>
      <w:tr w:rsidR="005A15D4" w:rsidRPr="00537498" w14:paraId="3CD15987" w14:textId="77777777" w:rsidTr="00296FEB">
        <w:trPr>
          <w:trHeight w:val="300"/>
        </w:trPr>
        <w:tc>
          <w:tcPr>
            <w:tcW w:w="3078" w:type="dxa"/>
            <w:tcBorders>
              <w:right w:val="single" w:sz="18" w:space="0" w:color="auto"/>
            </w:tcBorders>
            <w:noWrap/>
            <w:hideMark/>
          </w:tcPr>
          <w:p w14:paraId="0A7E9FD2" w14:textId="77777777" w:rsidR="005A15D4" w:rsidRPr="00995C17" w:rsidRDefault="005A15D4" w:rsidP="00A1037E">
            <w:pPr>
              <w:keepNext/>
              <w:keepLines/>
              <w:rPr>
                <w:rFonts w:ascii="Times New Roman" w:eastAsia="Times New Roman" w:hAnsi="Times New Roman" w:cs="Times New Roman"/>
                <w:b/>
                <w:bCs/>
                <w:color w:val="000000"/>
              </w:rPr>
            </w:pPr>
            <w:r w:rsidRPr="00995C17">
              <w:rPr>
                <w:rFonts w:ascii="Times New Roman" w:eastAsia="Times New Roman" w:hAnsi="Times New Roman" w:cs="Times New Roman"/>
                <w:b/>
                <w:bCs/>
                <w:color w:val="000000"/>
              </w:rPr>
              <w:t>Unknown Value</w:t>
            </w:r>
          </w:p>
        </w:tc>
        <w:tc>
          <w:tcPr>
            <w:tcW w:w="1260" w:type="dxa"/>
            <w:tcBorders>
              <w:left w:val="single" w:sz="18" w:space="0" w:color="auto"/>
            </w:tcBorders>
            <w:noWrap/>
            <w:hideMark/>
          </w:tcPr>
          <w:p w14:paraId="36C5EADF"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4.6%</w:t>
            </w:r>
          </w:p>
        </w:tc>
        <w:tc>
          <w:tcPr>
            <w:tcW w:w="1260" w:type="dxa"/>
            <w:tcBorders>
              <w:right w:val="single" w:sz="18" w:space="0" w:color="auto"/>
            </w:tcBorders>
            <w:noWrap/>
            <w:hideMark/>
          </w:tcPr>
          <w:p w14:paraId="61D02D99"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1.8%</w:t>
            </w:r>
          </w:p>
        </w:tc>
        <w:tc>
          <w:tcPr>
            <w:tcW w:w="1270" w:type="dxa"/>
            <w:tcBorders>
              <w:left w:val="single" w:sz="18" w:space="0" w:color="auto"/>
            </w:tcBorders>
            <w:noWrap/>
            <w:hideMark/>
          </w:tcPr>
          <w:p w14:paraId="0A723674" w14:textId="60F3990F" w:rsidR="005A15D4" w:rsidRPr="00995C17" w:rsidRDefault="004474CC" w:rsidP="00A1037E">
            <w:pPr>
              <w:keepNext/>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r w:rsidR="005A15D4" w:rsidRPr="00995C17">
              <w:rPr>
                <w:rFonts w:ascii="Times New Roman" w:eastAsia="Times New Roman" w:hAnsi="Times New Roman" w:cs="Times New Roman"/>
                <w:color w:val="000000"/>
              </w:rPr>
              <w:t>.</w:t>
            </w:r>
            <w:r>
              <w:rPr>
                <w:rFonts w:ascii="Times New Roman" w:eastAsia="Times New Roman" w:hAnsi="Times New Roman" w:cs="Times New Roman"/>
                <w:color w:val="000000"/>
              </w:rPr>
              <w:t>5</w:t>
            </w:r>
            <w:r w:rsidR="005A15D4" w:rsidRPr="00995C17">
              <w:rPr>
                <w:rFonts w:ascii="Times New Roman" w:eastAsia="Times New Roman" w:hAnsi="Times New Roman" w:cs="Times New Roman"/>
                <w:color w:val="000000"/>
              </w:rPr>
              <w:t>%</w:t>
            </w:r>
          </w:p>
        </w:tc>
        <w:tc>
          <w:tcPr>
            <w:tcW w:w="1626" w:type="dxa"/>
            <w:tcBorders>
              <w:right w:val="single" w:sz="18" w:space="0" w:color="auto"/>
            </w:tcBorders>
            <w:noWrap/>
            <w:hideMark/>
          </w:tcPr>
          <w:p w14:paraId="5A9FBAE2" w14:textId="4D6228F5" w:rsidR="005A15D4" w:rsidRPr="00995C17" w:rsidRDefault="004474CC" w:rsidP="00A1037E">
            <w:pPr>
              <w:keepNext/>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r w:rsidR="005A15D4" w:rsidRPr="00995C17">
              <w:rPr>
                <w:rFonts w:ascii="Times New Roman" w:eastAsia="Times New Roman" w:hAnsi="Times New Roman" w:cs="Times New Roman"/>
                <w:color w:val="000000"/>
              </w:rPr>
              <w:t>.</w:t>
            </w:r>
            <w:r>
              <w:rPr>
                <w:rFonts w:ascii="Times New Roman" w:eastAsia="Times New Roman" w:hAnsi="Times New Roman" w:cs="Times New Roman"/>
                <w:color w:val="000000"/>
              </w:rPr>
              <w:t>3</w:t>
            </w:r>
            <w:r w:rsidR="005A15D4" w:rsidRPr="00995C17">
              <w:rPr>
                <w:rFonts w:ascii="Times New Roman" w:eastAsia="Times New Roman" w:hAnsi="Times New Roman" w:cs="Times New Roman"/>
                <w:color w:val="000000"/>
              </w:rPr>
              <w:t>%</w:t>
            </w:r>
          </w:p>
        </w:tc>
      </w:tr>
      <w:tr w:rsidR="005A15D4" w:rsidRPr="00537498" w14:paraId="1F6B10C8" w14:textId="77777777" w:rsidTr="00296FEB">
        <w:trPr>
          <w:trHeight w:val="300"/>
        </w:trPr>
        <w:tc>
          <w:tcPr>
            <w:tcW w:w="3078" w:type="dxa"/>
            <w:tcBorders>
              <w:right w:val="single" w:sz="18" w:space="0" w:color="auto"/>
            </w:tcBorders>
            <w:noWrap/>
            <w:hideMark/>
          </w:tcPr>
          <w:p w14:paraId="46645953" w14:textId="122B7049" w:rsidR="005A15D4" w:rsidRPr="00995C17" w:rsidRDefault="007C64BB" w:rsidP="00A1037E">
            <w:pPr>
              <w:keepNext/>
              <w:keepLines/>
              <w:rPr>
                <w:rFonts w:ascii="Times New Roman" w:eastAsia="Times New Roman" w:hAnsi="Times New Roman" w:cs="Times New Roman"/>
                <w:b/>
                <w:bCs/>
                <w:color w:val="000000"/>
              </w:rPr>
            </w:pPr>
            <w:r>
              <w:rPr>
                <w:rFonts w:ascii="Times New Roman" w:eastAsia="Times New Roman" w:hAnsi="Times New Roman" w:cs="Times New Roman"/>
                <w:b/>
                <w:bCs/>
                <w:color w:val="000000"/>
              </w:rPr>
              <w:t>Home But No Mortgage</w:t>
            </w:r>
          </w:p>
        </w:tc>
        <w:tc>
          <w:tcPr>
            <w:tcW w:w="1260" w:type="dxa"/>
            <w:tcBorders>
              <w:left w:val="single" w:sz="18" w:space="0" w:color="auto"/>
            </w:tcBorders>
            <w:noWrap/>
            <w:hideMark/>
          </w:tcPr>
          <w:p w14:paraId="12C3915C" w14:textId="277F612F" w:rsidR="005A15D4" w:rsidRPr="00995C17" w:rsidRDefault="005A15D4" w:rsidP="00A1037E">
            <w:pPr>
              <w:keepNext/>
              <w:keepLines/>
              <w:jc w:val="right"/>
              <w:rPr>
                <w:rFonts w:ascii="Times New Roman" w:eastAsia="Times New Roman" w:hAnsi="Times New Roman" w:cs="Times New Roman"/>
                <w:color w:val="000000"/>
              </w:rPr>
            </w:pPr>
          </w:p>
        </w:tc>
        <w:tc>
          <w:tcPr>
            <w:tcW w:w="1260" w:type="dxa"/>
            <w:tcBorders>
              <w:right w:val="single" w:sz="18" w:space="0" w:color="auto"/>
            </w:tcBorders>
            <w:noWrap/>
            <w:hideMark/>
          </w:tcPr>
          <w:p w14:paraId="73AC1F7B" w14:textId="5CC0188C" w:rsidR="005A15D4" w:rsidRPr="00995C17" w:rsidRDefault="005A15D4" w:rsidP="00A1037E">
            <w:pPr>
              <w:keepNext/>
              <w:keepLines/>
              <w:jc w:val="right"/>
              <w:rPr>
                <w:rFonts w:ascii="Times New Roman" w:eastAsia="Times New Roman" w:hAnsi="Times New Roman" w:cs="Times New Roman"/>
                <w:color w:val="000000"/>
              </w:rPr>
            </w:pPr>
          </w:p>
        </w:tc>
        <w:tc>
          <w:tcPr>
            <w:tcW w:w="1270" w:type="dxa"/>
            <w:tcBorders>
              <w:left w:val="single" w:sz="18" w:space="0" w:color="auto"/>
            </w:tcBorders>
            <w:noWrap/>
            <w:hideMark/>
          </w:tcPr>
          <w:p w14:paraId="2D40A034" w14:textId="6972A4C7" w:rsidR="005A15D4" w:rsidRPr="00995C17" w:rsidRDefault="004474CC" w:rsidP="00A1037E">
            <w:pPr>
              <w:keepNext/>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r w:rsidR="005A15D4" w:rsidRPr="00995C17">
              <w:rPr>
                <w:rFonts w:ascii="Times New Roman" w:eastAsia="Times New Roman" w:hAnsi="Times New Roman" w:cs="Times New Roman"/>
                <w:color w:val="000000"/>
              </w:rPr>
              <w:t>.</w:t>
            </w:r>
            <w:r>
              <w:rPr>
                <w:rFonts w:ascii="Times New Roman" w:eastAsia="Times New Roman" w:hAnsi="Times New Roman" w:cs="Times New Roman"/>
                <w:color w:val="000000"/>
              </w:rPr>
              <w:t>8</w:t>
            </w:r>
            <w:r w:rsidR="005A15D4" w:rsidRPr="00995C17">
              <w:rPr>
                <w:rFonts w:ascii="Times New Roman" w:eastAsia="Times New Roman" w:hAnsi="Times New Roman" w:cs="Times New Roman"/>
                <w:color w:val="000000"/>
              </w:rPr>
              <w:t>%</w:t>
            </w:r>
          </w:p>
        </w:tc>
        <w:tc>
          <w:tcPr>
            <w:tcW w:w="1626" w:type="dxa"/>
            <w:tcBorders>
              <w:right w:val="single" w:sz="18" w:space="0" w:color="auto"/>
            </w:tcBorders>
            <w:noWrap/>
            <w:hideMark/>
          </w:tcPr>
          <w:p w14:paraId="234EC1BC" w14:textId="1A509D18" w:rsidR="005A15D4" w:rsidRPr="00995C17" w:rsidRDefault="004474CC" w:rsidP="00A1037E">
            <w:pPr>
              <w:keepNext/>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5A15D4" w:rsidRPr="00995C17">
              <w:rPr>
                <w:rFonts w:ascii="Times New Roman" w:eastAsia="Times New Roman" w:hAnsi="Times New Roman" w:cs="Times New Roman"/>
                <w:color w:val="000000"/>
              </w:rPr>
              <w:t>.</w:t>
            </w:r>
            <w:r>
              <w:rPr>
                <w:rFonts w:ascii="Times New Roman" w:eastAsia="Times New Roman" w:hAnsi="Times New Roman" w:cs="Times New Roman"/>
                <w:color w:val="000000"/>
              </w:rPr>
              <w:t>8</w:t>
            </w:r>
            <w:r w:rsidR="005A15D4" w:rsidRPr="00995C17">
              <w:rPr>
                <w:rFonts w:ascii="Times New Roman" w:eastAsia="Times New Roman" w:hAnsi="Times New Roman" w:cs="Times New Roman"/>
                <w:color w:val="000000"/>
              </w:rPr>
              <w:t>%</w:t>
            </w:r>
          </w:p>
        </w:tc>
      </w:tr>
      <w:tr w:rsidR="005A15D4" w:rsidRPr="00537498" w14:paraId="126F6AB7" w14:textId="77777777" w:rsidTr="00296FEB">
        <w:trPr>
          <w:trHeight w:val="300"/>
        </w:trPr>
        <w:tc>
          <w:tcPr>
            <w:tcW w:w="3078" w:type="dxa"/>
            <w:tcBorders>
              <w:right w:val="single" w:sz="18" w:space="0" w:color="auto"/>
            </w:tcBorders>
            <w:noWrap/>
            <w:hideMark/>
          </w:tcPr>
          <w:p w14:paraId="696F8712" w14:textId="21A75ECA" w:rsidR="005A15D4" w:rsidRPr="00995C17" w:rsidRDefault="005A15D4" w:rsidP="00A1037E">
            <w:pPr>
              <w:keepNext/>
              <w:keepLines/>
              <w:rPr>
                <w:rFonts w:ascii="Times New Roman" w:eastAsia="Times New Roman" w:hAnsi="Times New Roman" w:cs="Times New Roman"/>
                <w:b/>
                <w:bCs/>
                <w:color w:val="000000"/>
              </w:rPr>
            </w:pPr>
            <w:r w:rsidRPr="00995C17">
              <w:rPr>
                <w:rFonts w:ascii="Times New Roman" w:eastAsia="Times New Roman" w:hAnsi="Times New Roman" w:cs="Times New Roman"/>
                <w:b/>
                <w:bCs/>
                <w:color w:val="000000"/>
              </w:rPr>
              <w:t>No</w:t>
            </w:r>
            <w:r w:rsidR="00A120C9">
              <w:rPr>
                <w:rFonts w:ascii="Times New Roman" w:eastAsia="Times New Roman" w:hAnsi="Times New Roman" w:cs="Times New Roman"/>
                <w:b/>
                <w:bCs/>
                <w:color w:val="000000"/>
              </w:rPr>
              <w:t xml:space="preserve"> Home</w:t>
            </w:r>
          </w:p>
        </w:tc>
        <w:tc>
          <w:tcPr>
            <w:tcW w:w="1260" w:type="dxa"/>
            <w:tcBorders>
              <w:left w:val="single" w:sz="18" w:space="0" w:color="auto"/>
            </w:tcBorders>
            <w:noWrap/>
            <w:hideMark/>
          </w:tcPr>
          <w:p w14:paraId="769DA324"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6.4%</w:t>
            </w:r>
          </w:p>
        </w:tc>
        <w:tc>
          <w:tcPr>
            <w:tcW w:w="1260" w:type="dxa"/>
            <w:tcBorders>
              <w:right w:val="single" w:sz="18" w:space="0" w:color="auto"/>
            </w:tcBorders>
            <w:noWrap/>
            <w:hideMark/>
          </w:tcPr>
          <w:p w14:paraId="1888819C"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7.9%</w:t>
            </w:r>
          </w:p>
        </w:tc>
        <w:tc>
          <w:tcPr>
            <w:tcW w:w="1270" w:type="dxa"/>
            <w:tcBorders>
              <w:left w:val="single" w:sz="18" w:space="0" w:color="auto"/>
            </w:tcBorders>
            <w:noWrap/>
            <w:hideMark/>
          </w:tcPr>
          <w:p w14:paraId="47E0F5F1" w14:textId="799F4D22" w:rsidR="005A15D4" w:rsidRPr="00995C17" w:rsidRDefault="00A120C9" w:rsidP="00A1037E">
            <w:pPr>
              <w:keepNext/>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r w:rsidR="005A15D4" w:rsidRPr="00995C17">
              <w:rPr>
                <w:rFonts w:ascii="Times New Roman" w:eastAsia="Times New Roman" w:hAnsi="Times New Roman" w:cs="Times New Roman"/>
                <w:color w:val="000000"/>
              </w:rPr>
              <w:t>.</w:t>
            </w:r>
            <w:r>
              <w:rPr>
                <w:rFonts w:ascii="Times New Roman" w:eastAsia="Times New Roman" w:hAnsi="Times New Roman" w:cs="Times New Roman"/>
                <w:color w:val="000000"/>
              </w:rPr>
              <w:t>4</w:t>
            </w:r>
            <w:r w:rsidR="005A15D4" w:rsidRPr="00995C17">
              <w:rPr>
                <w:rFonts w:ascii="Times New Roman" w:eastAsia="Times New Roman" w:hAnsi="Times New Roman" w:cs="Times New Roman"/>
                <w:color w:val="000000"/>
              </w:rPr>
              <w:t>%</w:t>
            </w:r>
          </w:p>
        </w:tc>
        <w:tc>
          <w:tcPr>
            <w:tcW w:w="1626" w:type="dxa"/>
            <w:tcBorders>
              <w:right w:val="single" w:sz="18" w:space="0" w:color="auto"/>
            </w:tcBorders>
            <w:noWrap/>
            <w:hideMark/>
          </w:tcPr>
          <w:p w14:paraId="1C480834" w14:textId="2CE3A9C0" w:rsidR="005A15D4" w:rsidRPr="00995C17" w:rsidRDefault="00A120C9" w:rsidP="00A1037E">
            <w:pPr>
              <w:keepNext/>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7</w:t>
            </w:r>
            <w:r w:rsidR="005A15D4" w:rsidRPr="00995C17">
              <w:rPr>
                <w:rFonts w:ascii="Times New Roman" w:eastAsia="Times New Roman" w:hAnsi="Times New Roman" w:cs="Times New Roman"/>
                <w:color w:val="000000"/>
              </w:rPr>
              <w:t>.</w:t>
            </w:r>
            <w:r>
              <w:rPr>
                <w:rFonts w:ascii="Times New Roman" w:eastAsia="Times New Roman" w:hAnsi="Times New Roman" w:cs="Times New Roman"/>
                <w:color w:val="000000"/>
              </w:rPr>
              <w:t>9</w:t>
            </w:r>
            <w:r w:rsidR="005A15D4" w:rsidRPr="00995C17">
              <w:rPr>
                <w:rFonts w:ascii="Times New Roman" w:eastAsia="Times New Roman" w:hAnsi="Times New Roman" w:cs="Times New Roman"/>
                <w:color w:val="000000"/>
              </w:rPr>
              <w:t>%</w:t>
            </w:r>
          </w:p>
        </w:tc>
      </w:tr>
      <w:tr w:rsidR="005A15D4" w:rsidRPr="00537498" w14:paraId="7569F061" w14:textId="77777777" w:rsidTr="00296FEB">
        <w:trPr>
          <w:trHeight w:val="300"/>
        </w:trPr>
        <w:tc>
          <w:tcPr>
            <w:tcW w:w="3078" w:type="dxa"/>
            <w:tcBorders>
              <w:right w:val="single" w:sz="18" w:space="0" w:color="auto"/>
            </w:tcBorders>
            <w:noWrap/>
            <w:hideMark/>
          </w:tcPr>
          <w:p w14:paraId="575DAE51" w14:textId="5A0D5714" w:rsidR="005A15D4" w:rsidRPr="00995C17" w:rsidRDefault="00513B33" w:rsidP="00A1037E">
            <w:pPr>
              <w:keepNext/>
              <w:keepLines/>
              <w:rPr>
                <w:rFonts w:ascii="Times New Roman" w:eastAsia="Times New Roman" w:hAnsi="Times New Roman" w:cs="Times New Roman"/>
                <w:b/>
                <w:bCs/>
                <w:color w:val="000000"/>
              </w:rPr>
            </w:pPr>
            <w:r>
              <w:rPr>
                <w:rFonts w:ascii="Times New Roman" w:eastAsia="Times New Roman" w:hAnsi="Times New Roman" w:cs="Times New Roman"/>
                <w:b/>
                <w:bCs/>
                <w:color w:val="000000"/>
              </w:rPr>
              <w:t>N/A</w:t>
            </w:r>
          </w:p>
        </w:tc>
        <w:tc>
          <w:tcPr>
            <w:tcW w:w="1260" w:type="dxa"/>
            <w:tcBorders>
              <w:left w:val="single" w:sz="18" w:space="0" w:color="auto"/>
            </w:tcBorders>
            <w:noWrap/>
            <w:hideMark/>
          </w:tcPr>
          <w:p w14:paraId="3FF55056"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10.1%</w:t>
            </w:r>
          </w:p>
        </w:tc>
        <w:tc>
          <w:tcPr>
            <w:tcW w:w="1260" w:type="dxa"/>
            <w:tcBorders>
              <w:right w:val="single" w:sz="18" w:space="0" w:color="auto"/>
            </w:tcBorders>
            <w:noWrap/>
            <w:hideMark/>
          </w:tcPr>
          <w:p w14:paraId="4117D732"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3.5%</w:t>
            </w:r>
          </w:p>
        </w:tc>
        <w:tc>
          <w:tcPr>
            <w:tcW w:w="1270" w:type="dxa"/>
            <w:tcBorders>
              <w:left w:val="single" w:sz="18" w:space="0" w:color="auto"/>
            </w:tcBorders>
            <w:noWrap/>
            <w:hideMark/>
          </w:tcPr>
          <w:p w14:paraId="4AA77ED7"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11.0%</w:t>
            </w:r>
          </w:p>
        </w:tc>
        <w:tc>
          <w:tcPr>
            <w:tcW w:w="1626" w:type="dxa"/>
            <w:tcBorders>
              <w:right w:val="single" w:sz="18" w:space="0" w:color="auto"/>
            </w:tcBorders>
            <w:noWrap/>
            <w:hideMark/>
          </w:tcPr>
          <w:p w14:paraId="16B9EA9B" w14:textId="0FBFEDC6" w:rsidR="005A15D4" w:rsidRPr="00995C17" w:rsidRDefault="00A120C9" w:rsidP="00A1037E">
            <w:pPr>
              <w:keepNext/>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7</w:t>
            </w:r>
            <w:r w:rsidR="005A15D4" w:rsidRPr="00995C17">
              <w:rPr>
                <w:rFonts w:ascii="Times New Roman" w:eastAsia="Times New Roman" w:hAnsi="Times New Roman" w:cs="Times New Roman"/>
                <w:color w:val="000000"/>
              </w:rPr>
              <w:t>.</w:t>
            </w:r>
            <w:r>
              <w:rPr>
                <w:rFonts w:ascii="Times New Roman" w:eastAsia="Times New Roman" w:hAnsi="Times New Roman" w:cs="Times New Roman"/>
                <w:color w:val="000000"/>
              </w:rPr>
              <w:t>0</w:t>
            </w:r>
            <w:r w:rsidR="005A15D4" w:rsidRPr="00995C17">
              <w:rPr>
                <w:rFonts w:ascii="Times New Roman" w:eastAsia="Times New Roman" w:hAnsi="Times New Roman" w:cs="Times New Roman"/>
                <w:color w:val="000000"/>
              </w:rPr>
              <w:t>%</w:t>
            </w:r>
          </w:p>
        </w:tc>
      </w:tr>
      <w:tr w:rsidR="005A15D4" w:rsidRPr="00537498" w14:paraId="2916F3CB" w14:textId="77777777" w:rsidTr="00296FEB">
        <w:trPr>
          <w:trHeight w:val="300"/>
        </w:trPr>
        <w:tc>
          <w:tcPr>
            <w:tcW w:w="3078" w:type="dxa"/>
            <w:tcBorders>
              <w:top w:val="double" w:sz="4" w:space="0" w:color="auto"/>
              <w:bottom w:val="double" w:sz="4" w:space="0" w:color="auto"/>
              <w:right w:val="single" w:sz="18" w:space="0" w:color="auto"/>
            </w:tcBorders>
            <w:noWrap/>
          </w:tcPr>
          <w:p w14:paraId="707BA0E4" w14:textId="77777777" w:rsidR="005A15D4" w:rsidRPr="0017214D" w:rsidRDefault="005A15D4" w:rsidP="00A1037E">
            <w:pPr>
              <w:keepNext/>
              <w:keepLines/>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Max</w:t>
            </w:r>
            <w:r>
              <w:rPr>
                <w:rFonts w:ascii="Times New Roman" w:eastAsia="Times New Roman" w:hAnsi="Times New Roman" w:cs="Times New Roman"/>
                <w:b/>
                <w:bCs/>
                <w:color w:val="000000"/>
              </w:rPr>
              <w:t>imum</w:t>
            </w:r>
          </w:p>
        </w:tc>
        <w:tc>
          <w:tcPr>
            <w:tcW w:w="1260" w:type="dxa"/>
            <w:tcBorders>
              <w:top w:val="double" w:sz="4" w:space="0" w:color="auto"/>
              <w:left w:val="single" w:sz="18" w:space="0" w:color="auto"/>
              <w:bottom w:val="double" w:sz="4" w:space="0" w:color="auto"/>
            </w:tcBorders>
            <w:noWrap/>
          </w:tcPr>
          <w:p w14:paraId="51D849AE" w14:textId="77777777" w:rsidR="005A15D4" w:rsidRPr="0017214D" w:rsidRDefault="005A15D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4,500,000</w:t>
            </w:r>
          </w:p>
        </w:tc>
        <w:tc>
          <w:tcPr>
            <w:tcW w:w="1260" w:type="dxa"/>
            <w:tcBorders>
              <w:top w:val="double" w:sz="4" w:space="0" w:color="auto"/>
              <w:bottom w:val="double" w:sz="4" w:space="0" w:color="auto"/>
              <w:right w:val="single" w:sz="18" w:space="0" w:color="auto"/>
            </w:tcBorders>
            <w:noWrap/>
          </w:tcPr>
          <w:p w14:paraId="718F85FA" w14:textId="77777777" w:rsidR="005A15D4" w:rsidRPr="0017214D" w:rsidRDefault="005A15D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9,200,000</w:t>
            </w:r>
          </w:p>
        </w:tc>
        <w:tc>
          <w:tcPr>
            <w:tcW w:w="1270" w:type="dxa"/>
            <w:tcBorders>
              <w:top w:val="double" w:sz="4" w:space="0" w:color="auto"/>
              <w:left w:val="single" w:sz="18" w:space="0" w:color="auto"/>
              <w:bottom w:val="double" w:sz="4" w:space="0" w:color="auto"/>
            </w:tcBorders>
            <w:noWrap/>
          </w:tcPr>
          <w:p w14:paraId="2A13CBFF" w14:textId="77777777" w:rsidR="005A15D4" w:rsidRPr="0017214D" w:rsidRDefault="005A15D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3,557,890</w:t>
            </w:r>
          </w:p>
        </w:tc>
        <w:tc>
          <w:tcPr>
            <w:tcW w:w="1626" w:type="dxa"/>
            <w:tcBorders>
              <w:top w:val="double" w:sz="4" w:space="0" w:color="auto"/>
              <w:bottom w:val="double" w:sz="4" w:space="0" w:color="auto"/>
              <w:right w:val="single" w:sz="18" w:space="0" w:color="auto"/>
            </w:tcBorders>
            <w:noWrap/>
          </w:tcPr>
          <w:p w14:paraId="5485B8FF" w14:textId="77777777" w:rsidR="005A15D4" w:rsidRPr="0017214D" w:rsidRDefault="005A15D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10,200,000</w:t>
            </w:r>
          </w:p>
        </w:tc>
      </w:tr>
      <w:tr w:rsidR="005A15D4" w:rsidRPr="00537498" w14:paraId="6492337B" w14:textId="77777777" w:rsidTr="00296FEB">
        <w:trPr>
          <w:trHeight w:val="300"/>
        </w:trPr>
        <w:tc>
          <w:tcPr>
            <w:tcW w:w="3078" w:type="dxa"/>
            <w:tcBorders>
              <w:top w:val="double" w:sz="4" w:space="0" w:color="auto"/>
              <w:right w:val="single" w:sz="18" w:space="0" w:color="auto"/>
            </w:tcBorders>
            <w:noWrap/>
            <w:hideMark/>
          </w:tcPr>
          <w:p w14:paraId="70936E76" w14:textId="77777777" w:rsidR="005A15D4" w:rsidRPr="00995C17" w:rsidRDefault="005A15D4" w:rsidP="00A1037E">
            <w:pPr>
              <w:keepNext/>
              <w:keepLines/>
              <w:rPr>
                <w:rFonts w:ascii="Times New Roman" w:eastAsia="Times New Roman" w:hAnsi="Times New Roman" w:cs="Times New Roman"/>
                <w:b/>
                <w:bCs/>
                <w:color w:val="000000"/>
              </w:rPr>
            </w:pPr>
            <w:r w:rsidRPr="00995C17">
              <w:rPr>
                <w:rFonts w:ascii="Times New Roman" w:eastAsia="Times New Roman" w:hAnsi="Times New Roman" w:cs="Times New Roman"/>
                <w:b/>
                <w:bCs/>
                <w:color w:val="000000"/>
              </w:rPr>
              <w:t>Av</w:t>
            </w:r>
            <w:r>
              <w:rPr>
                <w:rFonts w:ascii="Times New Roman" w:eastAsia="Times New Roman" w:hAnsi="Times New Roman" w:cs="Times New Roman"/>
                <w:b/>
                <w:bCs/>
                <w:color w:val="000000"/>
              </w:rPr>
              <w:t>era</w:t>
            </w:r>
            <w:r w:rsidRPr="00995C17">
              <w:rPr>
                <w:rFonts w:ascii="Times New Roman" w:eastAsia="Times New Roman" w:hAnsi="Times New Roman" w:cs="Times New Roman"/>
                <w:b/>
                <w:bCs/>
                <w:color w:val="000000"/>
              </w:rPr>
              <w:t>g</w:t>
            </w:r>
            <w:r>
              <w:rPr>
                <w:rFonts w:ascii="Times New Roman" w:eastAsia="Times New Roman" w:hAnsi="Times New Roman" w:cs="Times New Roman"/>
                <w:b/>
                <w:bCs/>
                <w:color w:val="000000"/>
              </w:rPr>
              <w:t>e</w:t>
            </w:r>
          </w:p>
        </w:tc>
        <w:tc>
          <w:tcPr>
            <w:tcW w:w="1260" w:type="dxa"/>
            <w:tcBorders>
              <w:top w:val="double" w:sz="4" w:space="0" w:color="auto"/>
              <w:left w:val="single" w:sz="18" w:space="0" w:color="auto"/>
            </w:tcBorders>
            <w:noWrap/>
            <w:hideMark/>
          </w:tcPr>
          <w:p w14:paraId="63019C27"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739,191</w:t>
            </w:r>
          </w:p>
        </w:tc>
        <w:tc>
          <w:tcPr>
            <w:tcW w:w="1260" w:type="dxa"/>
            <w:tcBorders>
              <w:top w:val="double" w:sz="4" w:space="0" w:color="auto"/>
              <w:right w:val="single" w:sz="18" w:space="0" w:color="auto"/>
            </w:tcBorders>
            <w:noWrap/>
            <w:hideMark/>
          </w:tcPr>
          <w:p w14:paraId="4FD0649A"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624,764</w:t>
            </w:r>
          </w:p>
        </w:tc>
        <w:tc>
          <w:tcPr>
            <w:tcW w:w="1270" w:type="dxa"/>
            <w:tcBorders>
              <w:top w:val="double" w:sz="4" w:space="0" w:color="auto"/>
              <w:left w:val="single" w:sz="18" w:space="0" w:color="auto"/>
            </w:tcBorders>
            <w:noWrap/>
            <w:hideMark/>
          </w:tcPr>
          <w:p w14:paraId="08B03905" w14:textId="264ABF32"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7</w:t>
            </w:r>
            <w:r w:rsidR="00A120C9">
              <w:rPr>
                <w:rFonts w:ascii="Times New Roman" w:eastAsia="Times New Roman" w:hAnsi="Times New Roman" w:cs="Times New Roman"/>
                <w:color w:val="000000"/>
              </w:rPr>
              <w:t>42</w:t>
            </w:r>
            <w:r w:rsidRPr="00995C17">
              <w:rPr>
                <w:rFonts w:ascii="Times New Roman" w:eastAsia="Times New Roman" w:hAnsi="Times New Roman" w:cs="Times New Roman"/>
                <w:color w:val="000000"/>
              </w:rPr>
              <w:t>,</w:t>
            </w:r>
            <w:r w:rsidR="00A120C9">
              <w:rPr>
                <w:rFonts w:ascii="Times New Roman" w:eastAsia="Times New Roman" w:hAnsi="Times New Roman" w:cs="Times New Roman"/>
                <w:color w:val="000000"/>
              </w:rPr>
              <w:t>362</w:t>
            </w:r>
          </w:p>
        </w:tc>
        <w:tc>
          <w:tcPr>
            <w:tcW w:w="1626" w:type="dxa"/>
            <w:tcBorders>
              <w:top w:val="double" w:sz="4" w:space="0" w:color="auto"/>
              <w:right w:val="single" w:sz="18" w:space="0" w:color="auto"/>
            </w:tcBorders>
            <w:noWrap/>
            <w:hideMark/>
          </w:tcPr>
          <w:p w14:paraId="6B883CD2" w14:textId="35E6760A"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6</w:t>
            </w:r>
            <w:r w:rsidR="00A120C9">
              <w:rPr>
                <w:rFonts w:ascii="Times New Roman" w:eastAsia="Times New Roman" w:hAnsi="Times New Roman" w:cs="Times New Roman"/>
                <w:color w:val="000000"/>
              </w:rPr>
              <w:t>92</w:t>
            </w:r>
            <w:r w:rsidRPr="00995C17">
              <w:rPr>
                <w:rFonts w:ascii="Times New Roman" w:eastAsia="Times New Roman" w:hAnsi="Times New Roman" w:cs="Times New Roman"/>
                <w:color w:val="000000"/>
              </w:rPr>
              <w:t>,</w:t>
            </w:r>
            <w:r w:rsidR="00A120C9">
              <w:rPr>
                <w:rFonts w:ascii="Times New Roman" w:eastAsia="Times New Roman" w:hAnsi="Times New Roman" w:cs="Times New Roman"/>
                <w:color w:val="000000"/>
              </w:rPr>
              <w:t>424</w:t>
            </w:r>
          </w:p>
        </w:tc>
      </w:tr>
      <w:tr w:rsidR="005A15D4" w:rsidRPr="00537498" w14:paraId="6884093D" w14:textId="77777777" w:rsidTr="00296FEB">
        <w:trPr>
          <w:trHeight w:val="300"/>
        </w:trPr>
        <w:tc>
          <w:tcPr>
            <w:tcW w:w="3078" w:type="dxa"/>
            <w:tcBorders>
              <w:right w:val="single" w:sz="18" w:space="0" w:color="auto"/>
            </w:tcBorders>
            <w:noWrap/>
            <w:hideMark/>
          </w:tcPr>
          <w:p w14:paraId="1E9ED07F" w14:textId="654B2257" w:rsidR="005A15D4" w:rsidRPr="00995C17" w:rsidRDefault="005A15D4" w:rsidP="00A1037E">
            <w:pPr>
              <w:keepNext/>
              <w:keepLines/>
              <w:rPr>
                <w:rFonts w:ascii="Times New Roman" w:eastAsia="Times New Roman" w:hAnsi="Times New Roman" w:cs="Times New Roman"/>
                <w:b/>
                <w:bCs/>
                <w:color w:val="000000"/>
              </w:rPr>
            </w:pPr>
            <w:r>
              <w:rPr>
                <w:rFonts w:ascii="Times New Roman" w:eastAsia="Times New Roman" w:hAnsi="Times New Roman" w:cs="Times New Roman"/>
                <w:b/>
                <w:bCs/>
                <w:color w:val="000000"/>
              </w:rPr>
              <w:t>M</w:t>
            </w:r>
            <w:r w:rsidRPr="00995C17">
              <w:rPr>
                <w:rFonts w:ascii="Times New Roman" w:eastAsia="Times New Roman" w:hAnsi="Times New Roman" w:cs="Times New Roman"/>
                <w:b/>
                <w:bCs/>
                <w:color w:val="000000"/>
              </w:rPr>
              <w:t>edian</w:t>
            </w:r>
          </w:p>
        </w:tc>
        <w:tc>
          <w:tcPr>
            <w:tcW w:w="1260" w:type="dxa"/>
            <w:tcBorders>
              <w:left w:val="single" w:sz="18" w:space="0" w:color="auto"/>
            </w:tcBorders>
            <w:noWrap/>
            <w:hideMark/>
          </w:tcPr>
          <w:p w14:paraId="4DB15FFE"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450,000</w:t>
            </w:r>
          </w:p>
        </w:tc>
        <w:tc>
          <w:tcPr>
            <w:tcW w:w="1260" w:type="dxa"/>
            <w:tcBorders>
              <w:right w:val="single" w:sz="18" w:space="0" w:color="auto"/>
            </w:tcBorders>
            <w:noWrap/>
            <w:hideMark/>
          </w:tcPr>
          <w:p w14:paraId="28BC7488" w14:textId="77777777"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320,000</w:t>
            </w:r>
          </w:p>
        </w:tc>
        <w:tc>
          <w:tcPr>
            <w:tcW w:w="1270" w:type="dxa"/>
            <w:tcBorders>
              <w:left w:val="single" w:sz="18" w:space="0" w:color="auto"/>
            </w:tcBorders>
            <w:noWrap/>
            <w:hideMark/>
          </w:tcPr>
          <w:p w14:paraId="60CF5667" w14:textId="2C8DCAB6"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4</w:t>
            </w:r>
            <w:r w:rsidR="00A120C9">
              <w:rPr>
                <w:rFonts w:ascii="Times New Roman" w:eastAsia="Times New Roman" w:hAnsi="Times New Roman" w:cs="Times New Roman"/>
                <w:color w:val="000000"/>
              </w:rPr>
              <w:t>73</w:t>
            </w:r>
            <w:r w:rsidRPr="00995C17">
              <w:rPr>
                <w:rFonts w:ascii="Times New Roman" w:eastAsia="Times New Roman" w:hAnsi="Times New Roman" w:cs="Times New Roman"/>
                <w:color w:val="000000"/>
              </w:rPr>
              <w:t>,</w:t>
            </w:r>
            <w:r w:rsidR="00A120C9">
              <w:rPr>
                <w:rFonts w:ascii="Times New Roman" w:eastAsia="Times New Roman" w:hAnsi="Times New Roman" w:cs="Times New Roman"/>
                <w:color w:val="000000"/>
              </w:rPr>
              <w:t>562</w:t>
            </w:r>
          </w:p>
        </w:tc>
        <w:tc>
          <w:tcPr>
            <w:tcW w:w="1626" w:type="dxa"/>
            <w:tcBorders>
              <w:right w:val="single" w:sz="18" w:space="0" w:color="auto"/>
            </w:tcBorders>
            <w:noWrap/>
            <w:hideMark/>
          </w:tcPr>
          <w:p w14:paraId="0D3294D3" w14:textId="4C81096D" w:rsidR="005A15D4" w:rsidRPr="00995C17" w:rsidRDefault="005A15D4" w:rsidP="00A1037E">
            <w:pPr>
              <w:keepNext/>
              <w:keepLines/>
              <w:jc w:val="right"/>
              <w:rPr>
                <w:rFonts w:ascii="Times New Roman" w:eastAsia="Times New Roman" w:hAnsi="Times New Roman" w:cs="Times New Roman"/>
                <w:color w:val="000000"/>
              </w:rPr>
            </w:pPr>
            <w:r w:rsidRPr="00995C17">
              <w:rPr>
                <w:rFonts w:ascii="Times New Roman" w:eastAsia="Times New Roman" w:hAnsi="Times New Roman" w:cs="Times New Roman"/>
                <w:color w:val="000000"/>
              </w:rPr>
              <w:t>3</w:t>
            </w:r>
            <w:r w:rsidR="00A120C9">
              <w:rPr>
                <w:rFonts w:ascii="Times New Roman" w:eastAsia="Times New Roman" w:hAnsi="Times New Roman" w:cs="Times New Roman"/>
                <w:color w:val="000000"/>
              </w:rPr>
              <w:t>41</w:t>
            </w:r>
            <w:r w:rsidRPr="00995C17">
              <w:rPr>
                <w:rFonts w:ascii="Times New Roman" w:eastAsia="Times New Roman" w:hAnsi="Times New Roman" w:cs="Times New Roman"/>
                <w:color w:val="000000"/>
              </w:rPr>
              <w:t>,</w:t>
            </w:r>
            <w:r w:rsidR="00A120C9">
              <w:rPr>
                <w:rFonts w:ascii="Times New Roman" w:eastAsia="Times New Roman" w:hAnsi="Times New Roman" w:cs="Times New Roman"/>
                <w:color w:val="000000"/>
              </w:rPr>
              <w:t>260</w:t>
            </w:r>
          </w:p>
        </w:tc>
      </w:tr>
    </w:tbl>
    <w:p w14:paraId="2C6357E8" w14:textId="77777777" w:rsidR="005A15D4" w:rsidRPr="00537498" w:rsidRDefault="005A15D4" w:rsidP="005A15D4">
      <w:pPr>
        <w:spacing w:line="480" w:lineRule="auto"/>
        <w:ind w:firstLine="720"/>
        <w:rPr>
          <w:rFonts w:ascii="Times New Roman" w:hAnsi="Times New Roman" w:cs="Times New Roman"/>
        </w:rPr>
      </w:pPr>
    </w:p>
    <w:p w14:paraId="23F88F5F" w14:textId="40BE2D28" w:rsidR="005A15D4" w:rsidRDefault="005A15D4" w:rsidP="00FD5B31">
      <w:pPr>
        <w:spacing w:line="480" w:lineRule="auto"/>
        <w:rPr>
          <w:rFonts w:ascii="Times New Roman" w:hAnsi="Times New Roman" w:cs="Times New Roman"/>
        </w:rPr>
      </w:pPr>
      <w:r w:rsidRPr="00537498">
        <w:rPr>
          <w:rFonts w:ascii="Times New Roman" w:hAnsi="Times New Roman" w:cs="Times New Roman"/>
        </w:rPr>
        <w:tab/>
      </w:r>
      <w:r w:rsidR="002553B2">
        <w:rPr>
          <w:rFonts w:ascii="Times New Roman" w:hAnsi="Times New Roman" w:cs="Times New Roman"/>
        </w:rPr>
        <w:t>Home</w:t>
      </w:r>
      <w:r>
        <w:rPr>
          <w:rFonts w:ascii="Times New Roman" w:hAnsi="Times New Roman" w:cs="Times New Roman"/>
        </w:rPr>
        <w:t xml:space="preserve"> </w:t>
      </w:r>
      <w:r w:rsidRPr="00537498">
        <w:rPr>
          <w:rFonts w:ascii="Times New Roman" w:hAnsi="Times New Roman" w:cs="Times New Roman"/>
        </w:rPr>
        <w:t>value is another indicat</w:t>
      </w:r>
      <w:r w:rsidR="002553B2">
        <w:rPr>
          <w:rFonts w:ascii="Times New Roman" w:hAnsi="Times New Roman" w:cs="Times New Roman"/>
        </w:rPr>
        <w:t>or</w:t>
      </w:r>
      <w:r w:rsidRPr="00537498">
        <w:rPr>
          <w:rFonts w:ascii="Times New Roman" w:hAnsi="Times New Roman" w:cs="Times New Roman"/>
        </w:rPr>
        <w:t xml:space="preserve"> of </w:t>
      </w:r>
      <w:r w:rsidR="00A1037E">
        <w:rPr>
          <w:rFonts w:ascii="Times New Roman" w:hAnsi="Times New Roman" w:cs="Times New Roman"/>
        </w:rPr>
        <w:t>a</w:t>
      </w:r>
      <w:r w:rsidR="004D3C8D">
        <w:rPr>
          <w:rFonts w:ascii="Times New Roman" w:hAnsi="Times New Roman" w:cs="Times New Roman"/>
        </w:rPr>
        <w:t xml:space="preserve"> debtor’s socio-economic status</w:t>
      </w:r>
      <w:r w:rsidRPr="00537498">
        <w:rPr>
          <w:rFonts w:ascii="Times New Roman" w:hAnsi="Times New Roman" w:cs="Times New Roman"/>
        </w:rPr>
        <w:t xml:space="preserve">. Given the reports of celebrities in </w:t>
      </w:r>
      <w:r w:rsidR="00AA091B">
        <w:rPr>
          <w:rFonts w:ascii="Times New Roman" w:hAnsi="Times New Roman" w:cs="Times New Roman"/>
        </w:rPr>
        <w:t>chapter</w:t>
      </w:r>
      <w:r w:rsidRPr="00537498">
        <w:rPr>
          <w:rFonts w:ascii="Times New Roman" w:hAnsi="Times New Roman" w:cs="Times New Roman"/>
        </w:rPr>
        <w:t xml:space="preserve"> 11, one might expect to find a large number of very expensive homes. We did find a few such homes; the most valuable home in our sample exceeded </w:t>
      </w:r>
      <w:r w:rsidR="00A1037E">
        <w:rPr>
          <w:rFonts w:ascii="Times New Roman" w:hAnsi="Times New Roman" w:cs="Times New Roman"/>
        </w:rPr>
        <w:t>$9,000,000</w:t>
      </w:r>
      <w:r w:rsidRPr="00537498">
        <w:rPr>
          <w:rFonts w:ascii="Times New Roman" w:hAnsi="Times New Roman" w:cs="Times New Roman"/>
        </w:rPr>
        <w:t xml:space="preserve">. </w:t>
      </w:r>
      <w:r w:rsidR="00EE2CA1">
        <w:rPr>
          <w:rFonts w:ascii="Times New Roman" w:hAnsi="Times New Roman" w:cs="Times New Roman"/>
        </w:rPr>
        <w:t>T</w:t>
      </w:r>
      <w:r w:rsidRPr="00537498">
        <w:rPr>
          <w:rFonts w:ascii="Times New Roman" w:hAnsi="Times New Roman" w:cs="Times New Roman"/>
        </w:rPr>
        <w:t>he median home value</w:t>
      </w:r>
      <w:r w:rsidR="00EE2CA1">
        <w:rPr>
          <w:rFonts w:ascii="Times New Roman" w:hAnsi="Times New Roman" w:cs="Times New Roman"/>
        </w:rPr>
        <w:t>, however,</w:t>
      </w:r>
      <w:r w:rsidRPr="00537498">
        <w:rPr>
          <w:rFonts w:ascii="Times New Roman" w:hAnsi="Times New Roman" w:cs="Times New Roman"/>
        </w:rPr>
        <w:t xml:space="preserve"> was just $450,000 in 2010 and $320,000 in 2013. Of the 2010 debtors, </w:t>
      </w:r>
      <w:r w:rsidR="002553B2">
        <w:rPr>
          <w:rFonts w:ascii="Times New Roman" w:hAnsi="Times New Roman" w:cs="Times New Roman"/>
        </w:rPr>
        <w:t>only</w:t>
      </w:r>
      <w:r w:rsidRPr="00537498">
        <w:rPr>
          <w:rFonts w:ascii="Times New Roman" w:hAnsi="Times New Roman" w:cs="Times New Roman"/>
        </w:rPr>
        <w:t xml:space="preserve"> 16.5% claimed homes worth more than $1,000,000</w:t>
      </w:r>
      <w:r w:rsidR="00EE2CA1">
        <w:rPr>
          <w:rFonts w:ascii="Times New Roman" w:hAnsi="Times New Roman" w:cs="Times New Roman"/>
        </w:rPr>
        <w:t>—</w:t>
      </w:r>
      <w:r w:rsidRPr="00537498">
        <w:rPr>
          <w:rFonts w:ascii="Times New Roman" w:hAnsi="Times New Roman" w:cs="Times New Roman"/>
        </w:rPr>
        <w:t xml:space="preserve">the same </w:t>
      </w:r>
      <w:r w:rsidR="00EE2CA1">
        <w:rPr>
          <w:rFonts w:ascii="Times New Roman" w:hAnsi="Times New Roman" w:cs="Times New Roman"/>
        </w:rPr>
        <w:t>percentage</w:t>
      </w:r>
      <w:r w:rsidRPr="00537498">
        <w:rPr>
          <w:rFonts w:ascii="Times New Roman" w:hAnsi="Times New Roman" w:cs="Times New Roman"/>
        </w:rPr>
        <w:t xml:space="preserve"> as those who claimed homes worth less than $250,000. In 2013</w:t>
      </w:r>
      <w:r>
        <w:rPr>
          <w:rFonts w:ascii="Times New Roman" w:hAnsi="Times New Roman" w:cs="Times New Roman"/>
        </w:rPr>
        <w:t>,</w:t>
      </w:r>
      <w:r w:rsidRPr="00537498">
        <w:rPr>
          <w:rFonts w:ascii="Times New Roman" w:hAnsi="Times New Roman" w:cs="Times New Roman"/>
        </w:rPr>
        <w:t xml:space="preserve"> substantially more debtors claimed homes worth less than $250,000 (28.1%) than claimed homes wo</w:t>
      </w:r>
      <w:r w:rsidRPr="00933FD2">
        <w:rPr>
          <w:rFonts w:ascii="Times New Roman" w:hAnsi="Times New Roman" w:cs="Times New Roman"/>
        </w:rPr>
        <w:t>rth more than $1,000,000 (1</w:t>
      </w:r>
      <w:r w:rsidR="002553B2">
        <w:rPr>
          <w:rFonts w:ascii="Times New Roman" w:hAnsi="Times New Roman" w:cs="Times New Roman"/>
        </w:rPr>
        <w:t>0.5</w:t>
      </w:r>
      <w:r w:rsidRPr="00933FD2">
        <w:rPr>
          <w:rFonts w:ascii="Times New Roman" w:hAnsi="Times New Roman" w:cs="Times New Roman"/>
        </w:rPr>
        <w:t xml:space="preserve">%). </w:t>
      </w:r>
      <w:r w:rsidRPr="00537498">
        <w:rPr>
          <w:rFonts w:ascii="Times New Roman" w:hAnsi="Times New Roman" w:cs="Times New Roman"/>
        </w:rPr>
        <w:t>Th</w:t>
      </w:r>
      <w:r w:rsidR="002553B2">
        <w:rPr>
          <w:rFonts w:ascii="Times New Roman" w:hAnsi="Times New Roman" w:cs="Times New Roman"/>
        </w:rPr>
        <w:t>ese figures</w:t>
      </w:r>
      <w:r w:rsidR="00EE2CA1">
        <w:rPr>
          <w:rFonts w:ascii="Times New Roman" w:hAnsi="Times New Roman" w:cs="Times New Roman"/>
        </w:rPr>
        <w:t xml:space="preserve"> represent</w:t>
      </w:r>
      <w:r w:rsidR="00781F82">
        <w:rPr>
          <w:rFonts w:ascii="Times New Roman" w:hAnsi="Times New Roman" w:cs="Times New Roman"/>
        </w:rPr>
        <w:t xml:space="preserve"> a fairly wide distribution of home values. </w:t>
      </w:r>
      <w:r w:rsidR="00EE2CA1">
        <w:rPr>
          <w:rFonts w:ascii="Times New Roman" w:hAnsi="Times New Roman" w:cs="Times New Roman"/>
        </w:rPr>
        <w:t>Still, these values are substantially greater than median home values in the United States. The median sales price for a new home ranged</w:t>
      </w:r>
      <w:r w:rsidR="002553B2">
        <w:rPr>
          <w:rFonts w:ascii="Times New Roman" w:hAnsi="Times New Roman" w:cs="Times New Roman"/>
        </w:rPr>
        <w:t xml:space="preserve">, by month, </w:t>
      </w:r>
      <w:r w:rsidR="00EE2CA1">
        <w:rPr>
          <w:rFonts w:ascii="Times New Roman" w:hAnsi="Times New Roman" w:cs="Times New Roman"/>
        </w:rPr>
        <w:t>between</w:t>
      </w:r>
      <w:r w:rsidR="00EE2CA1" w:rsidRPr="00995C17">
        <w:rPr>
          <w:rFonts w:ascii="Times New Roman" w:hAnsi="Times New Roman" w:cs="Times New Roman"/>
        </w:rPr>
        <w:t xml:space="preserve"> </w:t>
      </w:r>
      <w:r w:rsidR="00EE2CA1">
        <w:rPr>
          <w:rFonts w:ascii="Times New Roman" w:hAnsi="Times New Roman" w:cs="Times New Roman"/>
        </w:rPr>
        <w:t>$</w:t>
      </w:r>
      <w:r w:rsidR="00EE2CA1" w:rsidRPr="00995C17">
        <w:rPr>
          <w:rFonts w:ascii="Times New Roman" w:hAnsi="Times New Roman" w:cs="Times New Roman"/>
        </w:rPr>
        <w:t>20</w:t>
      </w:r>
      <w:r w:rsidR="00EE2CA1">
        <w:rPr>
          <w:rFonts w:ascii="Times New Roman" w:hAnsi="Times New Roman" w:cs="Times New Roman"/>
        </w:rPr>
        <w:t>4</w:t>
      </w:r>
      <w:r w:rsidR="00EE2CA1" w:rsidRPr="00995C17">
        <w:rPr>
          <w:rFonts w:ascii="Times New Roman" w:hAnsi="Times New Roman" w:cs="Times New Roman"/>
        </w:rPr>
        <w:t xml:space="preserve">,000 and </w:t>
      </w:r>
      <w:r w:rsidR="00EE2CA1">
        <w:rPr>
          <w:rFonts w:ascii="Times New Roman" w:hAnsi="Times New Roman" w:cs="Times New Roman"/>
        </w:rPr>
        <w:t>$</w:t>
      </w:r>
      <w:r w:rsidR="00EE2CA1" w:rsidRPr="00995C17">
        <w:rPr>
          <w:rFonts w:ascii="Times New Roman" w:hAnsi="Times New Roman" w:cs="Times New Roman"/>
        </w:rPr>
        <w:t>2</w:t>
      </w:r>
      <w:r w:rsidR="00EE2CA1">
        <w:rPr>
          <w:rFonts w:ascii="Times New Roman" w:hAnsi="Times New Roman" w:cs="Times New Roman"/>
        </w:rPr>
        <w:t>41</w:t>
      </w:r>
      <w:r w:rsidR="00EE2CA1" w:rsidRPr="00995C17">
        <w:rPr>
          <w:rFonts w:ascii="Times New Roman" w:hAnsi="Times New Roman" w:cs="Times New Roman"/>
        </w:rPr>
        <w:t>,000</w:t>
      </w:r>
      <w:r w:rsidR="00EE2CA1">
        <w:rPr>
          <w:rFonts w:ascii="Times New Roman" w:hAnsi="Times New Roman" w:cs="Times New Roman"/>
        </w:rPr>
        <w:t xml:space="preserve"> in 2010 and between $251,000 and $279,000 in 2013.</w:t>
      </w:r>
      <w:r w:rsidR="00EE2CA1">
        <w:rPr>
          <w:rStyle w:val="FootnoteReference"/>
          <w:rFonts w:ascii="Times New Roman" w:hAnsi="Times New Roman" w:cs="Times New Roman"/>
        </w:rPr>
        <w:footnoteReference w:id="169"/>
      </w:r>
      <w:r w:rsidR="00EE2CA1">
        <w:rPr>
          <w:rFonts w:ascii="Times New Roman" w:hAnsi="Times New Roman" w:cs="Times New Roman"/>
        </w:rPr>
        <w:t xml:space="preserve"> According to the National Association of Realtors, the median sales price of an existing family home was $197,400 in 2013.</w:t>
      </w:r>
      <w:r w:rsidR="00EE2CA1">
        <w:rPr>
          <w:rStyle w:val="FootnoteReference"/>
          <w:rFonts w:ascii="Times New Roman" w:hAnsi="Times New Roman" w:cs="Times New Roman"/>
        </w:rPr>
        <w:footnoteReference w:id="170"/>
      </w:r>
      <w:r w:rsidR="00EE2CA1">
        <w:rPr>
          <w:rFonts w:ascii="Times New Roman" w:hAnsi="Times New Roman" w:cs="Times New Roman"/>
        </w:rPr>
        <w:t xml:space="preserve"> Thus, most</w:t>
      </w:r>
      <w:r w:rsidR="00781F82">
        <w:rPr>
          <w:rFonts w:ascii="Times New Roman" w:hAnsi="Times New Roman" w:cs="Times New Roman"/>
        </w:rPr>
        <w:t xml:space="preserve"> of our debtors </w:t>
      </w:r>
      <w:r w:rsidR="004D5CF2">
        <w:rPr>
          <w:rFonts w:ascii="Times New Roman" w:hAnsi="Times New Roman" w:cs="Times New Roman"/>
        </w:rPr>
        <w:t>were</w:t>
      </w:r>
      <w:r w:rsidR="00EE2CA1">
        <w:rPr>
          <w:rFonts w:ascii="Times New Roman" w:hAnsi="Times New Roman" w:cs="Times New Roman"/>
        </w:rPr>
        <w:t xml:space="preserve"> not</w:t>
      </w:r>
      <w:r w:rsidR="00781F82">
        <w:rPr>
          <w:rFonts w:ascii="Times New Roman" w:hAnsi="Times New Roman" w:cs="Times New Roman"/>
        </w:rPr>
        <w:t xml:space="preserve"> “ultra-wealthy,” but most </w:t>
      </w:r>
      <w:r w:rsidR="004D5CF2">
        <w:rPr>
          <w:rFonts w:ascii="Times New Roman" w:hAnsi="Times New Roman" w:cs="Times New Roman"/>
        </w:rPr>
        <w:t>owned</w:t>
      </w:r>
      <w:r w:rsidR="00781F82">
        <w:rPr>
          <w:rFonts w:ascii="Times New Roman" w:hAnsi="Times New Roman" w:cs="Times New Roman"/>
        </w:rPr>
        <w:t xml:space="preserve"> </w:t>
      </w:r>
      <w:r w:rsidR="00FD5B31">
        <w:rPr>
          <w:rFonts w:ascii="Times New Roman" w:hAnsi="Times New Roman" w:cs="Times New Roman"/>
        </w:rPr>
        <w:t xml:space="preserve">a </w:t>
      </w:r>
      <w:r w:rsidR="00781F82">
        <w:rPr>
          <w:rFonts w:ascii="Times New Roman" w:hAnsi="Times New Roman" w:cs="Times New Roman"/>
        </w:rPr>
        <w:t>home worth substantially more than that of the median American homeowner.</w:t>
      </w:r>
      <w:r w:rsidRPr="00537498">
        <w:rPr>
          <w:rFonts w:ascii="Times New Roman" w:hAnsi="Times New Roman" w:cs="Times New Roman"/>
        </w:rPr>
        <w:t xml:space="preserve"> </w:t>
      </w:r>
    </w:p>
    <w:p w14:paraId="3D323F58" w14:textId="2EE1D53F" w:rsidR="00CD0F44" w:rsidRDefault="002553B2" w:rsidP="005A15D4">
      <w:pPr>
        <w:spacing w:line="480" w:lineRule="auto"/>
        <w:ind w:firstLine="720"/>
        <w:rPr>
          <w:rFonts w:ascii="Times New Roman" w:hAnsi="Times New Roman" w:cs="Times New Roman"/>
        </w:rPr>
      </w:pPr>
      <w:r>
        <w:rPr>
          <w:rFonts w:ascii="Times New Roman" w:hAnsi="Times New Roman" w:cs="Times New Roman"/>
        </w:rPr>
        <w:t>To determine whether debtor estimates of home value were erroneous, we compared home values with home mortgage debt. T</w:t>
      </w:r>
      <w:r w:rsidR="005A15D4" w:rsidRPr="00933FD2">
        <w:rPr>
          <w:rFonts w:ascii="Times New Roman" w:hAnsi="Times New Roman" w:cs="Times New Roman"/>
        </w:rPr>
        <w:t xml:space="preserve">he </w:t>
      </w:r>
      <w:r w:rsidR="005A15D4">
        <w:rPr>
          <w:rFonts w:ascii="Times New Roman" w:hAnsi="Times New Roman" w:cs="Times New Roman"/>
        </w:rPr>
        <w:t xml:space="preserve">data in </w:t>
      </w:r>
      <w:r>
        <w:rPr>
          <w:rFonts w:ascii="Times New Roman" w:hAnsi="Times New Roman" w:cs="Times New Roman"/>
        </w:rPr>
        <w:t xml:space="preserve">Column (B) of </w:t>
      </w:r>
      <w:r w:rsidR="005A15D4">
        <w:rPr>
          <w:rFonts w:ascii="Times New Roman" w:hAnsi="Times New Roman" w:cs="Times New Roman"/>
        </w:rPr>
        <w:t>Table 3</w:t>
      </w:r>
      <w:r w:rsidR="00296FEB">
        <w:rPr>
          <w:rFonts w:ascii="Times New Roman" w:hAnsi="Times New Roman" w:cs="Times New Roman"/>
        </w:rPr>
        <w:t>5</w:t>
      </w:r>
      <w:r w:rsidR="005A15D4">
        <w:rPr>
          <w:rFonts w:ascii="Times New Roman" w:hAnsi="Times New Roman" w:cs="Times New Roman"/>
        </w:rPr>
        <w:t xml:space="preserve"> </w:t>
      </w:r>
      <w:r w:rsidR="00EE2CA1">
        <w:rPr>
          <w:rFonts w:ascii="Times New Roman" w:hAnsi="Times New Roman" w:cs="Times New Roman"/>
        </w:rPr>
        <w:t xml:space="preserve">support the conclusion </w:t>
      </w:r>
      <w:r w:rsidR="005A15D4">
        <w:rPr>
          <w:rFonts w:ascii="Times New Roman" w:hAnsi="Times New Roman" w:cs="Times New Roman"/>
        </w:rPr>
        <w:t xml:space="preserve">that debtor estimates of home value </w:t>
      </w:r>
      <w:r w:rsidR="004D5CF2">
        <w:rPr>
          <w:rFonts w:ascii="Times New Roman" w:hAnsi="Times New Roman" w:cs="Times New Roman"/>
        </w:rPr>
        <w:t>were</w:t>
      </w:r>
      <w:r w:rsidR="005A15D4">
        <w:rPr>
          <w:rFonts w:ascii="Times New Roman" w:hAnsi="Times New Roman" w:cs="Times New Roman"/>
        </w:rPr>
        <w:t xml:space="preserve"> </w:t>
      </w:r>
      <w:r w:rsidR="00A417C0">
        <w:rPr>
          <w:rFonts w:ascii="Times New Roman" w:hAnsi="Times New Roman" w:cs="Times New Roman"/>
        </w:rPr>
        <w:t>not wildly in</w:t>
      </w:r>
      <w:r w:rsidR="005A15D4">
        <w:rPr>
          <w:rFonts w:ascii="Times New Roman" w:hAnsi="Times New Roman" w:cs="Times New Roman"/>
        </w:rPr>
        <w:t>accurate. For example, in 2010, 16.5% of debtors listed their home value in the $1</w:t>
      </w:r>
      <w:r w:rsidR="00FD5B31">
        <w:rPr>
          <w:rFonts w:ascii="Times New Roman" w:hAnsi="Times New Roman" w:cs="Times New Roman"/>
        </w:rPr>
        <w:t>-to-</w:t>
      </w:r>
      <w:r w:rsidR="005A15D4">
        <w:rPr>
          <w:rFonts w:ascii="Times New Roman" w:hAnsi="Times New Roman" w:cs="Times New Roman"/>
        </w:rPr>
        <w:t>$250,000 range; 15.6% listed the amount of their home mortgage as falling within that same dollar range. The pattern is similar for 2013 and across most dollar ranges in Table 3</w:t>
      </w:r>
      <w:r w:rsidR="00296FEB">
        <w:rPr>
          <w:rFonts w:ascii="Times New Roman" w:hAnsi="Times New Roman" w:cs="Times New Roman"/>
        </w:rPr>
        <w:t>5</w:t>
      </w:r>
      <w:r w:rsidR="005A15D4">
        <w:rPr>
          <w:rFonts w:ascii="Times New Roman" w:hAnsi="Times New Roman" w:cs="Times New Roman"/>
        </w:rPr>
        <w:t xml:space="preserve">. </w:t>
      </w:r>
      <w:r w:rsidR="00FD5B31">
        <w:rPr>
          <w:rFonts w:ascii="Times New Roman" w:hAnsi="Times New Roman" w:cs="Times New Roman"/>
        </w:rPr>
        <w:t>I</w:t>
      </w:r>
      <w:r w:rsidR="005A15D4">
        <w:rPr>
          <w:rFonts w:ascii="Times New Roman" w:hAnsi="Times New Roman" w:cs="Times New Roman"/>
        </w:rPr>
        <w:t xml:space="preserve">f debtors had listed inflated or depressed values for their homes, we would expect to find a larger difference between the </w:t>
      </w:r>
      <w:r w:rsidR="00EC4892">
        <w:rPr>
          <w:rFonts w:ascii="Times New Roman" w:hAnsi="Times New Roman" w:cs="Times New Roman"/>
        </w:rPr>
        <w:t>percentage</w:t>
      </w:r>
      <w:r w:rsidR="005A15D4">
        <w:rPr>
          <w:rFonts w:ascii="Times New Roman" w:hAnsi="Times New Roman" w:cs="Times New Roman"/>
        </w:rPr>
        <w:t xml:space="preserve"> of debtors in each home value dollar category compared to the </w:t>
      </w:r>
      <w:r w:rsidR="00EC4892">
        <w:rPr>
          <w:rFonts w:ascii="Times New Roman" w:hAnsi="Times New Roman" w:cs="Times New Roman"/>
        </w:rPr>
        <w:t>percentage</w:t>
      </w:r>
      <w:r w:rsidR="005A15D4">
        <w:rPr>
          <w:rFonts w:ascii="Times New Roman" w:hAnsi="Times New Roman" w:cs="Times New Roman"/>
        </w:rPr>
        <w:t xml:space="preserve"> in the same dollar category for home mortgage</w:t>
      </w:r>
      <w:r w:rsidR="00EE2CA1">
        <w:rPr>
          <w:rFonts w:ascii="Times New Roman" w:hAnsi="Times New Roman" w:cs="Times New Roman"/>
        </w:rPr>
        <w:t xml:space="preserve"> amounts</w:t>
      </w:r>
      <w:r w:rsidR="00204CA0">
        <w:rPr>
          <w:rFonts w:ascii="Times New Roman" w:hAnsi="Times New Roman" w:cs="Times New Roman"/>
        </w:rPr>
        <w:t>.</w:t>
      </w:r>
    </w:p>
    <w:p w14:paraId="2A564FEF" w14:textId="0CD0B25D" w:rsidR="00CD0F44" w:rsidRDefault="00CD0F44" w:rsidP="00CD0F44">
      <w:pPr>
        <w:spacing w:line="480" w:lineRule="auto"/>
        <w:ind w:firstLine="720"/>
        <w:rPr>
          <w:rFonts w:ascii="Times New Roman" w:hAnsi="Times New Roman" w:cs="Times New Roman"/>
        </w:rPr>
      </w:pPr>
      <w:r>
        <w:rPr>
          <w:rFonts w:ascii="Times New Roman" w:hAnsi="Times New Roman" w:cs="Times New Roman"/>
        </w:rPr>
        <w:t>We also looked for other real estate holdings. Table 3</w:t>
      </w:r>
      <w:r w:rsidR="00296FEB">
        <w:rPr>
          <w:rFonts w:ascii="Times New Roman" w:hAnsi="Times New Roman" w:cs="Times New Roman"/>
        </w:rPr>
        <w:t>6</w:t>
      </w:r>
      <w:r>
        <w:rPr>
          <w:rFonts w:ascii="Times New Roman" w:hAnsi="Times New Roman" w:cs="Times New Roman"/>
        </w:rPr>
        <w:t xml:space="preserve"> provides the value of other real property owned by the debtor as well as </w:t>
      </w:r>
      <w:r w:rsidR="00A1037E">
        <w:rPr>
          <w:rFonts w:ascii="Times New Roman" w:hAnsi="Times New Roman" w:cs="Times New Roman"/>
        </w:rPr>
        <w:t xml:space="preserve">the </w:t>
      </w:r>
      <w:r>
        <w:rPr>
          <w:rFonts w:ascii="Times New Roman" w:hAnsi="Times New Roman" w:cs="Times New Roman"/>
        </w:rPr>
        <w:t>mortgages owed against th</w:t>
      </w:r>
      <w:r w:rsidR="00FB072E">
        <w:rPr>
          <w:rFonts w:ascii="Times New Roman" w:hAnsi="Times New Roman" w:cs="Times New Roman"/>
        </w:rPr>
        <w:t>ese</w:t>
      </w:r>
      <w:r>
        <w:rPr>
          <w:rFonts w:ascii="Times New Roman" w:hAnsi="Times New Roman" w:cs="Times New Roman"/>
        </w:rPr>
        <w:t xml:space="preserve"> propert</w:t>
      </w:r>
      <w:r w:rsidR="00FB072E">
        <w:rPr>
          <w:rFonts w:ascii="Times New Roman" w:hAnsi="Times New Roman" w:cs="Times New Roman"/>
        </w:rPr>
        <w:t>ies</w:t>
      </w:r>
      <w:r>
        <w:rPr>
          <w:rFonts w:ascii="Times New Roman" w:hAnsi="Times New Roman" w:cs="Times New Roman"/>
        </w:rPr>
        <w:t xml:space="preserve">. Perhaps the most striking </w:t>
      </w:r>
      <w:r w:rsidR="00EE2CA1">
        <w:rPr>
          <w:rFonts w:ascii="Times New Roman" w:hAnsi="Times New Roman" w:cs="Times New Roman"/>
        </w:rPr>
        <w:t>finding</w:t>
      </w:r>
      <w:r>
        <w:rPr>
          <w:rFonts w:ascii="Times New Roman" w:hAnsi="Times New Roman" w:cs="Times New Roman"/>
        </w:rPr>
        <w:t xml:space="preserve"> is that </w:t>
      </w:r>
      <w:r w:rsidR="00EE2CA1">
        <w:rPr>
          <w:rFonts w:ascii="Times New Roman" w:hAnsi="Times New Roman" w:cs="Times New Roman"/>
        </w:rPr>
        <w:t xml:space="preserve">over 70% </w:t>
      </w:r>
      <w:r>
        <w:rPr>
          <w:rFonts w:ascii="Times New Roman" w:hAnsi="Times New Roman" w:cs="Times New Roman"/>
        </w:rPr>
        <w:t>of those debtors for whom we have data</w:t>
      </w:r>
      <w:r w:rsidR="00EE2CA1">
        <w:rPr>
          <w:rFonts w:ascii="Times New Roman" w:hAnsi="Times New Roman" w:cs="Times New Roman"/>
        </w:rPr>
        <w:t xml:space="preserve"> </w:t>
      </w:r>
      <w:r>
        <w:rPr>
          <w:rFonts w:ascii="Times New Roman" w:hAnsi="Times New Roman" w:cs="Times New Roman"/>
        </w:rPr>
        <w:t>owned other real property. Th</w:t>
      </w:r>
      <w:r w:rsidR="00A153FF">
        <w:rPr>
          <w:rFonts w:ascii="Times New Roman" w:hAnsi="Times New Roman" w:cs="Times New Roman"/>
        </w:rPr>
        <w:t>ese</w:t>
      </w:r>
      <w:r>
        <w:rPr>
          <w:rFonts w:ascii="Times New Roman" w:hAnsi="Times New Roman" w:cs="Times New Roman"/>
        </w:rPr>
        <w:t xml:space="preserve"> </w:t>
      </w:r>
      <w:r w:rsidR="00FD5B31">
        <w:rPr>
          <w:rFonts w:ascii="Times New Roman" w:hAnsi="Times New Roman" w:cs="Times New Roman"/>
        </w:rPr>
        <w:t xml:space="preserve">data </w:t>
      </w:r>
      <w:r>
        <w:rPr>
          <w:rFonts w:ascii="Times New Roman" w:hAnsi="Times New Roman" w:cs="Times New Roman"/>
        </w:rPr>
        <w:t xml:space="preserve">provide more evidence that the individual </w:t>
      </w:r>
      <w:r w:rsidR="00AA091B">
        <w:rPr>
          <w:rFonts w:ascii="Times New Roman" w:hAnsi="Times New Roman" w:cs="Times New Roman"/>
        </w:rPr>
        <w:t>chapter</w:t>
      </w:r>
      <w:r>
        <w:rPr>
          <w:rFonts w:ascii="Times New Roman" w:hAnsi="Times New Roman" w:cs="Times New Roman"/>
        </w:rPr>
        <w:t xml:space="preserve"> 11 debtors in our sample </w:t>
      </w:r>
      <w:r w:rsidR="00FD5B31">
        <w:rPr>
          <w:rFonts w:ascii="Times New Roman" w:hAnsi="Times New Roman" w:cs="Times New Roman"/>
        </w:rPr>
        <w:t>own</w:t>
      </w:r>
      <w:r>
        <w:rPr>
          <w:rFonts w:ascii="Times New Roman" w:hAnsi="Times New Roman" w:cs="Times New Roman"/>
        </w:rPr>
        <w:t xml:space="preserve"> substantially greater assets </w:t>
      </w:r>
      <w:r w:rsidR="00FD5B31">
        <w:rPr>
          <w:rFonts w:ascii="Times New Roman" w:hAnsi="Times New Roman" w:cs="Times New Roman"/>
        </w:rPr>
        <w:t xml:space="preserve">than </w:t>
      </w:r>
      <w:r>
        <w:rPr>
          <w:rFonts w:ascii="Times New Roman" w:hAnsi="Times New Roman" w:cs="Times New Roman"/>
        </w:rPr>
        <w:t xml:space="preserve">the average American. </w:t>
      </w:r>
    </w:p>
    <w:p w14:paraId="1741CCD2" w14:textId="226E4369" w:rsidR="00CD0F44" w:rsidRPr="00537498" w:rsidRDefault="00CD0F44" w:rsidP="00A1037E">
      <w:pPr>
        <w:keepNext/>
        <w:keepLines/>
        <w:spacing w:line="480" w:lineRule="auto"/>
        <w:jc w:val="center"/>
        <w:rPr>
          <w:rFonts w:ascii="Times New Roman" w:hAnsi="Times New Roman" w:cs="Times New Roman"/>
        </w:rPr>
      </w:pPr>
      <w:r w:rsidRPr="00995C17">
        <w:rPr>
          <w:rFonts w:ascii="Times New Roman" w:hAnsi="Times New Roman" w:cs="Times New Roman"/>
          <w:b/>
        </w:rPr>
        <w:t>Table 3</w:t>
      </w:r>
      <w:r w:rsidR="00296FEB">
        <w:rPr>
          <w:rFonts w:ascii="Times New Roman" w:hAnsi="Times New Roman" w:cs="Times New Roman"/>
          <w:b/>
        </w:rPr>
        <w:t>6</w:t>
      </w:r>
      <w:r w:rsidRPr="00995C17">
        <w:rPr>
          <w:rFonts w:ascii="Times New Roman" w:hAnsi="Times New Roman" w:cs="Times New Roman"/>
          <w:b/>
        </w:rPr>
        <w:t>: Other Real Property</w:t>
      </w:r>
    </w:p>
    <w:tbl>
      <w:tblPr>
        <w:tblStyle w:val="TableGrid"/>
        <w:tblW w:w="8069" w:type="dxa"/>
        <w:tblLook w:val="04A0" w:firstRow="1" w:lastRow="0" w:firstColumn="1" w:lastColumn="0" w:noHBand="0" w:noVBand="1"/>
      </w:tblPr>
      <w:tblGrid>
        <w:gridCol w:w="2808"/>
        <w:gridCol w:w="1296"/>
        <w:gridCol w:w="1269"/>
        <w:gridCol w:w="1427"/>
        <w:gridCol w:w="1269"/>
      </w:tblGrid>
      <w:tr w:rsidR="00FD5B31" w:rsidRPr="00537498" w14:paraId="6FBE902D" w14:textId="77777777" w:rsidTr="00296FEB">
        <w:trPr>
          <w:trHeight w:val="300"/>
        </w:trPr>
        <w:tc>
          <w:tcPr>
            <w:tcW w:w="2808" w:type="dxa"/>
            <w:vMerge w:val="restart"/>
            <w:tcBorders>
              <w:top w:val="nil"/>
              <w:left w:val="nil"/>
              <w:right w:val="single" w:sz="18" w:space="0" w:color="auto"/>
            </w:tcBorders>
            <w:noWrap/>
            <w:hideMark/>
          </w:tcPr>
          <w:p w14:paraId="525B4105" w14:textId="77777777" w:rsidR="00FD5B31" w:rsidRPr="00FB1F9F" w:rsidRDefault="00FD5B31" w:rsidP="00A1037E">
            <w:pPr>
              <w:keepNext/>
              <w:keepLines/>
              <w:rPr>
                <w:rFonts w:ascii="Times New Roman" w:eastAsia="Times New Roman" w:hAnsi="Times New Roman" w:cs="Times New Roman"/>
                <w:color w:val="000000"/>
              </w:rPr>
            </w:pPr>
          </w:p>
        </w:tc>
        <w:tc>
          <w:tcPr>
            <w:tcW w:w="2565" w:type="dxa"/>
            <w:gridSpan w:val="2"/>
            <w:tcBorders>
              <w:top w:val="single" w:sz="18" w:space="0" w:color="auto"/>
              <w:left w:val="single" w:sz="18" w:space="0" w:color="auto"/>
              <w:bottom w:val="single" w:sz="18" w:space="0" w:color="auto"/>
              <w:right w:val="single" w:sz="18" w:space="0" w:color="auto"/>
            </w:tcBorders>
            <w:noWrap/>
            <w:hideMark/>
          </w:tcPr>
          <w:p w14:paraId="11DA4784" w14:textId="77777777" w:rsidR="00FD5B31" w:rsidRPr="00FB1F9F" w:rsidRDefault="00FD5B31" w:rsidP="00A1037E">
            <w:pPr>
              <w:keepNext/>
              <w:keepLines/>
              <w:jc w:val="center"/>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Other Real Property</w:t>
            </w:r>
          </w:p>
        </w:tc>
        <w:tc>
          <w:tcPr>
            <w:tcW w:w="2696" w:type="dxa"/>
            <w:gridSpan w:val="2"/>
            <w:tcBorders>
              <w:top w:val="single" w:sz="18" w:space="0" w:color="auto"/>
              <w:left w:val="single" w:sz="18" w:space="0" w:color="auto"/>
              <w:bottom w:val="single" w:sz="18" w:space="0" w:color="auto"/>
              <w:right w:val="single" w:sz="18" w:space="0" w:color="auto"/>
            </w:tcBorders>
            <w:noWrap/>
            <w:hideMark/>
          </w:tcPr>
          <w:p w14:paraId="7DF65F9A" w14:textId="77777777" w:rsidR="00FD5B31" w:rsidRPr="00FB1F9F" w:rsidRDefault="00FD5B31" w:rsidP="00A1037E">
            <w:pPr>
              <w:keepNext/>
              <w:keepLines/>
              <w:jc w:val="center"/>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Other Mortgage Total</w:t>
            </w:r>
          </w:p>
        </w:tc>
      </w:tr>
      <w:tr w:rsidR="00FD5B31" w:rsidRPr="00537498" w14:paraId="233249B8" w14:textId="77777777" w:rsidTr="00296FEB">
        <w:trPr>
          <w:trHeight w:val="300"/>
        </w:trPr>
        <w:tc>
          <w:tcPr>
            <w:tcW w:w="2808" w:type="dxa"/>
            <w:vMerge/>
            <w:tcBorders>
              <w:left w:val="nil"/>
              <w:bottom w:val="single" w:sz="12" w:space="0" w:color="auto"/>
              <w:right w:val="single" w:sz="18" w:space="0" w:color="auto"/>
            </w:tcBorders>
            <w:noWrap/>
            <w:hideMark/>
          </w:tcPr>
          <w:p w14:paraId="7CAE0AA6" w14:textId="77777777" w:rsidR="00FD5B31" w:rsidRPr="00FB1F9F" w:rsidRDefault="00FD5B31" w:rsidP="00A1037E">
            <w:pPr>
              <w:keepNext/>
              <w:keepLines/>
              <w:rPr>
                <w:rFonts w:ascii="Times New Roman" w:eastAsia="Times New Roman" w:hAnsi="Times New Roman" w:cs="Times New Roman"/>
                <w:color w:val="000000"/>
              </w:rPr>
            </w:pPr>
          </w:p>
        </w:tc>
        <w:tc>
          <w:tcPr>
            <w:tcW w:w="1296" w:type="dxa"/>
            <w:tcBorders>
              <w:top w:val="single" w:sz="18" w:space="0" w:color="auto"/>
              <w:left w:val="single" w:sz="18" w:space="0" w:color="auto"/>
              <w:bottom w:val="single" w:sz="18" w:space="0" w:color="auto"/>
            </w:tcBorders>
            <w:noWrap/>
            <w:hideMark/>
          </w:tcPr>
          <w:p w14:paraId="3BDB8FB2" w14:textId="77777777" w:rsidR="00FD5B31" w:rsidRPr="00FB1F9F" w:rsidRDefault="00FD5B31" w:rsidP="00A1037E">
            <w:pPr>
              <w:keepNext/>
              <w:keepLines/>
              <w:jc w:val="center"/>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2010</w:t>
            </w:r>
          </w:p>
        </w:tc>
        <w:tc>
          <w:tcPr>
            <w:tcW w:w="1269" w:type="dxa"/>
            <w:tcBorders>
              <w:top w:val="single" w:sz="18" w:space="0" w:color="auto"/>
              <w:bottom w:val="single" w:sz="18" w:space="0" w:color="auto"/>
              <w:right w:val="single" w:sz="18" w:space="0" w:color="auto"/>
            </w:tcBorders>
            <w:noWrap/>
            <w:hideMark/>
          </w:tcPr>
          <w:p w14:paraId="71247036" w14:textId="77777777" w:rsidR="00FD5B31" w:rsidRPr="00FB1F9F" w:rsidRDefault="00FD5B31" w:rsidP="00A1037E">
            <w:pPr>
              <w:keepNext/>
              <w:keepLines/>
              <w:jc w:val="center"/>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2013</w:t>
            </w:r>
          </w:p>
        </w:tc>
        <w:tc>
          <w:tcPr>
            <w:tcW w:w="1427" w:type="dxa"/>
            <w:tcBorders>
              <w:top w:val="single" w:sz="18" w:space="0" w:color="auto"/>
              <w:left w:val="single" w:sz="18" w:space="0" w:color="auto"/>
              <w:bottom w:val="single" w:sz="18" w:space="0" w:color="auto"/>
            </w:tcBorders>
            <w:noWrap/>
            <w:hideMark/>
          </w:tcPr>
          <w:p w14:paraId="1DF1AB93" w14:textId="77777777" w:rsidR="00FD5B31" w:rsidRPr="00FB1F9F" w:rsidRDefault="00FD5B31" w:rsidP="00A1037E">
            <w:pPr>
              <w:keepNext/>
              <w:keepLines/>
              <w:jc w:val="center"/>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2010</w:t>
            </w:r>
          </w:p>
        </w:tc>
        <w:tc>
          <w:tcPr>
            <w:tcW w:w="1269" w:type="dxa"/>
            <w:tcBorders>
              <w:top w:val="single" w:sz="18" w:space="0" w:color="auto"/>
              <w:bottom w:val="single" w:sz="18" w:space="0" w:color="auto"/>
              <w:right w:val="single" w:sz="18" w:space="0" w:color="auto"/>
            </w:tcBorders>
            <w:noWrap/>
            <w:hideMark/>
          </w:tcPr>
          <w:p w14:paraId="5B4FE5DE" w14:textId="77777777" w:rsidR="00FD5B31" w:rsidRPr="00FB1F9F" w:rsidRDefault="00FD5B31" w:rsidP="00A1037E">
            <w:pPr>
              <w:keepNext/>
              <w:keepLines/>
              <w:jc w:val="center"/>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2013</w:t>
            </w:r>
          </w:p>
        </w:tc>
      </w:tr>
      <w:tr w:rsidR="00CD0F44" w:rsidRPr="00537498" w14:paraId="5F058F8F" w14:textId="77777777" w:rsidTr="00296FEB">
        <w:trPr>
          <w:trHeight w:val="300"/>
        </w:trPr>
        <w:tc>
          <w:tcPr>
            <w:tcW w:w="2808" w:type="dxa"/>
            <w:tcBorders>
              <w:top w:val="single" w:sz="12" w:space="0" w:color="auto"/>
              <w:right w:val="single" w:sz="18" w:space="0" w:color="auto"/>
            </w:tcBorders>
            <w:noWrap/>
            <w:hideMark/>
          </w:tcPr>
          <w:p w14:paraId="5B42EA0A" w14:textId="77777777" w:rsidR="00CD0F44" w:rsidRPr="00FB1F9F" w:rsidRDefault="00CD0F44" w:rsidP="00A1037E">
            <w:pPr>
              <w:keepNext/>
              <w:keepLines/>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 xml:space="preserve">More than </w:t>
            </w:r>
            <w:r>
              <w:rPr>
                <w:rFonts w:ascii="Times New Roman" w:eastAsia="Times New Roman" w:hAnsi="Times New Roman" w:cs="Times New Roman"/>
                <w:b/>
                <w:bCs/>
                <w:color w:val="000000"/>
              </w:rPr>
              <w:t>$</w:t>
            </w:r>
            <w:r w:rsidRPr="00FB1F9F">
              <w:rPr>
                <w:rFonts w:ascii="Times New Roman" w:eastAsia="Times New Roman" w:hAnsi="Times New Roman" w:cs="Times New Roman"/>
                <w:b/>
                <w:bCs/>
                <w:color w:val="000000"/>
              </w:rPr>
              <w:t>10M</w:t>
            </w:r>
          </w:p>
        </w:tc>
        <w:tc>
          <w:tcPr>
            <w:tcW w:w="1296" w:type="dxa"/>
            <w:tcBorders>
              <w:top w:val="single" w:sz="18" w:space="0" w:color="auto"/>
              <w:left w:val="single" w:sz="18" w:space="0" w:color="auto"/>
            </w:tcBorders>
            <w:noWrap/>
            <w:hideMark/>
          </w:tcPr>
          <w:p w14:paraId="31196570"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0.9%</w:t>
            </w:r>
          </w:p>
        </w:tc>
        <w:tc>
          <w:tcPr>
            <w:tcW w:w="1269" w:type="dxa"/>
            <w:tcBorders>
              <w:top w:val="single" w:sz="18" w:space="0" w:color="auto"/>
              <w:right w:val="single" w:sz="18" w:space="0" w:color="auto"/>
            </w:tcBorders>
            <w:noWrap/>
            <w:hideMark/>
          </w:tcPr>
          <w:p w14:paraId="3655516E"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0.0%</w:t>
            </w:r>
          </w:p>
        </w:tc>
        <w:tc>
          <w:tcPr>
            <w:tcW w:w="1427" w:type="dxa"/>
            <w:tcBorders>
              <w:top w:val="single" w:sz="18" w:space="0" w:color="auto"/>
              <w:left w:val="single" w:sz="18" w:space="0" w:color="auto"/>
            </w:tcBorders>
            <w:noWrap/>
            <w:hideMark/>
          </w:tcPr>
          <w:p w14:paraId="0221B757"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1.8%</w:t>
            </w:r>
          </w:p>
        </w:tc>
        <w:tc>
          <w:tcPr>
            <w:tcW w:w="1269" w:type="dxa"/>
            <w:tcBorders>
              <w:top w:val="single" w:sz="18" w:space="0" w:color="auto"/>
              <w:right w:val="single" w:sz="18" w:space="0" w:color="auto"/>
            </w:tcBorders>
            <w:noWrap/>
            <w:hideMark/>
          </w:tcPr>
          <w:p w14:paraId="628337EE"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0.0%</w:t>
            </w:r>
          </w:p>
        </w:tc>
      </w:tr>
      <w:tr w:rsidR="00CD0F44" w:rsidRPr="00537498" w14:paraId="0297DEA8" w14:textId="77777777" w:rsidTr="00296FEB">
        <w:trPr>
          <w:trHeight w:val="300"/>
        </w:trPr>
        <w:tc>
          <w:tcPr>
            <w:tcW w:w="2808" w:type="dxa"/>
            <w:tcBorders>
              <w:right w:val="single" w:sz="18" w:space="0" w:color="auto"/>
            </w:tcBorders>
            <w:noWrap/>
            <w:hideMark/>
          </w:tcPr>
          <w:p w14:paraId="73615995" w14:textId="14CE1296" w:rsidR="00CD0F44" w:rsidRPr="00FB1F9F" w:rsidRDefault="00CD0F44" w:rsidP="00A1037E">
            <w:pPr>
              <w:keepNext/>
              <w:keepLines/>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r w:rsidRPr="00FB1F9F">
              <w:rPr>
                <w:rFonts w:ascii="Times New Roman" w:eastAsia="Times New Roman" w:hAnsi="Times New Roman" w:cs="Times New Roman"/>
                <w:b/>
                <w:bCs/>
                <w:color w:val="000000"/>
              </w:rPr>
              <w:t>5</w:t>
            </w:r>
            <w:r w:rsidR="00B35488">
              <w:rPr>
                <w:rFonts w:ascii="Times New Roman" w:eastAsia="Times New Roman" w:hAnsi="Times New Roman" w:cs="Times New Roman"/>
                <w:b/>
                <w:bCs/>
                <w:color w:val="000000"/>
              </w:rPr>
              <w:t xml:space="preserve">M </w:t>
            </w:r>
            <w:r w:rsidRPr="00FB1F9F">
              <w:rPr>
                <w:rFonts w:ascii="Times New Roman" w:eastAsia="Times New Roman" w:hAnsi="Times New Roman" w:cs="Times New Roman"/>
                <w:b/>
                <w:bCs/>
                <w:color w:val="000000"/>
              </w:rPr>
              <w:t xml:space="preserve"> to </w:t>
            </w:r>
            <w:r>
              <w:rPr>
                <w:rFonts w:ascii="Times New Roman" w:eastAsia="Times New Roman" w:hAnsi="Times New Roman" w:cs="Times New Roman"/>
                <w:b/>
                <w:bCs/>
                <w:color w:val="000000"/>
              </w:rPr>
              <w:t>$</w:t>
            </w:r>
            <w:r w:rsidRPr="00FB1F9F">
              <w:rPr>
                <w:rFonts w:ascii="Times New Roman" w:eastAsia="Times New Roman" w:hAnsi="Times New Roman" w:cs="Times New Roman"/>
                <w:b/>
                <w:bCs/>
                <w:color w:val="000000"/>
              </w:rPr>
              <w:t>10M</w:t>
            </w:r>
          </w:p>
        </w:tc>
        <w:tc>
          <w:tcPr>
            <w:tcW w:w="1296" w:type="dxa"/>
            <w:tcBorders>
              <w:left w:val="single" w:sz="18" w:space="0" w:color="auto"/>
            </w:tcBorders>
            <w:noWrap/>
            <w:hideMark/>
          </w:tcPr>
          <w:p w14:paraId="78B693E6"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2.8%</w:t>
            </w:r>
          </w:p>
        </w:tc>
        <w:tc>
          <w:tcPr>
            <w:tcW w:w="1269" w:type="dxa"/>
            <w:tcBorders>
              <w:right w:val="single" w:sz="18" w:space="0" w:color="auto"/>
            </w:tcBorders>
            <w:noWrap/>
            <w:hideMark/>
          </w:tcPr>
          <w:p w14:paraId="0F54D89E"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1.8%</w:t>
            </w:r>
          </w:p>
        </w:tc>
        <w:tc>
          <w:tcPr>
            <w:tcW w:w="1427" w:type="dxa"/>
            <w:tcBorders>
              <w:left w:val="single" w:sz="18" w:space="0" w:color="auto"/>
            </w:tcBorders>
            <w:noWrap/>
            <w:hideMark/>
          </w:tcPr>
          <w:p w14:paraId="4506D4D4"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2.8%</w:t>
            </w:r>
          </w:p>
        </w:tc>
        <w:tc>
          <w:tcPr>
            <w:tcW w:w="1269" w:type="dxa"/>
            <w:tcBorders>
              <w:right w:val="single" w:sz="18" w:space="0" w:color="auto"/>
            </w:tcBorders>
            <w:noWrap/>
            <w:hideMark/>
          </w:tcPr>
          <w:p w14:paraId="321FA208"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0.0%</w:t>
            </w:r>
          </w:p>
        </w:tc>
      </w:tr>
      <w:tr w:rsidR="00CD0F44" w:rsidRPr="00537498" w14:paraId="7521DE77" w14:textId="77777777" w:rsidTr="00296FEB">
        <w:trPr>
          <w:trHeight w:val="300"/>
        </w:trPr>
        <w:tc>
          <w:tcPr>
            <w:tcW w:w="2808" w:type="dxa"/>
            <w:tcBorders>
              <w:right w:val="single" w:sz="18" w:space="0" w:color="auto"/>
            </w:tcBorders>
            <w:noWrap/>
            <w:hideMark/>
          </w:tcPr>
          <w:p w14:paraId="17458D07" w14:textId="77777777" w:rsidR="00CD0F44" w:rsidRPr="00FB1F9F" w:rsidRDefault="00CD0F44" w:rsidP="00A1037E">
            <w:pPr>
              <w:keepNext/>
              <w:keepLines/>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 xml:space="preserve">$2.5M to </w:t>
            </w:r>
            <w:r>
              <w:rPr>
                <w:rFonts w:ascii="Times New Roman" w:eastAsia="Times New Roman" w:hAnsi="Times New Roman" w:cs="Times New Roman"/>
                <w:b/>
                <w:bCs/>
                <w:color w:val="000000"/>
              </w:rPr>
              <w:t>$</w:t>
            </w:r>
            <w:r w:rsidRPr="00FB1F9F">
              <w:rPr>
                <w:rFonts w:ascii="Times New Roman" w:eastAsia="Times New Roman" w:hAnsi="Times New Roman" w:cs="Times New Roman"/>
                <w:b/>
                <w:bCs/>
                <w:color w:val="000000"/>
              </w:rPr>
              <w:t>5M</w:t>
            </w:r>
          </w:p>
        </w:tc>
        <w:tc>
          <w:tcPr>
            <w:tcW w:w="1296" w:type="dxa"/>
            <w:tcBorders>
              <w:left w:val="single" w:sz="18" w:space="0" w:color="auto"/>
            </w:tcBorders>
            <w:noWrap/>
            <w:hideMark/>
          </w:tcPr>
          <w:p w14:paraId="62400FA6"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10.1%</w:t>
            </w:r>
          </w:p>
        </w:tc>
        <w:tc>
          <w:tcPr>
            <w:tcW w:w="1269" w:type="dxa"/>
            <w:tcBorders>
              <w:right w:val="single" w:sz="18" w:space="0" w:color="auto"/>
            </w:tcBorders>
            <w:noWrap/>
            <w:hideMark/>
          </w:tcPr>
          <w:p w14:paraId="4EA5366F"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3.5%</w:t>
            </w:r>
          </w:p>
        </w:tc>
        <w:tc>
          <w:tcPr>
            <w:tcW w:w="1427" w:type="dxa"/>
            <w:tcBorders>
              <w:left w:val="single" w:sz="18" w:space="0" w:color="auto"/>
            </w:tcBorders>
            <w:noWrap/>
            <w:hideMark/>
          </w:tcPr>
          <w:p w14:paraId="33262614"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7.3%</w:t>
            </w:r>
          </w:p>
        </w:tc>
        <w:tc>
          <w:tcPr>
            <w:tcW w:w="1269" w:type="dxa"/>
            <w:tcBorders>
              <w:right w:val="single" w:sz="18" w:space="0" w:color="auto"/>
            </w:tcBorders>
            <w:noWrap/>
            <w:hideMark/>
          </w:tcPr>
          <w:p w14:paraId="598F9A5E"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7.0%</w:t>
            </w:r>
          </w:p>
        </w:tc>
      </w:tr>
      <w:tr w:rsidR="00CD0F44" w:rsidRPr="00537498" w14:paraId="16023A11" w14:textId="77777777" w:rsidTr="00296FEB">
        <w:trPr>
          <w:trHeight w:val="300"/>
        </w:trPr>
        <w:tc>
          <w:tcPr>
            <w:tcW w:w="2808" w:type="dxa"/>
            <w:tcBorders>
              <w:right w:val="single" w:sz="18" w:space="0" w:color="auto"/>
            </w:tcBorders>
            <w:noWrap/>
            <w:hideMark/>
          </w:tcPr>
          <w:p w14:paraId="2F605EA9" w14:textId="77777777" w:rsidR="00CD0F44" w:rsidRPr="00FB1F9F" w:rsidRDefault="00CD0F44" w:rsidP="00A1037E">
            <w:pPr>
              <w:keepNext/>
              <w:keepLines/>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r w:rsidRPr="00FB1F9F">
              <w:rPr>
                <w:rFonts w:ascii="Times New Roman" w:eastAsia="Times New Roman" w:hAnsi="Times New Roman" w:cs="Times New Roman"/>
                <w:b/>
                <w:bCs/>
                <w:color w:val="000000"/>
              </w:rPr>
              <w:t xml:space="preserve">1M to </w:t>
            </w:r>
            <w:r>
              <w:rPr>
                <w:rFonts w:ascii="Times New Roman" w:eastAsia="Times New Roman" w:hAnsi="Times New Roman" w:cs="Times New Roman"/>
                <w:b/>
                <w:bCs/>
                <w:color w:val="000000"/>
              </w:rPr>
              <w:t>$</w:t>
            </w:r>
            <w:r w:rsidRPr="00FB1F9F">
              <w:rPr>
                <w:rFonts w:ascii="Times New Roman" w:eastAsia="Times New Roman" w:hAnsi="Times New Roman" w:cs="Times New Roman"/>
                <w:b/>
                <w:bCs/>
                <w:color w:val="000000"/>
              </w:rPr>
              <w:t>2.5M</w:t>
            </w:r>
          </w:p>
        </w:tc>
        <w:tc>
          <w:tcPr>
            <w:tcW w:w="1296" w:type="dxa"/>
            <w:tcBorders>
              <w:left w:val="single" w:sz="18" w:space="0" w:color="auto"/>
            </w:tcBorders>
            <w:noWrap/>
            <w:hideMark/>
          </w:tcPr>
          <w:p w14:paraId="1F1C54BC"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12.8%</w:t>
            </w:r>
          </w:p>
        </w:tc>
        <w:tc>
          <w:tcPr>
            <w:tcW w:w="1269" w:type="dxa"/>
            <w:tcBorders>
              <w:right w:val="single" w:sz="18" w:space="0" w:color="auto"/>
            </w:tcBorders>
            <w:noWrap/>
            <w:hideMark/>
          </w:tcPr>
          <w:p w14:paraId="1CEB73E2"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9.6%</w:t>
            </w:r>
          </w:p>
        </w:tc>
        <w:tc>
          <w:tcPr>
            <w:tcW w:w="1427" w:type="dxa"/>
            <w:tcBorders>
              <w:left w:val="single" w:sz="18" w:space="0" w:color="auto"/>
            </w:tcBorders>
            <w:noWrap/>
            <w:hideMark/>
          </w:tcPr>
          <w:p w14:paraId="0FC978CD"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19.3%</w:t>
            </w:r>
          </w:p>
        </w:tc>
        <w:tc>
          <w:tcPr>
            <w:tcW w:w="1269" w:type="dxa"/>
            <w:tcBorders>
              <w:right w:val="single" w:sz="18" w:space="0" w:color="auto"/>
            </w:tcBorders>
            <w:noWrap/>
            <w:hideMark/>
          </w:tcPr>
          <w:p w14:paraId="3F2BFFD4"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16.7%</w:t>
            </w:r>
          </w:p>
        </w:tc>
      </w:tr>
      <w:tr w:rsidR="00CD0F44" w:rsidRPr="00537498" w14:paraId="6532A6C5" w14:textId="77777777" w:rsidTr="00296FEB">
        <w:trPr>
          <w:trHeight w:val="300"/>
        </w:trPr>
        <w:tc>
          <w:tcPr>
            <w:tcW w:w="2808" w:type="dxa"/>
            <w:tcBorders>
              <w:right w:val="single" w:sz="18" w:space="0" w:color="auto"/>
            </w:tcBorders>
            <w:noWrap/>
            <w:hideMark/>
          </w:tcPr>
          <w:p w14:paraId="6E7A4DAE" w14:textId="77777777" w:rsidR="00CD0F44" w:rsidRPr="00FB1F9F" w:rsidRDefault="00CD0F44" w:rsidP="00A1037E">
            <w:pPr>
              <w:keepNext/>
              <w:keepLines/>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r w:rsidRPr="00FB1F9F">
              <w:rPr>
                <w:rFonts w:ascii="Times New Roman" w:eastAsia="Times New Roman" w:hAnsi="Times New Roman" w:cs="Times New Roman"/>
                <w:b/>
                <w:bCs/>
                <w:color w:val="000000"/>
              </w:rPr>
              <w:t xml:space="preserve">500K to </w:t>
            </w:r>
            <w:r>
              <w:rPr>
                <w:rFonts w:ascii="Times New Roman" w:eastAsia="Times New Roman" w:hAnsi="Times New Roman" w:cs="Times New Roman"/>
                <w:b/>
                <w:bCs/>
                <w:color w:val="000000"/>
              </w:rPr>
              <w:t>$</w:t>
            </w:r>
            <w:r w:rsidRPr="00FB1F9F">
              <w:rPr>
                <w:rFonts w:ascii="Times New Roman" w:eastAsia="Times New Roman" w:hAnsi="Times New Roman" w:cs="Times New Roman"/>
                <w:b/>
                <w:bCs/>
                <w:color w:val="000000"/>
              </w:rPr>
              <w:t>1M</w:t>
            </w:r>
          </w:p>
        </w:tc>
        <w:tc>
          <w:tcPr>
            <w:tcW w:w="1296" w:type="dxa"/>
            <w:tcBorders>
              <w:left w:val="single" w:sz="18" w:space="0" w:color="auto"/>
            </w:tcBorders>
            <w:noWrap/>
            <w:hideMark/>
          </w:tcPr>
          <w:p w14:paraId="6502EC31"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13.8%</w:t>
            </w:r>
          </w:p>
        </w:tc>
        <w:tc>
          <w:tcPr>
            <w:tcW w:w="1269" w:type="dxa"/>
            <w:tcBorders>
              <w:right w:val="single" w:sz="18" w:space="0" w:color="auto"/>
            </w:tcBorders>
            <w:noWrap/>
            <w:hideMark/>
          </w:tcPr>
          <w:p w14:paraId="3C2C07DE"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18.4%</w:t>
            </w:r>
          </w:p>
        </w:tc>
        <w:tc>
          <w:tcPr>
            <w:tcW w:w="1427" w:type="dxa"/>
            <w:tcBorders>
              <w:left w:val="single" w:sz="18" w:space="0" w:color="auto"/>
            </w:tcBorders>
            <w:noWrap/>
            <w:hideMark/>
          </w:tcPr>
          <w:p w14:paraId="003690FD"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14.7%</w:t>
            </w:r>
          </w:p>
        </w:tc>
        <w:tc>
          <w:tcPr>
            <w:tcW w:w="1269" w:type="dxa"/>
            <w:tcBorders>
              <w:right w:val="single" w:sz="18" w:space="0" w:color="auto"/>
            </w:tcBorders>
            <w:noWrap/>
            <w:hideMark/>
          </w:tcPr>
          <w:p w14:paraId="4864FC5F"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17.5%</w:t>
            </w:r>
          </w:p>
        </w:tc>
      </w:tr>
      <w:tr w:rsidR="00CD0F44" w:rsidRPr="00537498" w14:paraId="5B30E413" w14:textId="77777777" w:rsidTr="00296FEB">
        <w:trPr>
          <w:trHeight w:val="300"/>
        </w:trPr>
        <w:tc>
          <w:tcPr>
            <w:tcW w:w="2808" w:type="dxa"/>
            <w:tcBorders>
              <w:right w:val="single" w:sz="18" w:space="0" w:color="auto"/>
            </w:tcBorders>
            <w:noWrap/>
            <w:hideMark/>
          </w:tcPr>
          <w:p w14:paraId="6334CF1F" w14:textId="77777777" w:rsidR="00CD0F44" w:rsidRPr="00FB1F9F" w:rsidRDefault="00CD0F44" w:rsidP="00A1037E">
            <w:pPr>
              <w:keepNext/>
              <w:keepLines/>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r w:rsidRPr="00FB1F9F">
              <w:rPr>
                <w:rFonts w:ascii="Times New Roman" w:eastAsia="Times New Roman" w:hAnsi="Times New Roman" w:cs="Times New Roman"/>
                <w:b/>
                <w:bCs/>
                <w:color w:val="000000"/>
              </w:rPr>
              <w:t xml:space="preserve">250K to </w:t>
            </w:r>
            <w:r>
              <w:rPr>
                <w:rFonts w:ascii="Times New Roman" w:eastAsia="Times New Roman" w:hAnsi="Times New Roman" w:cs="Times New Roman"/>
                <w:b/>
                <w:bCs/>
                <w:color w:val="000000"/>
              </w:rPr>
              <w:t>$</w:t>
            </w:r>
            <w:r w:rsidRPr="00FB1F9F">
              <w:rPr>
                <w:rFonts w:ascii="Times New Roman" w:eastAsia="Times New Roman" w:hAnsi="Times New Roman" w:cs="Times New Roman"/>
                <w:b/>
                <w:bCs/>
                <w:color w:val="000000"/>
              </w:rPr>
              <w:t>500K</w:t>
            </w:r>
          </w:p>
        </w:tc>
        <w:tc>
          <w:tcPr>
            <w:tcW w:w="1296" w:type="dxa"/>
            <w:tcBorders>
              <w:left w:val="single" w:sz="18" w:space="0" w:color="auto"/>
            </w:tcBorders>
            <w:noWrap/>
            <w:hideMark/>
          </w:tcPr>
          <w:p w14:paraId="7BFAC641"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11.9%</w:t>
            </w:r>
          </w:p>
        </w:tc>
        <w:tc>
          <w:tcPr>
            <w:tcW w:w="1269" w:type="dxa"/>
            <w:tcBorders>
              <w:right w:val="single" w:sz="18" w:space="0" w:color="auto"/>
            </w:tcBorders>
            <w:noWrap/>
            <w:hideMark/>
          </w:tcPr>
          <w:p w14:paraId="5E949E54"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18.4%</w:t>
            </w:r>
          </w:p>
        </w:tc>
        <w:tc>
          <w:tcPr>
            <w:tcW w:w="1427" w:type="dxa"/>
            <w:tcBorders>
              <w:left w:val="single" w:sz="18" w:space="0" w:color="auto"/>
            </w:tcBorders>
            <w:noWrap/>
            <w:hideMark/>
          </w:tcPr>
          <w:p w14:paraId="068AD9F4"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11.9%</w:t>
            </w:r>
          </w:p>
        </w:tc>
        <w:tc>
          <w:tcPr>
            <w:tcW w:w="1269" w:type="dxa"/>
            <w:tcBorders>
              <w:right w:val="single" w:sz="18" w:space="0" w:color="auto"/>
            </w:tcBorders>
            <w:noWrap/>
            <w:hideMark/>
          </w:tcPr>
          <w:p w14:paraId="17D82C87"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9.6%</w:t>
            </w:r>
          </w:p>
        </w:tc>
      </w:tr>
      <w:tr w:rsidR="00CD0F44" w:rsidRPr="00537498" w14:paraId="4F92C227" w14:textId="77777777" w:rsidTr="00296FEB">
        <w:trPr>
          <w:trHeight w:val="300"/>
        </w:trPr>
        <w:tc>
          <w:tcPr>
            <w:tcW w:w="2808" w:type="dxa"/>
            <w:tcBorders>
              <w:right w:val="single" w:sz="18" w:space="0" w:color="auto"/>
            </w:tcBorders>
            <w:noWrap/>
            <w:hideMark/>
          </w:tcPr>
          <w:p w14:paraId="7DAA8D1B" w14:textId="77777777" w:rsidR="00CD0F44" w:rsidRPr="00FB1F9F" w:rsidRDefault="00CD0F44" w:rsidP="00A1037E">
            <w:pPr>
              <w:keepNext/>
              <w:keepLines/>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 xml:space="preserve">$1 to </w:t>
            </w:r>
            <w:r>
              <w:rPr>
                <w:rFonts w:ascii="Times New Roman" w:eastAsia="Times New Roman" w:hAnsi="Times New Roman" w:cs="Times New Roman"/>
                <w:b/>
                <w:bCs/>
                <w:color w:val="000000"/>
              </w:rPr>
              <w:t>$</w:t>
            </w:r>
            <w:r w:rsidRPr="00FB1F9F">
              <w:rPr>
                <w:rFonts w:ascii="Times New Roman" w:eastAsia="Times New Roman" w:hAnsi="Times New Roman" w:cs="Times New Roman"/>
                <w:b/>
                <w:bCs/>
                <w:color w:val="000000"/>
              </w:rPr>
              <w:t>250K</w:t>
            </w:r>
          </w:p>
        </w:tc>
        <w:tc>
          <w:tcPr>
            <w:tcW w:w="1296" w:type="dxa"/>
            <w:tcBorders>
              <w:left w:val="single" w:sz="18" w:space="0" w:color="auto"/>
            </w:tcBorders>
            <w:noWrap/>
            <w:hideMark/>
          </w:tcPr>
          <w:p w14:paraId="12F44DB5"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11.0%</w:t>
            </w:r>
          </w:p>
        </w:tc>
        <w:tc>
          <w:tcPr>
            <w:tcW w:w="1269" w:type="dxa"/>
            <w:tcBorders>
              <w:right w:val="single" w:sz="18" w:space="0" w:color="auto"/>
            </w:tcBorders>
            <w:noWrap/>
            <w:hideMark/>
          </w:tcPr>
          <w:p w14:paraId="4155C6D6"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14.0%</w:t>
            </w:r>
          </w:p>
        </w:tc>
        <w:tc>
          <w:tcPr>
            <w:tcW w:w="1427" w:type="dxa"/>
            <w:tcBorders>
              <w:left w:val="single" w:sz="18" w:space="0" w:color="auto"/>
            </w:tcBorders>
            <w:noWrap/>
            <w:hideMark/>
          </w:tcPr>
          <w:p w14:paraId="12B9CE6C"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3.7%</w:t>
            </w:r>
          </w:p>
        </w:tc>
        <w:tc>
          <w:tcPr>
            <w:tcW w:w="1269" w:type="dxa"/>
            <w:tcBorders>
              <w:right w:val="single" w:sz="18" w:space="0" w:color="auto"/>
            </w:tcBorders>
            <w:noWrap/>
            <w:hideMark/>
          </w:tcPr>
          <w:p w14:paraId="7D30AE11"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11.4%</w:t>
            </w:r>
          </w:p>
        </w:tc>
      </w:tr>
      <w:tr w:rsidR="00CD0F44" w:rsidRPr="00537498" w14:paraId="063D9342" w14:textId="77777777" w:rsidTr="00296FEB">
        <w:trPr>
          <w:trHeight w:val="300"/>
        </w:trPr>
        <w:tc>
          <w:tcPr>
            <w:tcW w:w="2808" w:type="dxa"/>
            <w:tcBorders>
              <w:right w:val="single" w:sz="18" w:space="0" w:color="auto"/>
            </w:tcBorders>
            <w:noWrap/>
            <w:hideMark/>
          </w:tcPr>
          <w:p w14:paraId="4C2F354C" w14:textId="77777777" w:rsidR="00CD0F44" w:rsidRPr="00FB1F9F" w:rsidRDefault="00CD0F44" w:rsidP="00A1037E">
            <w:pPr>
              <w:keepNext/>
              <w:keepLines/>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0</w:t>
            </w:r>
          </w:p>
        </w:tc>
        <w:tc>
          <w:tcPr>
            <w:tcW w:w="1296" w:type="dxa"/>
            <w:tcBorders>
              <w:left w:val="single" w:sz="18" w:space="0" w:color="auto"/>
            </w:tcBorders>
            <w:noWrap/>
            <w:hideMark/>
          </w:tcPr>
          <w:p w14:paraId="4A1C8A5D" w14:textId="77777777" w:rsidR="00CD0F44" w:rsidRPr="00FB1F9F" w:rsidRDefault="00CD0F44" w:rsidP="00A1037E">
            <w:pPr>
              <w:keepNext/>
              <w:keepLines/>
              <w:jc w:val="right"/>
              <w:rPr>
                <w:rFonts w:ascii="Times New Roman" w:eastAsia="Times New Roman" w:hAnsi="Times New Roman" w:cs="Times New Roman"/>
                <w:color w:val="000000"/>
              </w:rPr>
            </w:pPr>
          </w:p>
        </w:tc>
        <w:tc>
          <w:tcPr>
            <w:tcW w:w="1269" w:type="dxa"/>
            <w:tcBorders>
              <w:right w:val="single" w:sz="18" w:space="0" w:color="auto"/>
            </w:tcBorders>
            <w:noWrap/>
            <w:hideMark/>
          </w:tcPr>
          <w:p w14:paraId="43F4DEE3" w14:textId="77777777" w:rsidR="00CD0F44" w:rsidRPr="00FB1F9F" w:rsidRDefault="00CD0F44" w:rsidP="00A1037E">
            <w:pPr>
              <w:keepNext/>
              <w:keepLines/>
              <w:jc w:val="right"/>
              <w:rPr>
                <w:rFonts w:ascii="Times New Roman" w:eastAsia="Times New Roman" w:hAnsi="Times New Roman" w:cs="Times New Roman"/>
                <w:color w:val="000000"/>
              </w:rPr>
            </w:pPr>
          </w:p>
        </w:tc>
        <w:tc>
          <w:tcPr>
            <w:tcW w:w="1427" w:type="dxa"/>
            <w:tcBorders>
              <w:left w:val="single" w:sz="18" w:space="0" w:color="auto"/>
            </w:tcBorders>
            <w:noWrap/>
            <w:hideMark/>
          </w:tcPr>
          <w:p w14:paraId="241780C9"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0.9%</w:t>
            </w:r>
          </w:p>
        </w:tc>
        <w:tc>
          <w:tcPr>
            <w:tcW w:w="1269" w:type="dxa"/>
            <w:tcBorders>
              <w:right w:val="single" w:sz="18" w:space="0" w:color="auto"/>
            </w:tcBorders>
            <w:noWrap/>
            <w:hideMark/>
          </w:tcPr>
          <w:p w14:paraId="34B45C16"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3.</w:t>
            </w:r>
            <w:r>
              <w:rPr>
                <w:rFonts w:ascii="Times New Roman" w:eastAsia="Times New Roman" w:hAnsi="Times New Roman" w:cs="Times New Roman"/>
                <w:color w:val="000000"/>
              </w:rPr>
              <w:t>5</w:t>
            </w:r>
            <w:r w:rsidRPr="00FB1F9F">
              <w:rPr>
                <w:rFonts w:ascii="Times New Roman" w:eastAsia="Times New Roman" w:hAnsi="Times New Roman" w:cs="Times New Roman"/>
                <w:color w:val="000000"/>
              </w:rPr>
              <w:t>%</w:t>
            </w:r>
          </w:p>
        </w:tc>
      </w:tr>
      <w:tr w:rsidR="00CD0F44" w:rsidRPr="00537498" w14:paraId="2EFA7549" w14:textId="77777777" w:rsidTr="00296FEB">
        <w:trPr>
          <w:trHeight w:val="300"/>
        </w:trPr>
        <w:tc>
          <w:tcPr>
            <w:tcW w:w="2808" w:type="dxa"/>
            <w:tcBorders>
              <w:right w:val="single" w:sz="18" w:space="0" w:color="auto"/>
            </w:tcBorders>
            <w:noWrap/>
            <w:hideMark/>
          </w:tcPr>
          <w:p w14:paraId="03470799" w14:textId="77777777" w:rsidR="00CD0F44" w:rsidRPr="00FB1F9F" w:rsidRDefault="00CD0F44" w:rsidP="00A1037E">
            <w:pPr>
              <w:keepNext/>
              <w:keepLines/>
              <w:rPr>
                <w:rFonts w:ascii="Times New Roman" w:eastAsia="Times New Roman" w:hAnsi="Times New Roman" w:cs="Times New Roman"/>
                <w:b/>
                <w:bCs/>
                <w:color w:val="000000"/>
              </w:rPr>
            </w:pPr>
            <w:r>
              <w:rPr>
                <w:rFonts w:ascii="Times New Roman" w:eastAsia="Times New Roman" w:hAnsi="Times New Roman" w:cs="Times New Roman"/>
                <w:b/>
                <w:bCs/>
                <w:color w:val="000000"/>
              </w:rPr>
              <w:t>No Other Real Property</w:t>
            </w:r>
          </w:p>
        </w:tc>
        <w:tc>
          <w:tcPr>
            <w:tcW w:w="1296" w:type="dxa"/>
            <w:tcBorders>
              <w:left w:val="single" w:sz="18" w:space="0" w:color="auto"/>
            </w:tcBorders>
            <w:noWrap/>
            <w:hideMark/>
          </w:tcPr>
          <w:p w14:paraId="56FB2A09" w14:textId="77777777" w:rsidR="00CD0F44" w:rsidRPr="00FB1F9F" w:rsidRDefault="00CD0F44" w:rsidP="00A1037E">
            <w:pPr>
              <w:keepNext/>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20.2</w:t>
            </w:r>
            <w:r w:rsidRPr="00FB1F9F">
              <w:rPr>
                <w:rFonts w:ascii="Times New Roman" w:eastAsia="Times New Roman" w:hAnsi="Times New Roman" w:cs="Times New Roman"/>
                <w:color w:val="000000"/>
              </w:rPr>
              <w:t>%</w:t>
            </w:r>
          </w:p>
        </w:tc>
        <w:tc>
          <w:tcPr>
            <w:tcW w:w="1269" w:type="dxa"/>
            <w:tcBorders>
              <w:right w:val="single" w:sz="18" w:space="0" w:color="auto"/>
            </w:tcBorders>
            <w:noWrap/>
            <w:hideMark/>
          </w:tcPr>
          <w:p w14:paraId="7C88709D" w14:textId="77777777" w:rsidR="00CD0F44" w:rsidRPr="00FB1F9F" w:rsidRDefault="00CD0F44" w:rsidP="00A1037E">
            <w:pPr>
              <w:keepNext/>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28.1</w:t>
            </w:r>
            <w:r w:rsidRPr="00FB1F9F">
              <w:rPr>
                <w:rFonts w:ascii="Times New Roman" w:eastAsia="Times New Roman" w:hAnsi="Times New Roman" w:cs="Times New Roman"/>
                <w:color w:val="000000"/>
              </w:rPr>
              <w:t>%</w:t>
            </w:r>
          </w:p>
        </w:tc>
        <w:tc>
          <w:tcPr>
            <w:tcW w:w="1427" w:type="dxa"/>
            <w:tcBorders>
              <w:left w:val="single" w:sz="18" w:space="0" w:color="auto"/>
            </w:tcBorders>
            <w:noWrap/>
            <w:hideMark/>
          </w:tcPr>
          <w:p w14:paraId="1955239C"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20.2%</w:t>
            </w:r>
          </w:p>
        </w:tc>
        <w:tc>
          <w:tcPr>
            <w:tcW w:w="1269" w:type="dxa"/>
            <w:tcBorders>
              <w:right w:val="single" w:sz="18" w:space="0" w:color="auto"/>
            </w:tcBorders>
            <w:noWrap/>
            <w:hideMark/>
          </w:tcPr>
          <w:p w14:paraId="7243D2CA" w14:textId="77777777" w:rsidR="00CD0F44" w:rsidRPr="00FB1F9F" w:rsidRDefault="00CD0F44" w:rsidP="00A1037E">
            <w:pPr>
              <w:keepNext/>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28.1</w:t>
            </w:r>
            <w:r w:rsidRPr="00FB1F9F">
              <w:rPr>
                <w:rFonts w:ascii="Times New Roman" w:eastAsia="Times New Roman" w:hAnsi="Times New Roman" w:cs="Times New Roman"/>
                <w:color w:val="000000"/>
              </w:rPr>
              <w:t>%</w:t>
            </w:r>
          </w:p>
        </w:tc>
      </w:tr>
      <w:tr w:rsidR="00CD0F44" w:rsidRPr="00537498" w14:paraId="366F77AF" w14:textId="77777777" w:rsidTr="00296FEB">
        <w:trPr>
          <w:trHeight w:val="300"/>
        </w:trPr>
        <w:tc>
          <w:tcPr>
            <w:tcW w:w="2808" w:type="dxa"/>
            <w:tcBorders>
              <w:right w:val="single" w:sz="18" w:space="0" w:color="auto"/>
            </w:tcBorders>
            <w:noWrap/>
            <w:hideMark/>
          </w:tcPr>
          <w:p w14:paraId="59724C8E" w14:textId="085EB84B" w:rsidR="00CD0F44" w:rsidRPr="00FB1F9F" w:rsidRDefault="00E12CFF" w:rsidP="00A1037E">
            <w:pPr>
              <w:keepNext/>
              <w:keepLines/>
              <w:rPr>
                <w:rFonts w:ascii="Times New Roman" w:eastAsia="Times New Roman" w:hAnsi="Times New Roman" w:cs="Times New Roman"/>
                <w:b/>
                <w:bCs/>
                <w:color w:val="000000"/>
              </w:rPr>
            </w:pPr>
            <w:r>
              <w:rPr>
                <w:rFonts w:ascii="Times New Roman" w:eastAsia="Times New Roman" w:hAnsi="Times New Roman" w:cs="Times New Roman"/>
                <w:b/>
                <w:bCs/>
                <w:color w:val="000000"/>
              </w:rPr>
              <w:t>N/A</w:t>
            </w:r>
          </w:p>
        </w:tc>
        <w:tc>
          <w:tcPr>
            <w:tcW w:w="1296" w:type="dxa"/>
            <w:tcBorders>
              <w:left w:val="single" w:sz="18" w:space="0" w:color="auto"/>
            </w:tcBorders>
            <w:noWrap/>
            <w:hideMark/>
          </w:tcPr>
          <w:p w14:paraId="10EFD807"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16.5%</w:t>
            </w:r>
          </w:p>
        </w:tc>
        <w:tc>
          <w:tcPr>
            <w:tcW w:w="1269" w:type="dxa"/>
            <w:tcBorders>
              <w:right w:val="single" w:sz="18" w:space="0" w:color="auto"/>
            </w:tcBorders>
            <w:noWrap/>
            <w:hideMark/>
          </w:tcPr>
          <w:p w14:paraId="5C3F425B"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6.1%</w:t>
            </w:r>
          </w:p>
        </w:tc>
        <w:tc>
          <w:tcPr>
            <w:tcW w:w="1427" w:type="dxa"/>
            <w:tcBorders>
              <w:left w:val="single" w:sz="18" w:space="0" w:color="auto"/>
            </w:tcBorders>
            <w:noWrap/>
            <w:hideMark/>
          </w:tcPr>
          <w:p w14:paraId="01E197A5"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17.4%</w:t>
            </w:r>
          </w:p>
        </w:tc>
        <w:tc>
          <w:tcPr>
            <w:tcW w:w="1269" w:type="dxa"/>
            <w:tcBorders>
              <w:right w:val="single" w:sz="18" w:space="0" w:color="auto"/>
            </w:tcBorders>
            <w:noWrap/>
            <w:hideMark/>
          </w:tcPr>
          <w:p w14:paraId="46834EB6"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6.1%</w:t>
            </w:r>
          </w:p>
        </w:tc>
      </w:tr>
      <w:tr w:rsidR="00CD0F44" w:rsidRPr="00537498" w14:paraId="75A16D33" w14:textId="77777777" w:rsidTr="00296FEB">
        <w:trPr>
          <w:trHeight w:val="300"/>
        </w:trPr>
        <w:tc>
          <w:tcPr>
            <w:tcW w:w="2808" w:type="dxa"/>
            <w:tcBorders>
              <w:top w:val="double" w:sz="4" w:space="0" w:color="auto"/>
              <w:bottom w:val="double" w:sz="4" w:space="0" w:color="auto"/>
              <w:right w:val="single" w:sz="18" w:space="0" w:color="auto"/>
            </w:tcBorders>
            <w:noWrap/>
            <w:hideMark/>
          </w:tcPr>
          <w:p w14:paraId="6D4F3DB4" w14:textId="77777777" w:rsidR="00CD0F44" w:rsidRPr="00FB1F9F" w:rsidRDefault="00CD0F44" w:rsidP="00A1037E">
            <w:pPr>
              <w:keepNext/>
              <w:keepLines/>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Max</w:t>
            </w:r>
            <w:r>
              <w:rPr>
                <w:rFonts w:ascii="Times New Roman" w:eastAsia="Times New Roman" w:hAnsi="Times New Roman" w:cs="Times New Roman"/>
                <w:b/>
                <w:bCs/>
                <w:color w:val="000000"/>
              </w:rPr>
              <w:t>imum</w:t>
            </w:r>
          </w:p>
        </w:tc>
        <w:tc>
          <w:tcPr>
            <w:tcW w:w="1296" w:type="dxa"/>
            <w:tcBorders>
              <w:top w:val="double" w:sz="4" w:space="0" w:color="auto"/>
              <w:left w:val="single" w:sz="18" w:space="0" w:color="auto"/>
              <w:bottom w:val="double" w:sz="4" w:space="0" w:color="auto"/>
            </w:tcBorders>
            <w:noWrap/>
            <w:hideMark/>
          </w:tcPr>
          <w:p w14:paraId="13FF0706"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65,382,500</w:t>
            </w:r>
          </w:p>
        </w:tc>
        <w:tc>
          <w:tcPr>
            <w:tcW w:w="1269" w:type="dxa"/>
            <w:tcBorders>
              <w:top w:val="double" w:sz="4" w:space="0" w:color="auto"/>
              <w:bottom w:val="double" w:sz="4" w:space="0" w:color="auto"/>
              <w:right w:val="single" w:sz="18" w:space="0" w:color="auto"/>
            </w:tcBorders>
            <w:noWrap/>
            <w:hideMark/>
          </w:tcPr>
          <w:p w14:paraId="39BD228F"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6,013,150</w:t>
            </w:r>
          </w:p>
        </w:tc>
        <w:tc>
          <w:tcPr>
            <w:tcW w:w="1427" w:type="dxa"/>
            <w:tcBorders>
              <w:top w:val="double" w:sz="4" w:space="0" w:color="auto"/>
              <w:left w:val="single" w:sz="18" w:space="0" w:color="auto"/>
              <w:bottom w:val="double" w:sz="4" w:space="0" w:color="auto"/>
            </w:tcBorders>
            <w:noWrap/>
            <w:hideMark/>
          </w:tcPr>
          <w:p w14:paraId="27E39653"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40,727,735</w:t>
            </w:r>
          </w:p>
        </w:tc>
        <w:tc>
          <w:tcPr>
            <w:tcW w:w="1269" w:type="dxa"/>
            <w:tcBorders>
              <w:top w:val="double" w:sz="4" w:space="0" w:color="auto"/>
              <w:bottom w:val="double" w:sz="4" w:space="0" w:color="auto"/>
              <w:right w:val="single" w:sz="18" w:space="0" w:color="auto"/>
            </w:tcBorders>
            <w:noWrap/>
            <w:hideMark/>
          </w:tcPr>
          <w:p w14:paraId="610AC7D7"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4,947,902</w:t>
            </w:r>
          </w:p>
        </w:tc>
      </w:tr>
      <w:tr w:rsidR="00CD0F44" w:rsidRPr="00537498" w14:paraId="410E54A3" w14:textId="77777777" w:rsidTr="00296FEB">
        <w:trPr>
          <w:trHeight w:val="300"/>
        </w:trPr>
        <w:tc>
          <w:tcPr>
            <w:tcW w:w="2808" w:type="dxa"/>
            <w:tcBorders>
              <w:top w:val="double" w:sz="4" w:space="0" w:color="auto"/>
              <w:right w:val="single" w:sz="18" w:space="0" w:color="auto"/>
            </w:tcBorders>
            <w:noWrap/>
          </w:tcPr>
          <w:p w14:paraId="4CE74586" w14:textId="77777777" w:rsidR="00CD0F44" w:rsidRPr="00FB1F9F" w:rsidRDefault="00CD0F44" w:rsidP="00A1037E">
            <w:pPr>
              <w:keepNext/>
              <w:keepLines/>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Av</w:t>
            </w:r>
            <w:r>
              <w:rPr>
                <w:rFonts w:ascii="Times New Roman" w:eastAsia="Times New Roman" w:hAnsi="Times New Roman" w:cs="Times New Roman"/>
                <w:b/>
                <w:bCs/>
                <w:color w:val="000000"/>
              </w:rPr>
              <w:t>era</w:t>
            </w:r>
            <w:r w:rsidRPr="00FB1F9F">
              <w:rPr>
                <w:rFonts w:ascii="Times New Roman" w:eastAsia="Times New Roman" w:hAnsi="Times New Roman" w:cs="Times New Roman"/>
                <w:b/>
                <w:bCs/>
                <w:color w:val="000000"/>
              </w:rPr>
              <w:t>g</w:t>
            </w:r>
            <w:r>
              <w:rPr>
                <w:rFonts w:ascii="Times New Roman" w:eastAsia="Times New Roman" w:hAnsi="Times New Roman" w:cs="Times New Roman"/>
                <w:b/>
                <w:bCs/>
                <w:color w:val="000000"/>
              </w:rPr>
              <w:t>e</w:t>
            </w:r>
          </w:p>
        </w:tc>
        <w:tc>
          <w:tcPr>
            <w:tcW w:w="1296" w:type="dxa"/>
            <w:tcBorders>
              <w:top w:val="double" w:sz="4" w:space="0" w:color="auto"/>
              <w:left w:val="single" w:sz="18" w:space="0" w:color="auto"/>
            </w:tcBorders>
            <w:noWrap/>
          </w:tcPr>
          <w:p w14:paraId="5F62F33B"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2,316,483</w:t>
            </w:r>
          </w:p>
        </w:tc>
        <w:tc>
          <w:tcPr>
            <w:tcW w:w="1269" w:type="dxa"/>
            <w:tcBorders>
              <w:top w:val="double" w:sz="4" w:space="0" w:color="auto"/>
              <w:right w:val="single" w:sz="18" w:space="0" w:color="auto"/>
            </w:tcBorders>
            <w:noWrap/>
          </w:tcPr>
          <w:p w14:paraId="7219F832"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617,228</w:t>
            </w:r>
          </w:p>
        </w:tc>
        <w:tc>
          <w:tcPr>
            <w:tcW w:w="1427" w:type="dxa"/>
            <w:tcBorders>
              <w:top w:val="double" w:sz="4" w:space="0" w:color="auto"/>
              <w:left w:val="single" w:sz="18" w:space="0" w:color="auto"/>
            </w:tcBorders>
            <w:noWrap/>
          </w:tcPr>
          <w:p w14:paraId="6953873B"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2,170,030</w:t>
            </w:r>
          </w:p>
        </w:tc>
        <w:tc>
          <w:tcPr>
            <w:tcW w:w="1269" w:type="dxa"/>
            <w:tcBorders>
              <w:top w:val="double" w:sz="4" w:space="0" w:color="auto"/>
              <w:right w:val="single" w:sz="18" w:space="0" w:color="auto"/>
            </w:tcBorders>
            <w:noWrap/>
          </w:tcPr>
          <w:p w14:paraId="4477C005" w14:textId="77777777" w:rsidR="00CD0F44" w:rsidRPr="00FB1F9F" w:rsidRDefault="00CD0F44" w:rsidP="00A1037E">
            <w:pPr>
              <w:keepNext/>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1,033,302</w:t>
            </w:r>
          </w:p>
        </w:tc>
      </w:tr>
      <w:tr w:rsidR="00CD0F44" w:rsidRPr="00537498" w14:paraId="6CEBFF4D" w14:textId="77777777" w:rsidTr="00296FEB">
        <w:trPr>
          <w:trHeight w:val="300"/>
        </w:trPr>
        <w:tc>
          <w:tcPr>
            <w:tcW w:w="2808" w:type="dxa"/>
            <w:tcBorders>
              <w:right w:val="single" w:sz="18" w:space="0" w:color="auto"/>
            </w:tcBorders>
            <w:noWrap/>
            <w:hideMark/>
          </w:tcPr>
          <w:p w14:paraId="5DD1BC5E" w14:textId="77777777" w:rsidR="00CD0F44" w:rsidRPr="00FB1F9F" w:rsidRDefault="00CD0F44" w:rsidP="00A1037E">
            <w:pPr>
              <w:keepNext/>
              <w:keepLines/>
              <w:rPr>
                <w:rFonts w:ascii="Times New Roman" w:eastAsia="Times New Roman" w:hAnsi="Times New Roman" w:cs="Times New Roman"/>
                <w:b/>
                <w:bCs/>
                <w:color w:val="000000"/>
              </w:rPr>
            </w:pPr>
            <w:r>
              <w:rPr>
                <w:rFonts w:ascii="Times New Roman" w:eastAsia="Times New Roman" w:hAnsi="Times New Roman" w:cs="Times New Roman"/>
                <w:b/>
                <w:bCs/>
                <w:color w:val="000000"/>
              </w:rPr>
              <w:t>M</w:t>
            </w:r>
            <w:r w:rsidRPr="00FB1F9F">
              <w:rPr>
                <w:rFonts w:ascii="Times New Roman" w:eastAsia="Times New Roman" w:hAnsi="Times New Roman" w:cs="Times New Roman"/>
                <w:b/>
                <w:bCs/>
                <w:color w:val="000000"/>
              </w:rPr>
              <w:t>edian</w:t>
            </w:r>
          </w:p>
        </w:tc>
        <w:tc>
          <w:tcPr>
            <w:tcW w:w="1296" w:type="dxa"/>
            <w:tcBorders>
              <w:left w:val="single" w:sz="18" w:space="0" w:color="auto"/>
            </w:tcBorders>
            <w:noWrap/>
            <w:hideMark/>
          </w:tcPr>
          <w:p w14:paraId="5234431B"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826,850</w:t>
            </w:r>
          </w:p>
        </w:tc>
        <w:tc>
          <w:tcPr>
            <w:tcW w:w="1269" w:type="dxa"/>
            <w:tcBorders>
              <w:right w:val="single" w:sz="18" w:space="0" w:color="auto"/>
            </w:tcBorders>
            <w:noWrap/>
            <w:hideMark/>
          </w:tcPr>
          <w:p w14:paraId="39FF3E4C"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322,000</w:t>
            </w:r>
          </w:p>
        </w:tc>
        <w:tc>
          <w:tcPr>
            <w:tcW w:w="1427" w:type="dxa"/>
            <w:tcBorders>
              <w:left w:val="single" w:sz="18" w:space="0" w:color="auto"/>
            </w:tcBorders>
            <w:noWrap/>
            <w:hideMark/>
          </w:tcPr>
          <w:p w14:paraId="1005BB22" w14:textId="77777777" w:rsidR="00CD0F44" w:rsidRPr="00FB1F9F" w:rsidRDefault="00CD0F44" w:rsidP="00A1037E">
            <w:pPr>
              <w:keepNext/>
              <w:keepLines/>
              <w:jc w:val="right"/>
              <w:rPr>
                <w:rFonts w:ascii="Times New Roman" w:eastAsia="Times New Roman" w:hAnsi="Times New Roman" w:cs="Times New Roman"/>
                <w:color w:val="000000"/>
              </w:rPr>
            </w:pPr>
            <w:r w:rsidRPr="00FB1F9F">
              <w:rPr>
                <w:rFonts w:ascii="Times New Roman" w:eastAsia="Times New Roman" w:hAnsi="Times New Roman" w:cs="Times New Roman"/>
                <w:color w:val="000000"/>
              </w:rPr>
              <w:t>1,006,633</w:t>
            </w:r>
          </w:p>
        </w:tc>
        <w:tc>
          <w:tcPr>
            <w:tcW w:w="1269" w:type="dxa"/>
            <w:tcBorders>
              <w:right w:val="single" w:sz="18" w:space="0" w:color="auto"/>
            </w:tcBorders>
            <w:noWrap/>
            <w:hideMark/>
          </w:tcPr>
          <w:p w14:paraId="46E8D2CE" w14:textId="77777777" w:rsidR="00CD0F44" w:rsidRPr="00FB1F9F" w:rsidRDefault="00CD0F44" w:rsidP="00A1037E">
            <w:pPr>
              <w:keepNext/>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720,912</w:t>
            </w:r>
          </w:p>
        </w:tc>
      </w:tr>
    </w:tbl>
    <w:p w14:paraId="34AE1E57" w14:textId="77777777" w:rsidR="00CD0F44" w:rsidRPr="00537498" w:rsidRDefault="00CD0F44" w:rsidP="00CD0F44">
      <w:pPr>
        <w:rPr>
          <w:rFonts w:ascii="Times New Roman" w:hAnsi="Times New Roman" w:cs="Times New Roman"/>
        </w:rPr>
      </w:pPr>
    </w:p>
    <w:p w14:paraId="4393B81F" w14:textId="17B9E82C" w:rsidR="00CF2F91" w:rsidRDefault="00CD0F44" w:rsidP="00CF2F91">
      <w:pPr>
        <w:spacing w:line="480" w:lineRule="auto"/>
        <w:ind w:firstLine="720"/>
        <w:rPr>
          <w:rFonts w:ascii="Times New Roman" w:hAnsi="Times New Roman" w:cs="Times New Roman"/>
        </w:rPr>
      </w:pPr>
      <w:r w:rsidRPr="00537498">
        <w:rPr>
          <w:rFonts w:ascii="Times New Roman" w:hAnsi="Times New Roman" w:cs="Times New Roman"/>
        </w:rPr>
        <w:t xml:space="preserve">We also </w:t>
      </w:r>
      <w:r>
        <w:rPr>
          <w:rFonts w:ascii="Times New Roman" w:hAnsi="Times New Roman" w:cs="Times New Roman"/>
        </w:rPr>
        <w:t xml:space="preserve">coded for </w:t>
      </w:r>
      <w:r w:rsidR="00A1037E">
        <w:rPr>
          <w:rFonts w:ascii="Times New Roman" w:hAnsi="Times New Roman" w:cs="Times New Roman"/>
        </w:rPr>
        <w:t>the number of parcels, and these</w:t>
      </w:r>
      <w:r w:rsidRPr="00537498">
        <w:rPr>
          <w:rFonts w:ascii="Times New Roman" w:hAnsi="Times New Roman" w:cs="Times New Roman"/>
        </w:rPr>
        <w:t xml:space="preserve"> </w:t>
      </w:r>
      <w:r>
        <w:rPr>
          <w:rFonts w:ascii="Times New Roman" w:hAnsi="Times New Roman" w:cs="Times New Roman"/>
        </w:rPr>
        <w:t>data in Table 3</w:t>
      </w:r>
      <w:r w:rsidR="00296FEB">
        <w:rPr>
          <w:rFonts w:ascii="Times New Roman" w:hAnsi="Times New Roman" w:cs="Times New Roman"/>
        </w:rPr>
        <w:t>7</w:t>
      </w:r>
      <w:r>
        <w:rPr>
          <w:rFonts w:ascii="Times New Roman" w:hAnsi="Times New Roman" w:cs="Times New Roman"/>
        </w:rPr>
        <w:t xml:space="preserve"> </w:t>
      </w:r>
      <w:r w:rsidR="00E12CFF">
        <w:rPr>
          <w:rFonts w:ascii="Times New Roman" w:hAnsi="Times New Roman" w:cs="Times New Roman"/>
        </w:rPr>
        <w:t>are</w:t>
      </w:r>
      <w:r>
        <w:rPr>
          <w:rFonts w:ascii="Times New Roman" w:hAnsi="Times New Roman" w:cs="Times New Roman"/>
        </w:rPr>
        <w:t xml:space="preserve"> even more striking</w:t>
      </w:r>
      <w:r w:rsidRPr="00537498">
        <w:rPr>
          <w:rFonts w:ascii="Times New Roman" w:hAnsi="Times New Roman" w:cs="Times New Roman"/>
        </w:rPr>
        <w:t xml:space="preserve">. Over </w:t>
      </w:r>
      <w:r>
        <w:rPr>
          <w:rFonts w:ascii="Times New Roman" w:hAnsi="Times New Roman" w:cs="Times New Roman"/>
        </w:rPr>
        <w:t>40%</w:t>
      </w:r>
      <w:r w:rsidRPr="00537498">
        <w:rPr>
          <w:rFonts w:ascii="Times New Roman" w:hAnsi="Times New Roman" w:cs="Times New Roman"/>
        </w:rPr>
        <w:t xml:space="preserve"> </w:t>
      </w:r>
      <w:r>
        <w:rPr>
          <w:rFonts w:ascii="Times New Roman" w:hAnsi="Times New Roman" w:cs="Times New Roman"/>
        </w:rPr>
        <w:t xml:space="preserve">of the debtors </w:t>
      </w:r>
      <w:r w:rsidRPr="00537498">
        <w:rPr>
          <w:rFonts w:ascii="Times New Roman" w:hAnsi="Times New Roman" w:cs="Times New Roman"/>
        </w:rPr>
        <w:t xml:space="preserve">(47% in 2010, 42% in 2013) listed more than </w:t>
      </w:r>
      <w:r w:rsidR="00E12CFF">
        <w:rPr>
          <w:rFonts w:ascii="Times New Roman" w:hAnsi="Times New Roman" w:cs="Times New Roman"/>
        </w:rPr>
        <w:t>two</w:t>
      </w:r>
      <w:r w:rsidRPr="00537498">
        <w:rPr>
          <w:rFonts w:ascii="Times New Roman" w:hAnsi="Times New Roman" w:cs="Times New Roman"/>
        </w:rPr>
        <w:t xml:space="preserve"> pieces of real property. In 2010</w:t>
      </w:r>
      <w:r>
        <w:rPr>
          <w:rFonts w:ascii="Times New Roman" w:hAnsi="Times New Roman" w:cs="Times New Roman"/>
        </w:rPr>
        <w:t>,</w:t>
      </w:r>
      <w:r w:rsidRPr="00537498">
        <w:rPr>
          <w:rFonts w:ascii="Times New Roman" w:hAnsi="Times New Roman" w:cs="Times New Roman"/>
        </w:rPr>
        <w:t xml:space="preserve"> about twice as many debtors disclosed </w:t>
      </w:r>
      <w:r w:rsidR="007C64BB">
        <w:rPr>
          <w:rFonts w:ascii="Times New Roman" w:hAnsi="Times New Roman" w:cs="Times New Roman"/>
        </w:rPr>
        <w:t xml:space="preserve">interests in </w:t>
      </w:r>
      <w:r w:rsidRPr="00537498">
        <w:rPr>
          <w:rFonts w:ascii="Times New Roman" w:hAnsi="Times New Roman" w:cs="Times New Roman"/>
        </w:rPr>
        <w:t xml:space="preserve">at least ten parcels </w:t>
      </w:r>
      <w:r>
        <w:rPr>
          <w:rFonts w:ascii="Times New Roman" w:hAnsi="Times New Roman" w:cs="Times New Roman"/>
        </w:rPr>
        <w:t xml:space="preserve">of land </w:t>
      </w:r>
      <w:r w:rsidRPr="00537498">
        <w:rPr>
          <w:rFonts w:ascii="Times New Roman" w:hAnsi="Times New Roman" w:cs="Times New Roman"/>
        </w:rPr>
        <w:t xml:space="preserve">as </w:t>
      </w:r>
      <w:r w:rsidR="00641438">
        <w:rPr>
          <w:rFonts w:ascii="Times New Roman" w:hAnsi="Times New Roman" w:cs="Times New Roman"/>
        </w:rPr>
        <w:t xml:space="preserve">those who </w:t>
      </w:r>
      <w:r w:rsidRPr="00537498">
        <w:rPr>
          <w:rFonts w:ascii="Times New Roman" w:hAnsi="Times New Roman" w:cs="Times New Roman"/>
        </w:rPr>
        <w:t xml:space="preserve">disclosed owning no real property at all. </w:t>
      </w:r>
      <w:r>
        <w:rPr>
          <w:rFonts w:ascii="Times New Roman" w:hAnsi="Times New Roman" w:cs="Times New Roman"/>
        </w:rPr>
        <w:t>I</w:t>
      </w:r>
      <w:r w:rsidRPr="00537498">
        <w:rPr>
          <w:rFonts w:ascii="Times New Roman" w:hAnsi="Times New Roman" w:cs="Times New Roman"/>
        </w:rPr>
        <w:t>t is hard to reconcile the</w:t>
      </w:r>
      <w:r>
        <w:rPr>
          <w:rFonts w:ascii="Times New Roman" w:hAnsi="Times New Roman" w:cs="Times New Roman"/>
        </w:rPr>
        <w:t xml:space="preserve"> number of parcels of land held </w:t>
      </w:r>
      <w:r w:rsidRPr="00537498">
        <w:rPr>
          <w:rFonts w:ascii="Times New Roman" w:hAnsi="Times New Roman" w:cs="Times New Roman"/>
        </w:rPr>
        <w:t xml:space="preserve">with the dollar values listed </w:t>
      </w:r>
      <w:r>
        <w:rPr>
          <w:rFonts w:ascii="Times New Roman" w:hAnsi="Times New Roman" w:cs="Times New Roman"/>
        </w:rPr>
        <w:t>in Table</w:t>
      </w:r>
      <w:r w:rsidR="00FB072E">
        <w:rPr>
          <w:rFonts w:ascii="Times New Roman" w:hAnsi="Times New Roman" w:cs="Times New Roman"/>
        </w:rPr>
        <w:t>s 3</w:t>
      </w:r>
      <w:r w:rsidR="00296FEB">
        <w:rPr>
          <w:rFonts w:ascii="Times New Roman" w:hAnsi="Times New Roman" w:cs="Times New Roman"/>
        </w:rPr>
        <w:t>5</w:t>
      </w:r>
      <w:r w:rsidR="00FB072E">
        <w:rPr>
          <w:rFonts w:ascii="Times New Roman" w:hAnsi="Times New Roman" w:cs="Times New Roman"/>
        </w:rPr>
        <w:t xml:space="preserve"> and </w:t>
      </w:r>
      <w:r>
        <w:rPr>
          <w:rFonts w:ascii="Times New Roman" w:hAnsi="Times New Roman" w:cs="Times New Roman"/>
        </w:rPr>
        <w:t>3</w:t>
      </w:r>
      <w:r w:rsidR="00296FEB">
        <w:rPr>
          <w:rFonts w:ascii="Times New Roman" w:hAnsi="Times New Roman" w:cs="Times New Roman"/>
        </w:rPr>
        <w:t>6</w:t>
      </w:r>
      <w:r>
        <w:rPr>
          <w:rFonts w:ascii="Times New Roman" w:hAnsi="Times New Roman" w:cs="Times New Roman"/>
        </w:rPr>
        <w:t>.</w:t>
      </w:r>
      <w:r w:rsidRPr="00537498">
        <w:rPr>
          <w:rFonts w:ascii="Times New Roman" w:hAnsi="Times New Roman" w:cs="Times New Roman"/>
        </w:rPr>
        <w:t xml:space="preserve"> </w:t>
      </w:r>
      <w:r>
        <w:rPr>
          <w:rFonts w:ascii="Times New Roman" w:hAnsi="Times New Roman" w:cs="Times New Roman"/>
        </w:rPr>
        <w:t>We would expect values far in excess of those shown in Table</w:t>
      </w:r>
      <w:r w:rsidR="00FB072E">
        <w:rPr>
          <w:rFonts w:ascii="Times New Roman" w:hAnsi="Times New Roman" w:cs="Times New Roman"/>
        </w:rPr>
        <w:t>s</w:t>
      </w:r>
      <w:r>
        <w:rPr>
          <w:rFonts w:ascii="Times New Roman" w:hAnsi="Times New Roman" w:cs="Times New Roman"/>
        </w:rPr>
        <w:t xml:space="preserve"> </w:t>
      </w:r>
      <w:r w:rsidR="00FB072E">
        <w:rPr>
          <w:rFonts w:ascii="Times New Roman" w:hAnsi="Times New Roman" w:cs="Times New Roman"/>
        </w:rPr>
        <w:t>3</w:t>
      </w:r>
      <w:r w:rsidR="00296FEB">
        <w:rPr>
          <w:rFonts w:ascii="Times New Roman" w:hAnsi="Times New Roman" w:cs="Times New Roman"/>
        </w:rPr>
        <w:t>5</w:t>
      </w:r>
      <w:r w:rsidR="00FB072E">
        <w:rPr>
          <w:rFonts w:ascii="Times New Roman" w:hAnsi="Times New Roman" w:cs="Times New Roman"/>
        </w:rPr>
        <w:t xml:space="preserve"> and </w:t>
      </w:r>
      <w:r>
        <w:rPr>
          <w:rFonts w:ascii="Times New Roman" w:hAnsi="Times New Roman" w:cs="Times New Roman"/>
        </w:rPr>
        <w:t>3</w:t>
      </w:r>
      <w:r w:rsidR="00296FEB">
        <w:rPr>
          <w:rFonts w:ascii="Times New Roman" w:hAnsi="Times New Roman" w:cs="Times New Roman"/>
        </w:rPr>
        <w:t>6</w:t>
      </w:r>
      <w:r w:rsidR="00D9425C">
        <w:rPr>
          <w:rFonts w:ascii="Times New Roman" w:hAnsi="Times New Roman" w:cs="Times New Roman"/>
        </w:rPr>
        <w:t>,</w:t>
      </w:r>
      <w:r>
        <w:rPr>
          <w:rFonts w:ascii="Times New Roman" w:hAnsi="Times New Roman" w:cs="Times New Roman"/>
        </w:rPr>
        <w:t xml:space="preserve"> given the number of parcels of real property disclosed on the schedules. </w:t>
      </w:r>
      <w:r w:rsidRPr="00537498">
        <w:rPr>
          <w:rFonts w:ascii="Times New Roman" w:hAnsi="Times New Roman" w:cs="Times New Roman"/>
        </w:rPr>
        <w:t>We have two theories</w:t>
      </w:r>
      <w:r>
        <w:rPr>
          <w:rFonts w:ascii="Times New Roman" w:hAnsi="Times New Roman" w:cs="Times New Roman"/>
        </w:rPr>
        <w:t xml:space="preserve"> to explain the discrepancy</w:t>
      </w:r>
      <w:r w:rsidR="00A153FF">
        <w:rPr>
          <w:rFonts w:ascii="Times New Roman" w:hAnsi="Times New Roman" w:cs="Times New Roman"/>
        </w:rPr>
        <w:t>.</w:t>
      </w:r>
      <w:r w:rsidRPr="00537498">
        <w:rPr>
          <w:rFonts w:ascii="Times New Roman" w:hAnsi="Times New Roman" w:cs="Times New Roman"/>
        </w:rPr>
        <w:t xml:space="preserve"> First, some debtors could have disclosed parcels with little value</w:t>
      </w:r>
      <w:r>
        <w:rPr>
          <w:rFonts w:ascii="Times New Roman" w:hAnsi="Times New Roman" w:cs="Times New Roman"/>
        </w:rPr>
        <w:t>,</w:t>
      </w:r>
      <w:r w:rsidRPr="00537498">
        <w:rPr>
          <w:rFonts w:ascii="Times New Roman" w:hAnsi="Times New Roman" w:cs="Times New Roman"/>
        </w:rPr>
        <w:t xml:space="preserve"> such as time</w:t>
      </w:r>
      <w:r>
        <w:rPr>
          <w:rFonts w:ascii="Times New Roman" w:hAnsi="Times New Roman" w:cs="Times New Roman"/>
        </w:rPr>
        <w:t>-</w:t>
      </w:r>
      <w:r w:rsidRPr="00537498">
        <w:rPr>
          <w:rFonts w:ascii="Times New Roman" w:hAnsi="Times New Roman" w:cs="Times New Roman"/>
        </w:rPr>
        <w:t xml:space="preserve">shares or interests in LLCs that owned real property </w:t>
      </w:r>
      <w:r w:rsidR="00641438">
        <w:rPr>
          <w:rFonts w:ascii="Times New Roman" w:hAnsi="Times New Roman" w:cs="Times New Roman"/>
        </w:rPr>
        <w:t>without equity</w:t>
      </w:r>
      <w:r w:rsidRPr="00537498">
        <w:rPr>
          <w:rFonts w:ascii="Times New Roman" w:hAnsi="Times New Roman" w:cs="Times New Roman"/>
        </w:rPr>
        <w:t xml:space="preserve">. Second, the dollar values </w:t>
      </w:r>
      <w:r>
        <w:rPr>
          <w:rFonts w:ascii="Times New Roman" w:hAnsi="Times New Roman" w:cs="Times New Roman"/>
        </w:rPr>
        <w:t>in Table</w:t>
      </w:r>
      <w:r w:rsidR="00B35488">
        <w:rPr>
          <w:rFonts w:ascii="Times New Roman" w:hAnsi="Times New Roman" w:cs="Times New Roman"/>
        </w:rPr>
        <w:t>s</w:t>
      </w:r>
      <w:r>
        <w:rPr>
          <w:rFonts w:ascii="Times New Roman" w:hAnsi="Times New Roman" w:cs="Times New Roman"/>
        </w:rPr>
        <w:t xml:space="preserve"> 3</w:t>
      </w:r>
      <w:r w:rsidR="00296FEB">
        <w:rPr>
          <w:rFonts w:ascii="Times New Roman" w:hAnsi="Times New Roman" w:cs="Times New Roman"/>
        </w:rPr>
        <w:t>5</w:t>
      </w:r>
      <w:r w:rsidR="00B35488">
        <w:rPr>
          <w:rFonts w:ascii="Times New Roman" w:hAnsi="Times New Roman" w:cs="Times New Roman"/>
        </w:rPr>
        <w:t xml:space="preserve"> and 3</w:t>
      </w:r>
      <w:r w:rsidR="00296FEB">
        <w:rPr>
          <w:rFonts w:ascii="Times New Roman" w:hAnsi="Times New Roman" w:cs="Times New Roman"/>
        </w:rPr>
        <w:t>6</w:t>
      </w:r>
      <w:r w:rsidRPr="00537498">
        <w:rPr>
          <w:rFonts w:ascii="Times New Roman" w:hAnsi="Times New Roman" w:cs="Times New Roman"/>
        </w:rPr>
        <w:t xml:space="preserve"> may be </w:t>
      </w:r>
      <w:r w:rsidR="00E12CFF">
        <w:rPr>
          <w:rFonts w:ascii="Times New Roman" w:hAnsi="Times New Roman" w:cs="Times New Roman"/>
        </w:rPr>
        <w:t xml:space="preserve">understated </w:t>
      </w:r>
      <w:r w:rsidRPr="00537498">
        <w:rPr>
          <w:rFonts w:ascii="Times New Roman" w:hAnsi="Times New Roman" w:cs="Times New Roman"/>
        </w:rPr>
        <w:t xml:space="preserve">because the debtors failed to list the value of </w:t>
      </w:r>
      <w:r>
        <w:rPr>
          <w:rFonts w:ascii="Times New Roman" w:hAnsi="Times New Roman" w:cs="Times New Roman"/>
        </w:rPr>
        <w:t>some</w:t>
      </w:r>
      <w:r w:rsidRPr="00537498">
        <w:rPr>
          <w:rFonts w:ascii="Times New Roman" w:hAnsi="Times New Roman" w:cs="Times New Roman"/>
        </w:rPr>
        <w:t xml:space="preserve"> properties</w:t>
      </w:r>
      <w:r w:rsidR="00FB072E">
        <w:rPr>
          <w:rFonts w:ascii="Times New Roman" w:hAnsi="Times New Roman" w:cs="Times New Roman"/>
        </w:rPr>
        <w:t xml:space="preserve"> on their schedules</w:t>
      </w:r>
      <w:r w:rsidR="00A842B0">
        <w:rPr>
          <w:rFonts w:ascii="Times New Roman" w:hAnsi="Times New Roman" w:cs="Times New Roman"/>
        </w:rPr>
        <w:t xml:space="preserve"> or counted as personal property interests in LLCs or other entities that themselves owned real property</w:t>
      </w:r>
      <w:r w:rsidRPr="00537498">
        <w:rPr>
          <w:rFonts w:ascii="Times New Roman" w:hAnsi="Times New Roman" w:cs="Times New Roman"/>
        </w:rPr>
        <w:t>.</w:t>
      </w:r>
      <w:bookmarkStart w:id="24" w:name="_Ref333823139"/>
      <w:r w:rsidR="008368D0">
        <w:rPr>
          <w:rStyle w:val="FootnoteReference"/>
          <w:rFonts w:ascii="Times New Roman" w:hAnsi="Times New Roman" w:cs="Times New Roman"/>
        </w:rPr>
        <w:footnoteReference w:id="171"/>
      </w:r>
      <w:bookmarkEnd w:id="24"/>
    </w:p>
    <w:p w14:paraId="151037BA" w14:textId="6DB74EA3" w:rsidR="00CD0F44" w:rsidRPr="00995C17" w:rsidRDefault="00CD0F44" w:rsidP="00A1037E">
      <w:pPr>
        <w:keepNext/>
        <w:keepLines/>
        <w:spacing w:line="480" w:lineRule="auto"/>
        <w:ind w:firstLine="720"/>
        <w:jc w:val="center"/>
        <w:rPr>
          <w:rFonts w:ascii="Times New Roman" w:hAnsi="Times New Roman" w:cs="Times New Roman"/>
          <w:b/>
        </w:rPr>
      </w:pPr>
      <w:r>
        <w:rPr>
          <w:rFonts w:ascii="Times New Roman" w:hAnsi="Times New Roman" w:cs="Times New Roman"/>
          <w:b/>
        </w:rPr>
        <w:t>Table 3</w:t>
      </w:r>
      <w:r w:rsidR="00296FEB">
        <w:rPr>
          <w:rFonts w:ascii="Times New Roman" w:hAnsi="Times New Roman" w:cs="Times New Roman"/>
          <w:b/>
        </w:rPr>
        <w:t>7</w:t>
      </w:r>
      <w:r>
        <w:rPr>
          <w:rFonts w:ascii="Times New Roman" w:hAnsi="Times New Roman" w:cs="Times New Roman"/>
          <w:b/>
        </w:rPr>
        <w:t>: Number of Parcels</w:t>
      </w:r>
    </w:p>
    <w:tbl>
      <w:tblPr>
        <w:tblStyle w:val="TableGrid"/>
        <w:tblW w:w="6300" w:type="dxa"/>
        <w:tblInd w:w="1458" w:type="dxa"/>
        <w:tblLook w:val="04A0" w:firstRow="1" w:lastRow="0" w:firstColumn="1" w:lastColumn="0" w:noHBand="0" w:noVBand="1"/>
      </w:tblPr>
      <w:tblGrid>
        <w:gridCol w:w="2790"/>
        <w:gridCol w:w="1890"/>
        <w:gridCol w:w="1620"/>
      </w:tblGrid>
      <w:tr w:rsidR="00CD0F44" w:rsidRPr="00537498" w14:paraId="4044A5F7" w14:textId="77777777" w:rsidTr="00296FEB">
        <w:trPr>
          <w:trHeight w:val="300"/>
        </w:trPr>
        <w:tc>
          <w:tcPr>
            <w:tcW w:w="2790" w:type="dxa"/>
            <w:tcBorders>
              <w:top w:val="nil"/>
              <w:left w:val="nil"/>
              <w:bottom w:val="single" w:sz="18" w:space="0" w:color="auto"/>
              <w:right w:val="single" w:sz="12" w:space="0" w:color="auto"/>
            </w:tcBorders>
            <w:noWrap/>
            <w:hideMark/>
          </w:tcPr>
          <w:p w14:paraId="2A36A739" w14:textId="77777777" w:rsidR="00CD0F44" w:rsidRPr="00FB1F9F" w:rsidRDefault="00CD0F44" w:rsidP="00A1037E">
            <w:pPr>
              <w:keepNext/>
              <w:keepLines/>
              <w:rPr>
                <w:rFonts w:ascii="Times New Roman" w:eastAsia="Times New Roman" w:hAnsi="Times New Roman" w:cs="Times New Roman"/>
                <w:color w:val="000000"/>
              </w:rPr>
            </w:pPr>
          </w:p>
        </w:tc>
        <w:tc>
          <w:tcPr>
            <w:tcW w:w="1890" w:type="dxa"/>
            <w:tcBorders>
              <w:top w:val="single" w:sz="18" w:space="0" w:color="auto"/>
              <w:left w:val="single" w:sz="12" w:space="0" w:color="auto"/>
              <w:bottom w:val="single" w:sz="18" w:space="0" w:color="auto"/>
              <w:right w:val="single" w:sz="18" w:space="0" w:color="auto"/>
            </w:tcBorders>
            <w:noWrap/>
            <w:hideMark/>
          </w:tcPr>
          <w:p w14:paraId="0DBA0895" w14:textId="77777777" w:rsidR="00CD0F44" w:rsidRPr="00085935" w:rsidRDefault="00CD0F44" w:rsidP="00A1037E">
            <w:pPr>
              <w:keepNext/>
              <w:keepLines/>
              <w:jc w:val="center"/>
              <w:rPr>
                <w:rFonts w:ascii="Times New Roman" w:eastAsia="Times New Roman" w:hAnsi="Times New Roman" w:cs="Times New Roman"/>
                <w:b/>
                <w:i/>
                <w:iCs/>
                <w:color w:val="000000"/>
                <w:sz w:val="20"/>
                <w:szCs w:val="20"/>
              </w:rPr>
            </w:pPr>
            <w:r w:rsidRPr="00085935">
              <w:rPr>
                <w:rFonts w:ascii="Times New Roman" w:eastAsia="Times New Roman" w:hAnsi="Times New Roman" w:cs="Times New Roman"/>
                <w:b/>
                <w:color w:val="000000"/>
              </w:rPr>
              <w:t>2010</w:t>
            </w:r>
          </w:p>
        </w:tc>
        <w:tc>
          <w:tcPr>
            <w:tcW w:w="1620" w:type="dxa"/>
            <w:tcBorders>
              <w:top w:val="single" w:sz="18" w:space="0" w:color="auto"/>
              <w:left w:val="single" w:sz="18" w:space="0" w:color="auto"/>
              <w:bottom w:val="single" w:sz="18" w:space="0" w:color="auto"/>
              <w:right w:val="single" w:sz="18" w:space="0" w:color="auto"/>
            </w:tcBorders>
            <w:noWrap/>
            <w:hideMark/>
          </w:tcPr>
          <w:p w14:paraId="34E7EB8F" w14:textId="77777777" w:rsidR="00CD0F44" w:rsidRPr="00085935" w:rsidRDefault="00CD0F44" w:rsidP="00A1037E">
            <w:pPr>
              <w:keepNext/>
              <w:keepLines/>
              <w:jc w:val="center"/>
              <w:rPr>
                <w:rFonts w:ascii="Times New Roman" w:eastAsia="Times New Roman" w:hAnsi="Times New Roman" w:cs="Times New Roman"/>
                <w:b/>
                <w:i/>
                <w:iCs/>
                <w:color w:val="000000"/>
                <w:sz w:val="20"/>
                <w:szCs w:val="20"/>
              </w:rPr>
            </w:pPr>
            <w:r w:rsidRPr="00085935">
              <w:rPr>
                <w:rFonts w:ascii="Times New Roman" w:eastAsia="Times New Roman" w:hAnsi="Times New Roman" w:cs="Times New Roman"/>
                <w:b/>
                <w:color w:val="000000"/>
              </w:rPr>
              <w:t>2013</w:t>
            </w:r>
          </w:p>
        </w:tc>
      </w:tr>
      <w:tr w:rsidR="00CD0F44" w:rsidRPr="00537498" w14:paraId="1CD27E8E" w14:textId="77777777" w:rsidTr="00296FEB">
        <w:trPr>
          <w:trHeight w:val="300"/>
        </w:trPr>
        <w:tc>
          <w:tcPr>
            <w:tcW w:w="2790" w:type="dxa"/>
            <w:tcBorders>
              <w:top w:val="single" w:sz="18" w:space="0" w:color="auto"/>
              <w:right w:val="single" w:sz="12" w:space="0" w:color="auto"/>
            </w:tcBorders>
            <w:noWrap/>
            <w:hideMark/>
          </w:tcPr>
          <w:p w14:paraId="249FC67B" w14:textId="77777777" w:rsidR="00CD0F44" w:rsidRPr="00FB1F9F" w:rsidRDefault="00CD0F44" w:rsidP="00A1037E">
            <w:pPr>
              <w:keepNext/>
              <w:keepLines/>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10+</w:t>
            </w:r>
          </w:p>
        </w:tc>
        <w:tc>
          <w:tcPr>
            <w:tcW w:w="1890" w:type="dxa"/>
            <w:tcBorders>
              <w:top w:val="single" w:sz="18" w:space="0" w:color="auto"/>
              <w:left w:val="single" w:sz="12" w:space="0" w:color="auto"/>
              <w:right w:val="single" w:sz="18" w:space="0" w:color="auto"/>
            </w:tcBorders>
            <w:noWrap/>
            <w:hideMark/>
          </w:tcPr>
          <w:p w14:paraId="208E16AE"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11.0%</w:t>
            </w:r>
          </w:p>
        </w:tc>
        <w:tc>
          <w:tcPr>
            <w:tcW w:w="1620" w:type="dxa"/>
            <w:tcBorders>
              <w:top w:val="single" w:sz="18" w:space="0" w:color="auto"/>
              <w:left w:val="single" w:sz="18" w:space="0" w:color="auto"/>
              <w:right w:val="single" w:sz="18" w:space="0" w:color="auto"/>
            </w:tcBorders>
            <w:noWrap/>
            <w:hideMark/>
          </w:tcPr>
          <w:p w14:paraId="0608DB52"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4.4%</w:t>
            </w:r>
          </w:p>
        </w:tc>
      </w:tr>
      <w:tr w:rsidR="00CD0F44" w:rsidRPr="00537498" w14:paraId="2C2E39B0" w14:textId="77777777" w:rsidTr="00296FEB">
        <w:trPr>
          <w:trHeight w:val="300"/>
        </w:trPr>
        <w:tc>
          <w:tcPr>
            <w:tcW w:w="2790" w:type="dxa"/>
            <w:tcBorders>
              <w:right w:val="single" w:sz="12" w:space="0" w:color="auto"/>
            </w:tcBorders>
            <w:noWrap/>
            <w:hideMark/>
          </w:tcPr>
          <w:p w14:paraId="524DD60A" w14:textId="77777777" w:rsidR="00CD0F44" w:rsidRPr="00FB1F9F" w:rsidRDefault="00CD0F44" w:rsidP="00A1037E">
            <w:pPr>
              <w:keepNext/>
              <w:keepLines/>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9</w:t>
            </w:r>
          </w:p>
        </w:tc>
        <w:tc>
          <w:tcPr>
            <w:tcW w:w="1890" w:type="dxa"/>
            <w:tcBorders>
              <w:left w:val="single" w:sz="12" w:space="0" w:color="auto"/>
              <w:right w:val="single" w:sz="18" w:space="0" w:color="auto"/>
            </w:tcBorders>
            <w:noWrap/>
            <w:hideMark/>
          </w:tcPr>
          <w:p w14:paraId="0F193047"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1.8%</w:t>
            </w:r>
          </w:p>
        </w:tc>
        <w:tc>
          <w:tcPr>
            <w:tcW w:w="1620" w:type="dxa"/>
            <w:tcBorders>
              <w:left w:val="single" w:sz="18" w:space="0" w:color="auto"/>
              <w:right w:val="single" w:sz="18" w:space="0" w:color="auto"/>
            </w:tcBorders>
            <w:noWrap/>
            <w:hideMark/>
          </w:tcPr>
          <w:p w14:paraId="545DC3D2"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0.0%</w:t>
            </w:r>
          </w:p>
        </w:tc>
      </w:tr>
      <w:tr w:rsidR="00CD0F44" w:rsidRPr="00537498" w14:paraId="4A0A1630" w14:textId="77777777" w:rsidTr="00296FEB">
        <w:trPr>
          <w:trHeight w:val="300"/>
        </w:trPr>
        <w:tc>
          <w:tcPr>
            <w:tcW w:w="2790" w:type="dxa"/>
            <w:tcBorders>
              <w:right w:val="single" w:sz="12" w:space="0" w:color="auto"/>
            </w:tcBorders>
            <w:noWrap/>
            <w:hideMark/>
          </w:tcPr>
          <w:p w14:paraId="0467EC15" w14:textId="77777777" w:rsidR="00CD0F44" w:rsidRPr="00FB1F9F" w:rsidRDefault="00CD0F44" w:rsidP="00A1037E">
            <w:pPr>
              <w:keepNext/>
              <w:keepLines/>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8</w:t>
            </w:r>
          </w:p>
        </w:tc>
        <w:tc>
          <w:tcPr>
            <w:tcW w:w="1890" w:type="dxa"/>
            <w:tcBorders>
              <w:left w:val="single" w:sz="12" w:space="0" w:color="auto"/>
              <w:right w:val="single" w:sz="18" w:space="0" w:color="auto"/>
            </w:tcBorders>
            <w:noWrap/>
            <w:hideMark/>
          </w:tcPr>
          <w:p w14:paraId="21D89E9F"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0.9%</w:t>
            </w:r>
          </w:p>
        </w:tc>
        <w:tc>
          <w:tcPr>
            <w:tcW w:w="1620" w:type="dxa"/>
            <w:tcBorders>
              <w:left w:val="single" w:sz="18" w:space="0" w:color="auto"/>
              <w:right w:val="single" w:sz="18" w:space="0" w:color="auto"/>
            </w:tcBorders>
            <w:noWrap/>
            <w:hideMark/>
          </w:tcPr>
          <w:p w14:paraId="0E4A0E0F"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4.4%</w:t>
            </w:r>
          </w:p>
        </w:tc>
      </w:tr>
      <w:tr w:rsidR="00CD0F44" w:rsidRPr="00537498" w14:paraId="7D71E95B" w14:textId="77777777" w:rsidTr="00296FEB">
        <w:trPr>
          <w:trHeight w:val="300"/>
        </w:trPr>
        <w:tc>
          <w:tcPr>
            <w:tcW w:w="2790" w:type="dxa"/>
            <w:tcBorders>
              <w:right w:val="single" w:sz="12" w:space="0" w:color="auto"/>
            </w:tcBorders>
            <w:noWrap/>
            <w:hideMark/>
          </w:tcPr>
          <w:p w14:paraId="000206E2" w14:textId="77777777" w:rsidR="00CD0F44" w:rsidRPr="00FB1F9F" w:rsidRDefault="00CD0F44" w:rsidP="00A1037E">
            <w:pPr>
              <w:keepNext/>
              <w:keepLines/>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7</w:t>
            </w:r>
          </w:p>
        </w:tc>
        <w:tc>
          <w:tcPr>
            <w:tcW w:w="1890" w:type="dxa"/>
            <w:tcBorders>
              <w:left w:val="single" w:sz="12" w:space="0" w:color="auto"/>
              <w:right w:val="single" w:sz="18" w:space="0" w:color="auto"/>
            </w:tcBorders>
            <w:noWrap/>
            <w:hideMark/>
          </w:tcPr>
          <w:p w14:paraId="68CEBE9A"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3.7%</w:t>
            </w:r>
          </w:p>
        </w:tc>
        <w:tc>
          <w:tcPr>
            <w:tcW w:w="1620" w:type="dxa"/>
            <w:tcBorders>
              <w:left w:val="single" w:sz="18" w:space="0" w:color="auto"/>
              <w:right w:val="single" w:sz="18" w:space="0" w:color="auto"/>
            </w:tcBorders>
            <w:noWrap/>
            <w:hideMark/>
          </w:tcPr>
          <w:p w14:paraId="5E73041E"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2.6%</w:t>
            </w:r>
          </w:p>
        </w:tc>
      </w:tr>
      <w:tr w:rsidR="00CD0F44" w:rsidRPr="00537498" w14:paraId="65BDDEF4" w14:textId="77777777" w:rsidTr="00296FEB">
        <w:trPr>
          <w:trHeight w:val="300"/>
        </w:trPr>
        <w:tc>
          <w:tcPr>
            <w:tcW w:w="2790" w:type="dxa"/>
            <w:tcBorders>
              <w:right w:val="single" w:sz="12" w:space="0" w:color="auto"/>
            </w:tcBorders>
            <w:noWrap/>
            <w:hideMark/>
          </w:tcPr>
          <w:p w14:paraId="16124EEF" w14:textId="77777777" w:rsidR="00CD0F44" w:rsidRPr="00FB1F9F" w:rsidRDefault="00CD0F44" w:rsidP="00A1037E">
            <w:pPr>
              <w:keepNext/>
              <w:keepLines/>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6</w:t>
            </w:r>
          </w:p>
        </w:tc>
        <w:tc>
          <w:tcPr>
            <w:tcW w:w="1890" w:type="dxa"/>
            <w:tcBorders>
              <w:left w:val="single" w:sz="12" w:space="0" w:color="auto"/>
              <w:right w:val="single" w:sz="18" w:space="0" w:color="auto"/>
            </w:tcBorders>
            <w:noWrap/>
            <w:hideMark/>
          </w:tcPr>
          <w:p w14:paraId="576AD880"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1.8%</w:t>
            </w:r>
          </w:p>
        </w:tc>
        <w:tc>
          <w:tcPr>
            <w:tcW w:w="1620" w:type="dxa"/>
            <w:tcBorders>
              <w:left w:val="single" w:sz="18" w:space="0" w:color="auto"/>
              <w:right w:val="single" w:sz="18" w:space="0" w:color="auto"/>
            </w:tcBorders>
            <w:noWrap/>
            <w:hideMark/>
          </w:tcPr>
          <w:p w14:paraId="390090C0"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7.0%</w:t>
            </w:r>
          </w:p>
        </w:tc>
      </w:tr>
      <w:tr w:rsidR="00CD0F44" w:rsidRPr="00537498" w14:paraId="42AFE60F" w14:textId="77777777" w:rsidTr="00296FEB">
        <w:trPr>
          <w:trHeight w:val="300"/>
        </w:trPr>
        <w:tc>
          <w:tcPr>
            <w:tcW w:w="2790" w:type="dxa"/>
            <w:tcBorders>
              <w:right w:val="single" w:sz="12" w:space="0" w:color="auto"/>
            </w:tcBorders>
            <w:noWrap/>
            <w:hideMark/>
          </w:tcPr>
          <w:p w14:paraId="401F223D" w14:textId="77777777" w:rsidR="00CD0F44" w:rsidRPr="00FB1F9F" w:rsidRDefault="00CD0F44" w:rsidP="00A1037E">
            <w:pPr>
              <w:keepNext/>
              <w:keepLines/>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5</w:t>
            </w:r>
          </w:p>
        </w:tc>
        <w:tc>
          <w:tcPr>
            <w:tcW w:w="1890" w:type="dxa"/>
            <w:tcBorders>
              <w:left w:val="single" w:sz="12" w:space="0" w:color="auto"/>
              <w:right w:val="single" w:sz="18" w:space="0" w:color="auto"/>
            </w:tcBorders>
            <w:noWrap/>
            <w:hideMark/>
          </w:tcPr>
          <w:p w14:paraId="057151B6"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1.8%</w:t>
            </w:r>
          </w:p>
        </w:tc>
        <w:tc>
          <w:tcPr>
            <w:tcW w:w="1620" w:type="dxa"/>
            <w:tcBorders>
              <w:left w:val="single" w:sz="18" w:space="0" w:color="auto"/>
              <w:right w:val="single" w:sz="18" w:space="0" w:color="auto"/>
            </w:tcBorders>
            <w:noWrap/>
            <w:hideMark/>
          </w:tcPr>
          <w:p w14:paraId="67585488"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6.1%</w:t>
            </w:r>
          </w:p>
        </w:tc>
      </w:tr>
      <w:tr w:rsidR="00CD0F44" w:rsidRPr="00537498" w14:paraId="20987338" w14:textId="77777777" w:rsidTr="00296FEB">
        <w:trPr>
          <w:trHeight w:val="300"/>
        </w:trPr>
        <w:tc>
          <w:tcPr>
            <w:tcW w:w="2790" w:type="dxa"/>
            <w:tcBorders>
              <w:right w:val="single" w:sz="12" w:space="0" w:color="auto"/>
            </w:tcBorders>
            <w:noWrap/>
            <w:hideMark/>
          </w:tcPr>
          <w:p w14:paraId="7119A291" w14:textId="77777777" w:rsidR="00CD0F44" w:rsidRPr="00FB1F9F" w:rsidRDefault="00CD0F44" w:rsidP="00A1037E">
            <w:pPr>
              <w:keepNext/>
              <w:keepLines/>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4</w:t>
            </w:r>
          </w:p>
        </w:tc>
        <w:tc>
          <w:tcPr>
            <w:tcW w:w="1890" w:type="dxa"/>
            <w:tcBorders>
              <w:left w:val="single" w:sz="12" w:space="0" w:color="auto"/>
              <w:right w:val="single" w:sz="18" w:space="0" w:color="auto"/>
            </w:tcBorders>
            <w:noWrap/>
            <w:hideMark/>
          </w:tcPr>
          <w:p w14:paraId="7F7E7BB3"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10.1%</w:t>
            </w:r>
          </w:p>
        </w:tc>
        <w:tc>
          <w:tcPr>
            <w:tcW w:w="1620" w:type="dxa"/>
            <w:tcBorders>
              <w:left w:val="single" w:sz="18" w:space="0" w:color="auto"/>
              <w:right w:val="single" w:sz="18" w:space="0" w:color="auto"/>
            </w:tcBorders>
            <w:noWrap/>
            <w:hideMark/>
          </w:tcPr>
          <w:p w14:paraId="325C78F1"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10.5%</w:t>
            </w:r>
          </w:p>
        </w:tc>
      </w:tr>
      <w:tr w:rsidR="00CD0F44" w:rsidRPr="00537498" w14:paraId="60D64898" w14:textId="77777777" w:rsidTr="00296FEB">
        <w:trPr>
          <w:trHeight w:val="300"/>
        </w:trPr>
        <w:tc>
          <w:tcPr>
            <w:tcW w:w="2790" w:type="dxa"/>
            <w:tcBorders>
              <w:right w:val="single" w:sz="12" w:space="0" w:color="auto"/>
            </w:tcBorders>
            <w:noWrap/>
            <w:hideMark/>
          </w:tcPr>
          <w:p w14:paraId="1388F1A1" w14:textId="77777777" w:rsidR="00CD0F44" w:rsidRPr="00FB1F9F" w:rsidRDefault="00CD0F44" w:rsidP="00A1037E">
            <w:pPr>
              <w:keepNext/>
              <w:keepLines/>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3</w:t>
            </w:r>
          </w:p>
        </w:tc>
        <w:tc>
          <w:tcPr>
            <w:tcW w:w="1890" w:type="dxa"/>
            <w:tcBorders>
              <w:left w:val="single" w:sz="12" w:space="0" w:color="auto"/>
              <w:right w:val="single" w:sz="18" w:space="0" w:color="auto"/>
            </w:tcBorders>
            <w:noWrap/>
            <w:hideMark/>
          </w:tcPr>
          <w:p w14:paraId="07AA6F81"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15.6%</w:t>
            </w:r>
          </w:p>
        </w:tc>
        <w:tc>
          <w:tcPr>
            <w:tcW w:w="1620" w:type="dxa"/>
            <w:tcBorders>
              <w:left w:val="single" w:sz="18" w:space="0" w:color="auto"/>
              <w:right w:val="single" w:sz="18" w:space="0" w:color="auto"/>
            </w:tcBorders>
            <w:noWrap/>
            <w:hideMark/>
          </w:tcPr>
          <w:p w14:paraId="30845C50"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7.0%</w:t>
            </w:r>
          </w:p>
        </w:tc>
      </w:tr>
      <w:tr w:rsidR="00CD0F44" w:rsidRPr="00537498" w14:paraId="544BCE55" w14:textId="77777777" w:rsidTr="00296FEB">
        <w:trPr>
          <w:trHeight w:val="300"/>
        </w:trPr>
        <w:tc>
          <w:tcPr>
            <w:tcW w:w="2790" w:type="dxa"/>
            <w:tcBorders>
              <w:right w:val="single" w:sz="12" w:space="0" w:color="auto"/>
            </w:tcBorders>
            <w:noWrap/>
            <w:hideMark/>
          </w:tcPr>
          <w:p w14:paraId="17ABDFC4" w14:textId="77777777" w:rsidR="00CD0F44" w:rsidRPr="00FB1F9F" w:rsidRDefault="00CD0F44" w:rsidP="00A1037E">
            <w:pPr>
              <w:keepNext/>
              <w:keepLines/>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2</w:t>
            </w:r>
          </w:p>
        </w:tc>
        <w:tc>
          <w:tcPr>
            <w:tcW w:w="1890" w:type="dxa"/>
            <w:tcBorders>
              <w:left w:val="single" w:sz="12" w:space="0" w:color="auto"/>
              <w:right w:val="single" w:sz="18" w:space="0" w:color="auto"/>
            </w:tcBorders>
            <w:noWrap/>
            <w:hideMark/>
          </w:tcPr>
          <w:p w14:paraId="37B40EF0"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16.5%</w:t>
            </w:r>
          </w:p>
        </w:tc>
        <w:tc>
          <w:tcPr>
            <w:tcW w:w="1620" w:type="dxa"/>
            <w:tcBorders>
              <w:left w:val="single" w:sz="18" w:space="0" w:color="auto"/>
              <w:right w:val="single" w:sz="18" w:space="0" w:color="auto"/>
            </w:tcBorders>
            <w:noWrap/>
            <w:hideMark/>
          </w:tcPr>
          <w:p w14:paraId="11ADD186"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21.9%</w:t>
            </w:r>
          </w:p>
        </w:tc>
      </w:tr>
      <w:tr w:rsidR="00CD0F44" w:rsidRPr="00537498" w14:paraId="1423D836" w14:textId="77777777" w:rsidTr="00296FEB">
        <w:trPr>
          <w:trHeight w:val="300"/>
        </w:trPr>
        <w:tc>
          <w:tcPr>
            <w:tcW w:w="2790" w:type="dxa"/>
            <w:tcBorders>
              <w:right w:val="single" w:sz="12" w:space="0" w:color="auto"/>
            </w:tcBorders>
            <w:noWrap/>
            <w:hideMark/>
          </w:tcPr>
          <w:p w14:paraId="7B3765BF" w14:textId="77777777" w:rsidR="00CD0F44" w:rsidRPr="00FB1F9F" w:rsidRDefault="00CD0F44" w:rsidP="00A1037E">
            <w:pPr>
              <w:keepNext/>
              <w:keepLines/>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1</w:t>
            </w:r>
          </w:p>
        </w:tc>
        <w:tc>
          <w:tcPr>
            <w:tcW w:w="1890" w:type="dxa"/>
            <w:tcBorders>
              <w:left w:val="single" w:sz="12" w:space="0" w:color="auto"/>
              <w:right w:val="single" w:sz="18" w:space="0" w:color="auto"/>
            </w:tcBorders>
            <w:noWrap/>
            <w:hideMark/>
          </w:tcPr>
          <w:p w14:paraId="17474C8C"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24.8%</w:t>
            </w:r>
          </w:p>
        </w:tc>
        <w:tc>
          <w:tcPr>
            <w:tcW w:w="1620" w:type="dxa"/>
            <w:tcBorders>
              <w:left w:val="single" w:sz="18" w:space="0" w:color="auto"/>
              <w:right w:val="single" w:sz="18" w:space="0" w:color="auto"/>
            </w:tcBorders>
            <w:noWrap/>
            <w:hideMark/>
          </w:tcPr>
          <w:p w14:paraId="25504996"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26.3%</w:t>
            </w:r>
          </w:p>
        </w:tc>
      </w:tr>
      <w:tr w:rsidR="00CD0F44" w:rsidRPr="00537498" w14:paraId="67BD51A1" w14:textId="77777777" w:rsidTr="00296FEB">
        <w:trPr>
          <w:trHeight w:val="300"/>
        </w:trPr>
        <w:tc>
          <w:tcPr>
            <w:tcW w:w="2790" w:type="dxa"/>
            <w:tcBorders>
              <w:right w:val="single" w:sz="12" w:space="0" w:color="auto"/>
            </w:tcBorders>
            <w:noWrap/>
            <w:hideMark/>
          </w:tcPr>
          <w:p w14:paraId="3E2A457E" w14:textId="77777777" w:rsidR="00CD0F44" w:rsidRPr="00FB1F9F" w:rsidRDefault="00CD0F44" w:rsidP="00A1037E">
            <w:pPr>
              <w:keepNext/>
              <w:keepLines/>
              <w:rPr>
                <w:rFonts w:ascii="Times New Roman" w:eastAsia="Times New Roman" w:hAnsi="Times New Roman" w:cs="Times New Roman"/>
                <w:b/>
                <w:bCs/>
                <w:color w:val="000000"/>
              </w:rPr>
            </w:pPr>
            <w:r w:rsidRPr="00FB1F9F">
              <w:rPr>
                <w:rFonts w:ascii="Times New Roman" w:eastAsia="Times New Roman" w:hAnsi="Times New Roman" w:cs="Times New Roman"/>
                <w:b/>
                <w:bCs/>
                <w:color w:val="000000"/>
              </w:rPr>
              <w:t>0</w:t>
            </w:r>
          </w:p>
        </w:tc>
        <w:tc>
          <w:tcPr>
            <w:tcW w:w="1890" w:type="dxa"/>
            <w:tcBorders>
              <w:left w:val="single" w:sz="12" w:space="0" w:color="auto"/>
              <w:right w:val="single" w:sz="18" w:space="0" w:color="auto"/>
            </w:tcBorders>
            <w:noWrap/>
            <w:hideMark/>
          </w:tcPr>
          <w:p w14:paraId="76B8BD40"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6.4%</w:t>
            </w:r>
          </w:p>
        </w:tc>
        <w:tc>
          <w:tcPr>
            <w:tcW w:w="1620" w:type="dxa"/>
            <w:tcBorders>
              <w:left w:val="single" w:sz="18" w:space="0" w:color="auto"/>
              <w:right w:val="single" w:sz="18" w:space="0" w:color="auto"/>
            </w:tcBorders>
            <w:noWrap/>
            <w:hideMark/>
          </w:tcPr>
          <w:p w14:paraId="28412F38"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5.3%</w:t>
            </w:r>
          </w:p>
        </w:tc>
      </w:tr>
      <w:tr w:rsidR="00CD0F44" w:rsidRPr="00537498" w14:paraId="4AB28B48" w14:textId="77777777" w:rsidTr="006C66BD">
        <w:trPr>
          <w:trHeight w:val="300"/>
        </w:trPr>
        <w:tc>
          <w:tcPr>
            <w:tcW w:w="2790" w:type="dxa"/>
            <w:tcBorders>
              <w:right w:val="single" w:sz="12" w:space="0" w:color="auto"/>
            </w:tcBorders>
            <w:noWrap/>
            <w:hideMark/>
          </w:tcPr>
          <w:p w14:paraId="64F188F8" w14:textId="3E6B3A98" w:rsidR="00CD0F44" w:rsidRPr="00FB1F9F" w:rsidRDefault="00E12CFF" w:rsidP="00A1037E">
            <w:pPr>
              <w:keepNext/>
              <w:keepLines/>
              <w:rPr>
                <w:rFonts w:ascii="Times New Roman" w:eastAsia="Times New Roman" w:hAnsi="Times New Roman" w:cs="Times New Roman"/>
                <w:b/>
                <w:bCs/>
                <w:color w:val="000000"/>
              </w:rPr>
            </w:pPr>
            <w:r>
              <w:rPr>
                <w:rFonts w:ascii="Times New Roman" w:eastAsia="Times New Roman" w:hAnsi="Times New Roman" w:cs="Times New Roman"/>
                <w:b/>
                <w:bCs/>
                <w:color w:val="000000"/>
              </w:rPr>
              <w:t>N/A</w:t>
            </w:r>
          </w:p>
        </w:tc>
        <w:tc>
          <w:tcPr>
            <w:tcW w:w="1890" w:type="dxa"/>
            <w:tcBorders>
              <w:left w:val="single" w:sz="12" w:space="0" w:color="auto"/>
              <w:right w:val="single" w:sz="12" w:space="0" w:color="auto"/>
            </w:tcBorders>
            <w:noWrap/>
            <w:hideMark/>
          </w:tcPr>
          <w:p w14:paraId="2120791F"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5.5%</w:t>
            </w:r>
          </w:p>
        </w:tc>
        <w:tc>
          <w:tcPr>
            <w:tcW w:w="1620" w:type="dxa"/>
            <w:tcBorders>
              <w:left w:val="single" w:sz="12" w:space="0" w:color="auto"/>
            </w:tcBorders>
            <w:noWrap/>
            <w:hideMark/>
          </w:tcPr>
          <w:p w14:paraId="75D36ABB" w14:textId="77777777" w:rsidR="00CD0F44" w:rsidRPr="00FB1F9F" w:rsidRDefault="00CD0F44" w:rsidP="00A1037E">
            <w:pPr>
              <w:keepNext/>
              <w:keepLines/>
              <w:jc w:val="center"/>
              <w:rPr>
                <w:rFonts w:ascii="Times New Roman" w:eastAsia="Times New Roman" w:hAnsi="Times New Roman" w:cs="Times New Roman"/>
                <w:i/>
                <w:iCs/>
                <w:color w:val="000000"/>
                <w:sz w:val="20"/>
                <w:szCs w:val="20"/>
              </w:rPr>
            </w:pPr>
            <w:r w:rsidRPr="00FB1F9F">
              <w:rPr>
                <w:rFonts w:ascii="Times New Roman" w:eastAsia="Times New Roman" w:hAnsi="Times New Roman" w:cs="Times New Roman"/>
                <w:color w:val="000000"/>
              </w:rPr>
              <w:t>4.4%</w:t>
            </w:r>
          </w:p>
        </w:tc>
      </w:tr>
    </w:tbl>
    <w:p w14:paraId="7CB6DCE1" w14:textId="77777777" w:rsidR="00CD0F44" w:rsidRDefault="00CD0F44" w:rsidP="005A15D4">
      <w:pPr>
        <w:spacing w:line="480" w:lineRule="auto"/>
        <w:ind w:firstLine="720"/>
        <w:rPr>
          <w:rFonts w:ascii="Times New Roman" w:hAnsi="Times New Roman" w:cs="Times New Roman"/>
        </w:rPr>
      </w:pPr>
    </w:p>
    <w:p w14:paraId="79346B84" w14:textId="4EC5A3E6" w:rsidR="00E12CFF" w:rsidRDefault="005A15D4" w:rsidP="005A15D4">
      <w:pPr>
        <w:spacing w:line="480" w:lineRule="auto"/>
        <w:rPr>
          <w:rFonts w:ascii="Times New Roman" w:hAnsi="Times New Roman" w:cs="Times New Roman"/>
        </w:rPr>
      </w:pPr>
      <w:r w:rsidRPr="00537498">
        <w:rPr>
          <w:rFonts w:ascii="Times New Roman" w:hAnsi="Times New Roman" w:cs="Times New Roman"/>
        </w:rPr>
        <w:tab/>
      </w:r>
      <w:r w:rsidR="00FB072E">
        <w:rPr>
          <w:rFonts w:ascii="Times New Roman" w:hAnsi="Times New Roman" w:cs="Times New Roman"/>
        </w:rPr>
        <w:t xml:space="preserve">Finally, in </w:t>
      </w:r>
      <w:r w:rsidR="00CD0F44">
        <w:rPr>
          <w:rFonts w:ascii="Times New Roman" w:hAnsi="Times New Roman" w:cs="Times New Roman"/>
        </w:rPr>
        <w:t xml:space="preserve">Table </w:t>
      </w:r>
      <w:r w:rsidR="00E12CFF">
        <w:rPr>
          <w:rFonts w:ascii="Times New Roman" w:hAnsi="Times New Roman" w:cs="Times New Roman"/>
        </w:rPr>
        <w:t>3</w:t>
      </w:r>
      <w:r w:rsidR="00296FEB">
        <w:rPr>
          <w:rFonts w:ascii="Times New Roman" w:hAnsi="Times New Roman" w:cs="Times New Roman"/>
        </w:rPr>
        <w:t>8</w:t>
      </w:r>
      <w:r w:rsidR="00FB072E">
        <w:rPr>
          <w:rFonts w:ascii="Times New Roman" w:hAnsi="Times New Roman" w:cs="Times New Roman"/>
        </w:rPr>
        <w:t>, we</w:t>
      </w:r>
      <w:r w:rsidR="00CD0F44">
        <w:rPr>
          <w:rFonts w:ascii="Times New Roman" w:hAnsi="Times New Roman" w:cs="Times New Roman"/>
        </w:rPr>
        <w:t xml:space="preserve"> provide an estimate of the debtors’ equity in their homes and their other real property. Note that the other real property measure simply subtracts the total value of the debtor’s mortgages from the total value of other real property; it does not calculate equity parcel by parcel. </w:t>
      </w:r>
      <w:r w:rsidR="00E22BFD">
        <w:rPr>
          <w:rFonts w:ascii="Times New Roman" w:hAnsi="Times New Roman" w:cs="Times New Roman"/>
        </w:rPr>
        <w:t xml:space="preserve">In light of the real estate collapse, we expected to find </w:t>
      </w:r>
      <w:r w:rsidR="00A169C5">
        <w:rPr>
          <w:rFonts w:ascii="Times New Roman" w:hAnsi="Times New Roman" w:cs="Times New Roman"/>
        </w:rPr>
        <w:t xml:space="preserve">that a large </w:t>
      </w:r>
      <w:r w:rsidR="00E22BFD">
        <w:rPr>
          <w:rFonts w:ascii="Times New Roman" w:hAnsi="Times New Roman" w:cs="Times New Roman"/>
        </w:rPr>
        <w:t xml:space="preserve">number of </w:t>
      </w:r>
      <w:r w:rsidR="00A169C5">
        <w:rPr>
          <w:rFonts w:ascii="Times New Roman" w:hAnsi="Times New Roman" w:cs="Times New Roman"/>
        </w:rPr>
        <w:t xml:space="preserve">debtors were using bankruptcy to try to renegotiate mortgages worth more than their homes. </w:t>
      </w:r>
      <w:r w:rsidR="00E22BFD">
        <w:rPr>
          <w:rFonts w:ascii="Times New Roman" w:hAnsi="Times New Roman" w:cs="Times New Roman"/>
        </w:rPr>
        <w:t xml:space="preserve">After all, one advantage of </w:t>
      </w:r>
      <w:r w:rsidR="00AA091B">
        <w:rPr>
          <w:rFonts w:ascii="Times New Roman" w:hAnsi="Times New Roman" w:cs="Times New Roman"/>
        </w:rPr>
        <w:t>chapter</w:t>
      </w:r>
      <w:r w:rsidR="00E22BFD">
        <w:rPr>
          <w:rFonts w:ascii="Times New Roman" w:hAnsi="Times New Roman" w:cs="Times New Roman"/>
        </w:rPr>
        <w:t xml:space="preserve"> 11 </w:t>
      </w:r>
      <w:r w:rsidR="00A1037E">
        <w:rPr>
          <w:rFonts w:ascii="Times New Roman" w:hAnsi="Times New Roman" w:cs="Times New Roman"/>
        </w:rPr>
        <w:t xml:space="preserve">over chapter 13 is that the former is not subject to the latter’s requirement that </w:t>
      </w:r>
      <w:r w:rsidR="00E22BFD">
        <w:rPr>
          <w:rFonts w:ascii="Times New Roman" w:hAnsi="Times New Roman" w:cs="Times New Roman"/>
        </w:rPr>
        <w:t>a plan be completed in five years</w:t>
      </w:r>
      <w:r w:rsidR="00A1037E">
        <w:rPr>
          <w:rFonts w:ascii="Times New Roman" w:hAnsi="Times New Roman" w:cs="Times New Roman"/>
        </w:rPr>
        <w:t>.</w:t>
      </w:r>
      <w:r w:rsidR="007C64BB">
        <w:rPr>
          <w:rStyle w:val="FootnoteReference"/>
          <w:rFonts w:ascii="Times New Roman" w:hAnsi="Times New Roman" w:cs="Times New Roman"/>
        </w:rPr>
        <w:footnoteReference w:id="172"/>
      </w:r>
      <w:r w:rsidR="00E22BFD">
        <w:rPr>
          <w:rFonts w:ascii="Times New Roman" w:hAnsi="Times New Roman" w:cs="Times New Roman"/>
        </w:rPr>
        <w:t xml:space="preserve"> </w:t>
      </w:r>
      <w:r w:rsidR="00A1037E">
        <w:rPr>
          <w:rFonts w:ascii="Times New Roman" w:hAnsi="Times New Roman" w:cs="Times New Roman"/>
        </w:rPr>
        <w:t xml:space="preserve">That requirement makes it very </w:t>
      </w:r>
      <w:r w:rsidR="00E22BFD">
        <w:rPr>
          <w:rFonts w:ascii="Times New Roman" w:hAnsi="Times New Roman" w:cs="Times New Roman"/>
        </w:rPr>
        <w:t xml:space="preserve">difficult for a debtor to repay </w:t>
      </w:r>
      <w:r w:rsidR="00CD5AFB">
        <w:rPr>
          <w:rFonts w:ascii="Times New Roman" w:hAnsi="Times New Roman" w:cs="Times New Roman"/>
        </w:rPr>
        <w:t xml:space="preserve">a </w:t>
      </w:r>
      <w:r w:rsidR="00E22BFD">
        <w:rPr>
          <w:rFonts w:ascii="Times New Roman" w:hAnsi="Times New Roman" w:cs="Times New Roman"/>
        </w:rPr>
        <w:t xml:space="preserve">mortgage in full under </w:t>
      </w:r>
      <w:r w:rsidR="00641438">
        <w:rPr>
          <w:rFonts w:ascii="Times New Roman" w:hAnsi="Times New Roman" w:cs="Times New Roman"/>
        </w:rPr>
        <w:t>chapter</w:t>
      </w:r>
      <w:r w:rsidR="00A1037E">
        <w:rPr>
          <w:rFonts w:ascii="Times New Roman" w:hAnsi="Times New Roman" w:cs="Times New Roman"/>
        </w:rPr>
        <w:t xml:space="preserve"> 13</w:t>
      </w:r>
      <w:r w:rsidR="00E22BFD">
        <w:rPr>
          <w:rFonts w:ascii="Times New Roman" w:hAnsi="Times New Roman" w:cs="Times New Roman"/>
        </w:rPr>
        <w:t>.</w:t>
      </w:r>
      <w:r w:rsidR="00891EBE">
        <w:rPr>
          <w:rStyle w:val="FootnoteReference"/>
          <w:rFonts w:ascii="Times New Roman" w:hAnsi="Times New Roman" w:cs="Times New Roman"/>
        </w:rPr>
        <w:footnoteReference w:id="173"/>
      </w:r>
    </w:p>
    <w:p w14:paraId="084CFC83" w14:textId="12F06FB6" w:rsidR="0085167F" w:rsidRDefault="00FB072E" w:rsidP="00496350">
      <w:pPr>
        <w:spacing w:line="480" w:lineRule="auto"/>
        <w:ind w:firstLine="720"/>
        <w:rPr>
          <w:rFonts w:ascii="Times New Roman" w:hAnsi="Times New Roman" w:cs="Times New Roman"/>
          <w:b/>
        </w:rPr>
      </w:pPr>
      <w:r>
        <w:rPr>
          <w:rFonts w:ascii="Times New Roman" w:hAnsi="Times New Roman" w:cs="Times New Roman"/>
        </w:rPr>
        <w:t xml:space="preserve">The data in </w:t>
      </w:r>
      <w:r w:rsidR="00A169C5">
        <w:rPr>
          <w:rFonts w:ascii="Times New Roman" w:hAnsi="Times New Roman" w:cs="Times New Roman"/>
        </w:rPr>
        <w:t>Table 3</w:t>
      </w:r>
      <w:r w:rsidR="00296FEB">
        <w:rPr>
          <w:rFonts w:ascii="Times New Roman" w:hAnsi="Times New Roman" w:cs="Times New Roman"/>
        </w:rPr>
        <w:t>8</w:t>
      </w:r>
      <w:r w:rsidR="00A169C5">
        <w:rPr>
          <w:rFonts w:ascii="Times New Roman" w:hAnsi="Times New Roman" w:cs="Times New Roman"/>
        </w:rPr>
        <w:t xml:space="preserve"> show that </w:t>
      </w:r>
      <w:r w:rsidR="00CF2F91">
        <w:rPr>
          <w:rFonts w:ascii="Times New Roman" w:hAnsi="Times New Roman" w:cs="Times New Roman"/>
        </w:rPr>
        <w:t xml:space="preserve">many of our debtors </w:t>
      </w:r>
      <w:r w:rsidR="00A169C5">
        <w:rPr>
          <w:rFonts w:ascii="Times New Roman" w:hAnsi="Times New Roman" w:cs="Times New Roman"/>
        </w:rPr>
        <w:t>were under water</w:t>
      </w:r>
      <w:r w:rsidR="00CF2F91">
        <w:rPr>
          <w:rFonts w:ascii="Times New Roman" w:hAnsi="Times New Roman" w:cs="Times New Roman"/>
        </w:rPr>
        <w:t xml:space="preserve"> on their mortgages</w:t>
      </w:r>
      <w:r>
        <w:rPr>
          <w:rFonts w:ascii="Times New Roman" w:hAnsi="Times New Roman" w:cs="Times New Roman"/>
        </w:rPr>
        <w:t>. Nonetheless,</w:t>
      </w:r>
      <w:r w:rsidR="00A169C5">
        <w:rPr>
          <w:rFonts w:ascii="Times New Roman" w:hAnsi="Times New Roman" w:cs="Times New Roman"/>
        </w:rPr>
        <w:t xml:space="preserve"> </w:t>
      </w:r>
      <w:r>
        <w:rPr>
          <w:rFonts w:ascii="Times New Roman" w:hAnsi="Times New Roman" w:cs="Times New Roman"/>
        </w:rPr>
        <w:t>3</w:t>
      </w:r>
      <w:r w:rsidR="004D5CF2">
        <w:rPr>
          <w:rFonts w:ascii="Times New Roman" w:hAnsi="Times New Roman" w:cs="Times New Roman"/>
        </w:rPr>
        <w:t>5</w:t>
      </w:r>
      <w:r>
        <w:rPr>
          <w:rFonts w:ascii="Times New Roman" w:hAnsi="Times New Roman" w:cs="Times New Roman"/>
        </w:rPr>
        <w:t>% of the debtors in 2010 and 3</w:t>
      </w:r>
      <w:r w:rsidR="004D5CF2">
        <w:rPr>
          <w:rFonts w:ascii="Times New Roman" w:hAnsi="Times New Roman" w:cs="Times New Roman"/>
        </w:rPr>
        <w:t>3</w:t>
      </w:r>
      <w:r>
        <w:rPr>
          <w:rFonts w:ascii="Times New Roman" w:hAnsi="Times New Roman" w:cs="Times New Roman"/>
        </w:rPr>
        <w:t xml:space="preserve">% in 2013 </w:t>
      </w:r>
      <w:r w:rsidR="00630F01">
        <w:rPr>
          <w:rFonts w:ascii="Times New Roman" w:hAnsi="Times New Roman" w:cs="Times New Roman"/>
        </w:rPr>
        <w:t xml:space="preserve">reported </w:t>
      </w:r>
      <w:r w:rsidR="00E22BFD">
        <w:rPr>
          <w:rFonts w:ascii="Times New Roman" w:hAnsi="Times New Roman" w:cs="Times New Roman"/>
        </w:rPr>
        <w:t>equity in their home</w:t>
      </w:r>
      <w:r w:rsidR="00E12CFF">
        <w:rPr>
          <w:rFonts w:ascii="Times New Roman" w:hAnsi="Times New Roman" w:cs="Times New Roman"/>
        </w:rPr>
        <w:t>,</w:t>
      </w:r>
      <w:r w:rsidR="00E22BFD">
        <w:rPr>
          <w:rFonts w:ascii="Times New Roman" w:hAnsi="Times New Roman" w:cs="Times New Roman"/>
        </w:rPr>
        <w:t xml:space="preserve"> </w:t>
      </w:r>
      <w:r>
        <w:rPr>
          <w:rFonts w:ascii="Times New Roman" w:hAnsi="Times New Roman" w:cs="Times New Roman"/>
        </w:rPr>
        <w:t>while</w:t>
      </w:r>
      <w:r w:rsidR="00E22BFD">
        <w:rPr>
          <w:rFonts w:ascii="Times New Roman" w:hAnsi="Times New Roman" w:cs="Times New Roman"/>
        </w:rPr>
        <w:t xml:space="preserve"> </w:t>
      </w:r>
      <w:r w:rsidR="00E12CFF">
        <w:rPr>
          <w:rFonts w:ascii="Times New Roman" w:hAnsi="Times New Roman" w:cs="Times New Roman"/>
        </w:rPr>
        <w:t>23</w:t>
      </w:r>
      <w:r>
        <w:rPr>
          <w:rFonts w:ascii="Times New Roman" w:hAnsi="Times New Roman" w:cs="Times New Roman"/>
        </w:rPr>
        <w:t>% to</w:t>
      </w:r>
      <w:r w:rsidR="004D5CF2">
        <w:rPr>
          <w:rFonts w:ascii="Times New Roman" w:hAnsi="Times New Roman" w:cs="Times New Roman"/>
        </w:rPr>
        <w:t xml:space="preserve"> </w:t>
      </w:r>
      <w:r w:rsidR="00E12CFF">
        <w:rPr>
          <w:rFonts w:ascii="Times New Roman" w:hAnsi="Times New Roman" w:cs="Times New Roman"/>
        </w:rPr>
        <w:t>25%</w:t>
      </w:r>
      <w:r w:rsidR="00E22BFD">
        <w:rPr>
          <w:rFonts w:ascii="Times New Roman" w:hAnsi="Times New Roman" w:cs="Times New Roman"/>
        </w:rPr>
        <w:t xml:space="preserve"> reported equity in other real property. </w:t>
      </w:r>
      <w:r w:rsidR="005A15D4">
        <w:rPr>
          <w:rFonts w:ascii="Times New Roman" w:hAnsi="Times New Roman" w:cs="Times New Roman"/>
        </w:rPr>
        <w:t>At a time when real estate prices were seriously depressed</w:t>
      </w:r>
      <w:r w:rsidR="006978FD">
        <w:rPr>
          <w:rFonts w:ascii="Times New Roman" w:hAnsi="Times New Roman" w:cs="Times New Roman"/>
        </w:rPr>
        <w:t>—</w:t>
      </w:r>
      <w:r w:rsidR="005A15D4">
        <w:rPr>
          <w:rFonts w:ascii="Times New Roman" w:hAnsi="Times New Roman" w:cs="Times New Roman"/>
        </w:rPr>
        <w:t>particular</w:t>
      </w:r>
      <w:r w:rsidR="006978FD">
        <w:rPr>
          <w:rFonts w:ascii="Times New Roman" w:hAnsi="Times New Roman" w:cs="Times New Roman"/>
        </w:rPr>
        <w:t>ly</w:t>
      </w:r>
      <w:r w:rsidR="005A15D4">
        <w:rPr>
          <w:rFonts w:ascii="Times New Roman" w:hAnsi="Times New Roman" w:cs="Times New Roman"/>
        </w:rPr>
        <w:t xml:space="preserve"> in 2010</w:t>
      </w:r>
      <w:r w:rsidR="006978FD">
        <w:rPr>
          <w:rFonts w:ascii="Times New Roman" w:hAnsi="Times New Roman" w:cs="Times New Roman"/>
        </w:rPr>
        <w:t>—</w:t>
      </w:r>
      <w:r w:rsidR="005A15D4">
        <w:rPr>
          <w:rFonts w:ascii="Times New Roman" w:hAnsi="Times New Roman" w:cs="Times New Roman"/>
        </w:rPr>
        <w:t xml:space="preserve">this finding suggests that individual debtors in </w:t>
      </w:r>
      <w:r w:rsidR="00AA091B">
        <w:rPr>
          <w:rFonts w:ascii="Times New Roman" w:hAnsi="Times New Roman" w:cs="Times New Roman"/>
        </w:rPr>
        <w:t>chapter</w:t>
      </w:r>
      <w:r w:rsidR="005A15D4">
        <w:rPr>
          <w:rFonts w:ascii="Times New Roman" w:hAnsi="Times New Roman" w:cs="Times New Roman"/>
        </w:rPr>
        <w:t xml:space="preserve"> 11 hold more wealth than the typical American and are </w:t>
      </w:r>
      <w:r w:rsidR="006978FD">
        <w:rPr>
          <w:rFonts w:ascii="Times New Roman" w:hAnsi="Times New Roman" w:cs="Times New Roman"/>
        </w:rPr>
        <w:t>un</w:t>
      </w:r>
      <w:r w:rsidR="005A15D4">
        <w:rPr>
          <w:rFonts w:ascii="Times New Roman" w:hAnsi="Times New Roman" w:cs="Times New Roman"/>
        </w:rPr>
        <w:t xml:space="preserve">like the stereotypical </w:t>
      </w:r>
      <w:r w:rsidR="00AA091B">
        <w:rPr>
          <w:rFonts w:ascii="Times New Roman" w:hAnsi="Times New Roman" w:cs="Times New Roman"/>
        </w:rPr>
        <w:t>chapter</w:t>
      </w:r>
      <w:r w:rsidR="005A15D4">
        <w:rPr>
          <w:rFonts w:ascii="Times New Roman" w:hAnsi="Times New Roman" w:cs="Times New Roman"/>
        </w:rPr>
        <w:t xml:space="preserve"> 13 debtor.</w:t>
      </w:r>
    </w:p>
    <w:p w14:paraId="7EF76BDA" w14:textId="55127022" w:rsidR="004E67F4" w:rsidRDefault="00BD18FB" w:rsidP="00A1037E">
      <w:pPr>
        <w:keepNext/>
        <w:keepLines/>
        <w:jc w:val="center"/>
        <w:rPr>
          <w:rFonts w:ascii="Times New Roman" w:hAnsi="Times New Roman" w:cs="Times New Roman"/>
          <w:b/>
        </w:rPr>
      </w:pPr>
      <w:r>
        <w:rPr>
          <w:rFonts w:ascii="Times New Roman" w:hAnsi="Times New Roman" w:cs="Times New Roman"/>
          <w:b/>
        </w:rPr>
        <w:t>Table 3</w:t>
      </w:r>
      <w:r w:rsidR="00296FEB">
        <w:rPr>
          <w:rFonts w:ascii="Times New Roman" w:hAnsi="Times New Roman" w:cs="Times New Roman"/>
          <w:b/>
        </w:rPr>
        <w:t>8</w:t>
      </w:r>
      <w:r>
        <w:rPr>
          <w:rFonts w:ascii="Times New Roman" w:hAnsi="Times New Roman" w:cs="Times New Roman"/>
          <w:b/>
        </w:rPr>
        <w:t>: Debtor Equity in Real Property</w:t>
      </w:r>
    </w:p>
    <w:p w14:paraId="3F64BD2A" w14:textId="77777777" w:rsidR="007603BC" w:rsidRDefault="007603BC" w:rsidP="00A1037E">
      <w:pPr>
        <w:keepNext/>
        <w:keepLines/>
        <w:jc w:val="center"/>
        <w:rPr>
          <w:rFonts w:ascii="Times New Roman" w:hAnsi="Times New Roman" w:cs="Times New Roman"/>
          <w:b/>
        </w:rPr>
      </w:pPr>
    </w:p>
    <w:tbl>
      <w:tblPr>
        <w:tblStyle w:val="TableGrid"/>
        <w:tblW w:w="0" w:type="auto"/>
        <w:tblLook w:val="04A0" w:firstRow="1" w:lastRow="0" w:firstColumn="1" w:lastColumn="0" w:noHBand="0" w:noVBand="1"/>
      </w:tblPr>
      <w:tblGrid>
        <w:gridCol w:w="2937"/>
        <w:gridCol w:w="1497"/>
        <w:gridCol w:w="1414"/>
        <w:gridCol w:w="1505"/>
        <w:gridCol w:w="1264"/>
      </w:tblGrid>
      <w:tr w:rsidR="00FB7F26" w14:paraId="4E41EF55" w14:textId="77777777" w:rsidTr="00296FEB">
        <w:tc>
          <w:tcPr>
            <w:tcW w:w="3078" w:type="dxa"/>
            <w:vMerge w:val="restart"/>
            <w:tcBorders>
              <w:top w:val="nil"/>
              <w:left w:val="nil"/>
              <w:right w:val="single" w:sz="18" w:space="0" w:color="auto"/>
            </w:tcBorders>
          </w:tcPr>
          <w:p w14:paraId="290B5CD1" w14:textId="77777777" w:rsidR="00FB7F26" w:rsidRDefault="00FB7F26" w:rsidP="00A1037E">
            <w:pPr>
              <w:keepNext/>
              <w:keepLines/>
              <w:jc w:val="center"/>
              <w:rPr>
                <w:rFonts w:ascii="Times New Roman" w:hAnsi="Times New Roman" w:cs="Times New Roman"/>
                <w:b/>
              </w:rPr>
            </w:pPr>
          </w:p>
        </w:tc>
        <w:tc>
          <w:tcPr>
            <w:tcW w:w="2970" w:type="dxa"/>
            <w:gridSpan w:val="2"/>
            <w:tcBorders>
              <w:top w:val="single" w:sz="18" w:space="0" w:color="auto"/>
              <w:left w:val="single" w:sz="18" w:space="0" w:color="auto"/>
              <w:bottom w:val="single" w:sz="18" w:space="0" w:color="auto"/>
              <w:right w:val="single" w:sz="18" w:space="0" w:color="auto"/>
            </w:tcBorders>
          </w:tcPr>
          <w:p w14:paraId="441109B1" w14:textId="42EED840"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Home Equity</w:t>
            </w:r>
          </w:p>
        </w:tc>
        <w:tc>
          <w:tcPr>
            <w:tcW w:w="2808" w:type="dxa"/>
            <w:gridSpan w:val="2"/>
            <w:tcBorders>
              <w:top w:val="single" w:sz="18" w:space="0" w:color="auto"/>
              <w:left w:val="single" w:sz="18" w:space="0" w:color="auto"/>
              <w:bottom w:val="single" w:sz="18" w:space="0" w:color="auto"/>
              <w:right w:val="single" w:sz="18" w:space="0" w:color="auto"/>
            </w:tcBorders>
          </w:tcPr>
          <w:p w14:paraId="0E939182" w14:textId="51F72949"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Other Real Property Equity (Net)</w:t>
            </w:r>
          </w:p>
        </w:tc>
      </w:tr>
      <w:tr w:rsidR="00FB7F26" w14:paraId="5E84654A" w14:textId="77777777" w:rsidTr="00296FEB">
        <w:tc>
          <w:tcPr>
            <w:tcW w:w="3078" w:type="dxa"/>
            <w:vMerge/>
            <w:tcBorders>
              <w:left w:val="nil"/>
              <w:bottom w:val="single" w:sz="18" w:space="0" w:color="auto"/>
              <w:right w:val="single" w:sz="18" w:space="0" w:color="auto"/>
            </w:tcBorders>
          </w:tcPr>
          <w:p w14:paraId="5287782E" w14:textId="77777777" w:rsidR="00FB7F26" w:rsidRDefault="00FB7F26" w:rsidP="00A1037E">
            <w:pPr>
              <w:keepNext/>
              <w:keepLines/>
              <w:jc w:val="center"/>
              <w:rPr>
                <w:rFonts w:ascii="Times New Roman" w:hAnsi="Times New Roman" w:cs="Times New Roman"/>
                <w:b/>
              </w:rPr>
            </w:pPr>
          </w:p>
        </w:tc>
        <w:tc>
          <w:tcPr>
            <w:tcW w:w="1530" w:type="dxa"/>
            <w:tcBorders>
              <w:top w:val="single" w:sz="18" w:space="0" w:color="auto"/>
              <w:left w:val="single" w:sz="18" w:space="0" w:color="auto"/>
              <w:bottom w:val="single" w:sz="18" w:space="0" w:color="auto"/>
            </w:tcBorders>
          </w:tcPr>
          <w:p w14:paraId="321A508F" w14:textId="11F7B727"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2010</w:t>
            </w:r>
          </w:p>
        </w:tc>
        <w:tc>
          <w:tcPr>
            <w:tcW w:w="1440" w:type="dxa"/>
            <w:tcBorders>
              <w:top w:val="single" w:sz="18" w:space="0" w:color="auto"/>
              <w:bottom w:val="single" w:sz="18" w:space="0" w:color="auto"/>
              <w:right w:val="single" w:sz="18" w:space="0" w:color="auto"/>
            </w:tcBorders>
          </w:tcPr>
          <w:p w14:paraId="36913B3E" w14:textId="673A20A4"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2013</w:t>
            </w:r>
          </w:p>
        </w:tc>
        <w:tc>
          <w:tcPr>
            <w:tcW w:w="1530" w:type="dxa"/>
            <w:tcBorders>
              <w:top w:val="single" w:sz="18" w:space="0" w:color="auto"/>
              <w:left w:val="single" w:sz="18" w:space="0" w:color="auto"/>
              <w:bottom w:val="single" w:sz="18" w:space="0" w:color="auto"/>
            </w:tcBorders>
          </w:tcPr>
          <w:p w14:paraId="7C9A8353" w14:textId="3C032CBD"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2010</w:t>
            </w:r>
          </w:p>
        </w:tc>
        <w:tc>
          <w:tcPr>
            <w:tcW w:w="1278" w:type="dxa"/>
            <w:tcBorders>
              <w:top w:val="single" w:sz="18" w:space="0" w:color="auto"/>
              <w:bottom w:val="single" w:sz="18" w:space="0" w:color="auto"/>
              <w:right w:val="single" w:sz="18" w:space="0" w:color="auto"/>
            </w:tcBorders>
          </w:tcPr>
          <w:p w14:paraId="4EAD0422" w14:textId="60D81D7C"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2013</w:t>
            </w:r>
          </w:p>
        </w:tc>
      </w:tr>
      <w:tr w:rsidR="00FB7F26" w14:paraId="5847B10C" w14:textId="77777777" w:rsidTr="00296FEB">
        <w:tc>
          <w:tcPr>
            <w:tcW w:w="3078" w:type="dxa"/>
            <w:tcBorders>
              <w:top w:val="single" w:sz="18" w:space="0" w:color="auto"/>
              <w:right w:val="single" w:sz="18" w:space="0" w:color="auto"/>
            </w:tcBorders>
          </w:tcPr>
          <w:p w14:paraId="182EB907" w14:textId="360A5980"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Over $1</w:t>
            </w:r>
            <w:r w:rsidR="00E61D15" w:rsidRPr="00496350">
              <w:rPr>
                <w:rFonts w:ascii="Times New Roman" w:hAnsi="Times New Roman" w:cs="Times New Roman"/>
                <w:b/>
                <w:sz w:val="22"/>
                <w:szCs w:val="22"/>
              </w:rPr>
              <w:t>,000,000</w:t>
            </w:r>
          </w:p>
        </w:tc>
        <w:tc>
          <w:tcPr>
            <w:tcW w:w="1530" w:type="dxa"/>
            <w:tcBorders>
              <w:top w:val="single" w:sz="18" w:space="0" w:color="auto"/>
              <w:left w:val="single" w:sz="18" w:space="0" w:color="auto"/>
            </w:tcBorders>
            <w:vAlign w:val="bottom"/>
          </w:tcPr>
          <w:p w14:paraId="537CFFA8" w14:textId="42E3F970"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0.9%</w:t>
            </w:r>
          </w:p>
        </w:tc>
        <w:tc>
          <w:tcPr>
            <w:tcW w:w="1440" w:type="dxa"/>
            <w:tcBorders>
              <w:top w:val="single" w:sz="18" w:space="0" w:color="auto"/>
              <w:right w:val="single" w:sz="18" w:space="0" w:color="auto"/>
            </w:tcBorders>
            <w:vAlign w:val="bottom"/>
          </w:tcPr>
          <w:p w14:paraId="7D68C01F" w14:textId="2C833418"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1.8%</w:t>
            </w:r>
          </w:p>
        </w:tc>
        <w:tc>
          <w:tcPr>
            <w:tcW w:w="1530" w:type="dxa"/>
            <w:tcBorders>
              <w:top w:val="single" w:sz="18" w:space="0" w:color="auto"/>
              <w:left w:val="single" w:sz="18" w:space="0" w:color="auto"/>
            </w:tcBorders>
            <w:vAlign w:val="bottom"/>
          </w:tcPr>
          <w:p w14:paraId="369F5B46" w14:textId="40723A76"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6.4%</w:t>
            </w:r>
          </w:p>
        </w:tc>
        <w:tc>
          <w:tcPr>
            <w:tcW w:w="1278" w:type="dxa"/>
            <w:tcBorders>
              <w:top w:val="single" w:sz="18" w:space="0" w:color="auto"/>
              <w:right w:val="single" w:sz="18" w:space="0" w:color="auto"/>
            </w:tcBorders>
            <w:vAlign w:val="bottom"/>
          </w:tcPr>
          <w:p w14:paraId="1A7D6991" w14:textId="79398E1D"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2.6%</w:t>
            </w:r>
          </w:p>
        </w:tc>
      </w:tr>
      <w:tr w:rsidR="00FB7F26" w14:paraId="4EFA94C2" w14:textId="77777777" w:rsidTr="00296FEB">
        <w:tc>
          <w:tcPr>
            <w:tcW w:w="3078" w:type="dxa"/>
            <w:tcBorders>
              <w:right w:val="single" w:sz="18" w:space="0" w:color="auto"/>
            </w:tcBorders>
          </w:tcPr>
          <w:p w14:paraId="515FFD3D" w14:textId="1D5EDDC4"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$500</w:t>
            </w:r>
            <w:r w:rsidR="0085167F" w:rsidRPr="00496350">
              <w:rPr>
                <w:rFonts w:ascii="Times New Roman" w:hAnsi="Times New Roman" w:cs="Times New Roman"/>
                <w:b/>
                <w:sz w:val="22"/>
                <w:szCs w:val="22"/>
              </w:rPr>
              <w:t>,001</w:t>
            </w:r>
            <w:r w:rsidRPr="00496350">
              <w:rPr>
                <w:rFonts w:ascii="Times New Roman" w:hAnsi="Times New Roman" w:cs="Times New Roman"/>
                <w:b/>
                <w:sz w:val="22"/>
                <w:szCs w:val="22"/>
              </w:rPr>
              <w:t xml:space="preserve"> to $1</w:t>
            </w:r>
            <w:r w:rsidR="00E61D15" w:rsidRPr="00496350">
              <w:rPr>
                <w:rFonts w:ascii="Times New Roman" w:hAnsi="Times New Roman" w:cs="Times New Roman"/>
                <w:b/>
                <w:sz w:val="22"/>
                <w:szCs w:val="22"/>
              </w:rPr>
              <w:t>,000,000</w:t>
            </w:r>
          </w:p>
        </w:tc>
        <w:tc>
          <w:tcPr>
            <w:tcW w:w="1530" w:type="dxa"/>
            <w:tcBorders>
              <w:left w:val="single" w:sz="18" w:space="0" w:color="auto"/>
            </w:tcBorders>
            <w:vAlign w:val="bottom"/>
          </w:tcPr>
          <w:p w14:paraId="6A82EBDE" w14:textId="3EE50FBC"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8.3%</w:t>
            </w:r>
          </w:p>
        </w:tc>
        <w:tc>
          <w:tcPr>
            <w:tcW w:w="1440" w:type="dxa"/>
            <w:tcBorders>
              <w:right w:val="single" w:sz="18" w:space="0" w:color="auto"/>
            </w:tcBorders>
            <w:vAlign w:val="bottom"/>
          </w:tcPr>
          <w:p w14:paraId="3B9F9444" w14:textId="300DF927"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2.6%</w:t>
            </w:r>
          </w:p>
        </w:tc>
        <w:tc>
          <w:tcPr>
            <w:tcW w:w="1530" w:type="dxa"/>
            <w:tcBorders>
              <w:left w:val="single" w:sz="18" w:space="0" w:color="auto"/>
            </w:tcBorders>
            <w:vAlign w:val="bottom"/>
          </w:tcPr>
          <w:p w14:paraId="7407CEC4" w14:textId="231C2882"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3.7%</w:t>
            </w:r>
          </w:p>
        </w:tc>
        <w:tc>
          <w:tcPr>
            <w:tcW w:w="1278" w:type="dxa"/>
            <w:tcBorders>
              <w:right w:val="single" w:sz="18" w:space="0" w:color="auto"/>
            </w:tcBorders>
            <w:vAlign w:val="bottom"/>
          </w:tcPr>
          <w:p w14:paraId="6A941BC7" w14:textId="0A4AC6D1"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2.6%</w:t>
            </w:r>
          </w:p>
        </w:tc>
      </w:tr>
      <w:tr w:rsidR="00FB7F26" w14:paraId="6803B397" w14:textId="77777777" w:rsidTr="00296FEB">
        <w:tc>
          <w:tcPr>
            <w:tcW w:w="3078" w:type="dxa"/>
            <w:tcBorders>
              <w:right w:val="single" w:sz="18" w:space="0" w:color="auto"/>
            </w:tcBorders>
          </w:tcPr>
          <w:p w14:paraId="7E29ACCA" w14:textId="1FC50613"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$250</w:t>
            </w:r>
            <w:r w:rsidR="0085167F" w:rsidRPr="00496350">
              <w:rPr>
                <w:rFonts w:ascii="Times New Roman" w:hAnsi="Times New Roman" w:cs="Times New Roman"/>
                <w:b/>
                <w:sz w:val="22"/>
                <w:szCs w:val="22"/>
              </w:rPr>
              <w:t>,001</w:t>
            </w:r>
            <w:r w:rsidRPr="00496350">
              <w:rPr>
                <w:rFonts w:ascii="Times New Roman" w:hAnsi="Times New Roman" w:cs="Times New Roman"/>
                <w:b/>
                <w:sz w:val="22"/>
                <w:szCs w:val="22"/>
              </w:rPr>
              <w:t xml:space="preserve"> to $500</w:t>
            </w:r>
            <w:r w:rsidR="0085167F" w:rsidRPr="00496350">
              <w:rPr>
                <w:rFonts w:ascii="Times New Roman" w:hAnsi="Times New Roman" w:cs="Times New Roman"/>
                <w:b/>
                <w:sz w:val="22"/>
                <w:szCs w:val="22"/>
              </w:rPr>
              <w:t>,000</w:t>
            </w:r>
          </w:p>
        </w:tc>
        <w:tc>
          <w:tcPr>
            <w:tcW w:w="1530" w:type="dxa"/>
            <w:tcBorders>
              <w:left w:val="single" w:sz="18" w:space="0" w:color="auto"/>
            </w:tcBorders>
            <w:vAlign w:val="bottom"/>
          </w:tcPr>
          <w:p w14:paraId="1FD6CB2E" w14:textId="74997529"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4.6%</w:t>
            </w:r>
          </w:p>
        </w:tc>
        <w:tc>
          <w:tcPr>
            <w:tcW w:w="1440" w:type="dxa"/>
            <w:tcBorders>
              <w:right w:val="single" w:sz="18" w:space="0" w:color="auto"/>
            </w:tcBorders>
            <w:vAlign w:val="bottom"/>
          </w:tcPr>
          <w:p w14:paraId="0E3D58B0" w14:textId="71B9ED41"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5.3%</w:t>
            </w:r>
          </w:p>
        </w:tc>
        <w:tc>
          <w:tcPr>
            <w:tcW w:w="1530" w:type="dxa"/>
            <w:tcBorders>
              <w:left w:val="single" w:sz="18" w:space="0" w:color="auto"/>
            </w:tcBorders>
            <w:vAlign w:val="bottom"/>
          </w:tcPr>
          <w:p w14:paraId="62801B85" w14:textId="04CFD2B3"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0.9%</w:t>
            </w:r>
          </w:p>
        </w:tc>
        <w:tc>
          <w:tcPr>
            <w:tcW w:w="1278" w:type="dxa"/>
            <w:tcBorders>
              <w:right w:val="single" w:sz="18" w:space="0" w:color="auto"/>
            </w:tcBorders>
            <w:vAlign w:val="bottom"/>
          </w:tcPr>
          <w:p w14:paraId="67ACB75F" w14:textId="33D2C8B6"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1.8%</w:t>
            </w:r>
          </w:p>
        </w:tc>
      </w:tr>
      <w:tr w:rsidR="00FB7F26" w14:paraId="34AB0107" w14:textId="77777777" w:rsidTr="00296FEB">
        <w:tc>
          <w:tcPr>
            <w:tcW w:w="3078" w:type="dxa"/>
            <w:tcBorders>
              <w:right w:val="single" w:sz="18" w:space="0" w:color="auto"/>
            </w:tcBorders>
          </w:tcPr>
          <w:p w14:paraId="710DA043" w14:textId="068E8321"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$50</w:t>
            </w:r>
            <w:r w:rsidR="0085167F" w:rsidRPr="00496350">
              <w:rPr>
                <w:rFonts w:ascii="Times New Roman" w:hAnsi="Times New Roman" w:cs="Times New Roman"/>
                <w:b/>
                <w:sz w:val="22"/>
                <w:szCs w:val="22"/>
              </w:rPr>
              <w:t>,001</w:t>
            </w:r>
            <w:r w:rsidRPr="00496350">
              <w:rPr>
                <w:rFonts w:ascii="Times New Roman" w:hAnsi="Times New Roman" w:cs="Times New Roman"/>
                <w:b/>
                <w:sz w:val="22"/>
                <w:szCs w:val="22"/>
              </w:rPr>
              <w:t xml:space="preserve"> to $250</w:t>
            </w:r>
            <w:r w:rsidR="0085167F" w:rsidRPr="00496350">
              <w:rPr>
                <w:rFonts w:ascii="Times New Roman" w:hAnsi="Times New Roman" w:cs="Times New Roman"/>
                <w:b/>
                <w:sz w:val="22"/>
                <w:szCs w:val="22"/>
              </w:rPr>
              <w:t>,000</w:t>
            </w:r>
          </w:p>
        </w:tc>
        <w:tc>
          <w:tcPr>
            <w:tcW w:w="1530" w:type="dxa"/>
            <w:tcBorders>
              <w:left w:val="single" w:sz="18" w:space="0" w:color="auto"/>
            </w:tcBorders>
            <w:vAlign w:val="bottom"/>
          </w:tcPr>
          <w:p w14:paraId="32CA2692" w14:textId="3E30AC3E"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13.8%</w:t>
            </w:r>
          </w:p>
        </w:tc>
        <w:tc>
          <w:tcPr>
            <w:tcW w:w="1440" w:type="dxa"/>
            <w:tcBorders>
              <w:right w:val="single" w:sz="18" w:space="0" w:color="auto"/>
            </w:tcBorders>
            <w:vAlign w:val="bottom"/>
          </w:tcPr>
          <w:p w14:paraId="10368F2D" w14:textId="386AC3FC"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15.8%</w:t>
            </w:r>
          </w:p>
        </w:tc>
        <w:tc>
          <w:tcPr>
            <w:tcW w:w="1530" w:type="dxa"/>
            <w:tcBorders>
              <w:left w:val="single" w:sz="18" w:space="0" w:color="auto"/>
            </w:tcBorders>
            <w:vAlign w:val="bottom"/>
          </w:tcPr>
          <w:p w14:paraId="181F668D" w14:textId="72ED7A87"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10.1%</w:t>
            </w:r>
          </w:p>
        </w:tc>
        <w:tc>
          <w:tcPr>
            <w:tcW w:w="1278" w:type="dxa"/>
            <w:tcBorders>
              <w:right w:val="single" w:sz="18" w:space="0" w:color="auto"/>
            </w:tcBorders>
            <w:vAlign w:val="bottom"/>
          </w:tcPr>
          <w:p w14:paraId="07ADE15A" w14:textId="1B828109"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11.4%</w:t>
            </w:r>
          </w:p>
        </w:tc>
      </w:tr>
      <w:tr w:rsidR="00FB7F26" w14:paraId="618EDA79" w14:textId="77777777" w:rsidTr="00296FEB">
        <w:tc>
          <w:tcPr>
            <w:tcW w:w="3078" w:type="dxa"/>
            <w:tcBorders>
              <w:right w:val="single" w:sz="18" w:space="0" w:color="auto"/>
            </w:tcBorders>
          </w:tcPr>
          <w:p w14:paraId="1F534063" w14:textId="2AE338E9"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$1 to $50</w:t>
            </w:r>
            <w:r w:rsidR="0085167F" w:rsidRPr="00496350">
              <w:rPr>
                <w:rFonts w:ascii="Times New Roman" w:hAnsi="Times New Roman" w:cs="Times New Roman"/>
                <w:b/>
                <w:sz w:val="22"/>
                <w:szCs w:val="22"/>
              </w:rPr>
              <w:t>,000</w:t>
            </w:r>
          </w:p>
        </w:tc>
        <w:tc>
          <w:tcPr>
            <w:tcW w:w="1530" w:type="dxa"/>
            <w:tcBorders>
              <w:left w:val="single" w:sz="18" w:space="0" w:color="auto"/>
            </w:tcBorders>
            <w:vAlign w:val="bottom"/>
          </w:tcPr>
          <w:p w14:paraId="57D9DD72" w14:textId="6C4C9439"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7.3%</w:t>
            </w:r>
          </w:p>
        </w:tc>
        <w:tc>
          <w:tcPr>
            <w:tcW w:w="1440" w:type="dxa"/>
            <w:tcBorders>
              <w:right w:val="single" w:sz="18" w:space="0" w:color="auto"/>
            </w:tcBorders>
            <w:vAlign w:val="bottom"/>
          </w:tcPr>
          <w:p w14:paraId="5C114331" w14:textId="789CF0A3"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7.9%</w:t>
            </w:r>
          </w:p>
        </w:tc>
        <w:tc>
          <w:tcPr>
            <w:tcW w:w="1530" w:type="dxa"/>
            <w:tcBorders>
              <w:left w:val="single" w:sz="18" w:space="0" w:color="auto"/>
            </w:tcBorders>
            <w:vAlign w:val="bottom"/>
          </w:tcPr>
          <w:p w14:paraId="1D4B9468" w14:textId="37C88A29"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1.8%</w:t>
            </w:r>
          </w:p>
        </w:tc>
        <w:tc>
          <w:tcPr>
            <w:tcW w:w="1278" w:type="dxa"/>
            <w:tcBorders>
              <w:right w:val="single" w:sz="18" w:space="0" w:color="auto"/>
            </w:tcBorders>
            <w:vAlign w:val="bottom"/>
          </w:tcPr>
          <w:p w14:paraId="778918F1" w14:textId="236924EE"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7.0%</w:t>
            </w:r>
          </w:p>
        </w:tc>
      </w:tr>
      <w:tr w:rsidR="00FB7F26" w14:paraId="749F87A2" w14:textId="77777777" w:rsidTr="00296FEB">
        <w:tc>
          <w:tcPr>
            <w:tcW w:w="3078" w:type="dxa"/>
            <w:tcBorders>
              <w:right w:val="single" w:sz="18" w:space="0" w:color="auto"/>
            </w:tcBorders>
          </w:tcPr>
          <w:p w14:paraId="406036CA" w14:textId="43D85AAE"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0 to -$50</w:t>
            </w:r>
            <w:r w:rsidR="0085167F" w:rsidRPr="00496350">
              <w:rPr>
                <w:rFonts w:ascii="Times New Roman" w:hAnsi="Times New Roman" w:cs="Times New Roman"/>
                <w:b/>
                <w:sz w:val="22"/>
                <w:szCs w:val="22"/>
              </w:rPr>
              <w:t>,000</w:t>
            </w:r>
          </w:p>
        </w:tc>
        <w:tc>
          <w:tcPr>
            <w:tcW w:w="1530" w:type="dxa"/>
            <w:tcBorders>
              <w:left w:val="single" w:sz="18" w:space="0" w:color="auto"/>
            </w:tcBorders>
            <w:vAlign w:val="bottom"/>
          </w:tcPr>
          <w:p w14:paraId="4622AD43" w14:textId="50DF3668"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15.6%</w:t>
            </w:r>
          </w:p>
        </w:tc>
        <w:tc>
          <w:tcPr>
            <w:tcW w:w="1440" w:type="dxa"/>
            <w:tcBorders>
              <w:right w:val="single" w:sz="18" w:space="0" w:color="auto"/>
            </w:tcBorders>
            <w:vAlign w:val="bottom"/>
          </w:tcPr>
          <w:p w14:paraId="3B5DC0ED" w14:textId="13BA96BB"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14.0%</w:t>
            </w:r>
          </w:p>
        </w:tc>
        <w:tc>
          <w:tcPr>
            <w:tcW w:w="1530" w:type="dxa"/>
            <w:tcBorders>
              <w:left w:val="single" w:sz="18" w:space="0" w:color="auto"/>
            </w:tcBorders>
            <w:vAlign w:val="bottom"/>
          </w:tcPr>
          <w:p w14:paraId="16BF18EB" w14:textId="7835365B"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9.2%</w:t>
            </w:r>
          </w:p>
        </w:tc>
        <w:tc>
          <w:tcPr>
            <w:tcW w:w="1278" w:type="dxa"/>
            <w:tcBorders>
              <w:right w:val="single" w:sz="18" w:space="0" w:color="auto"/>
            </w:tcBorders>
            <w:vAlign w:val="bottom"/>
          </w:tcPr>
          <w:p w14:paraId="3C2BBA86" w14:textId="2C734AA1"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8.8%</w:t>
            </w:r>
          </w:p>
        </w:tc>
      </w:tr>
      <w:tr w:rsidR="00FB7F26" w14:paraId="3439868F" w14:textId="77777777" w:rsidTr="00296FEB">
        <w:tc>
          <w:tcPr>
            <w:tcW w:w="3078" w:type="dxa"/>
            <w:tcBorders>
              <w:right w:val="single" w:sz="18" w:space="0" w:color="auto"/>
            </w:tcBorders>
          </w:tcPr>
          <w:p w14:paraId="1C3FCB47" w14:textId="2769A1B7"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-$50</w:t>
            </w:r>
            <w:r w:rsidR="0085167F" w:rsidRPr="00496350">
              <w:rPr>
                <w:rFonts w:ascii="Times New Roman" w:hAnsi="Times New Roman" w:cs="Times New Roman"/>
                <w:b/>
                <w:sz w:val="22"/>
                <w:szCs w:val="22"/>
              </w:rPr>
              <w:t>,001</w:t>
            </w:r>
            <w:r w:rsidRPr="00496350">
              <w:rPr>
                <w:rFonts w:ascii="Times New Roman" w:hAnsi="Times New Roman" w:cs="Times New Roman"/>
                <w:b/>
                <w:sz w:val="22"/>
                <w:szCs w:val="22"/>
              </w:rPr>
              <w:t xml:space="preserve"> to -$250</w:t>
            </w:r>
            <w:r w:rsidR="0085167F" w:rsidRPr="00496350">
              <w:rPr>
                <w:rFonts w:ascii="Times New Roman" w:hAnsi="Times New Roman" w:cs="Times New Roman"/>
                <w:b/>
                <w:sz w:val="22"/>
                <w:szCs w:val="22"/>
              </w:rPr>
              <w:t>,000</w:t>
            </w:r>
          </w:p>
        </w:tc>
        <w:tc>
          <w:tcPr>
            <w:tcW w:w="1530" w:type="dxa"/>
            <w:tcBorders>
              <w:left w:val="single" w:sz="18" w:space="0" w:color="auto"/>
            </w:tcBorders>
            <w:vAlign w:val="bottom"/>
          </w:tcPr>
          <w:p w14:paraId="566631FE" w14:textId="1E371C9C"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18.3%</w:t>
            </w:r>
          </w:p>
        </w:tc>
        <w:tc>
          <w:tcPr>
            <w:tcW w:w="1440" w:type="dxa"/>
            <w:tcBorders>
              <w:right w:val="single" w:sz="18" w:space="0" w:color="auto"/>
            </w:tcBorders>
            <w:vAlign w:val="bottom"/>
          </w:tcPr>
          <w:p w14:paraId="2998B6E4" w14:textId="5E02C8D8"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20.2%</w:t>
            </w:r>
          </w:p>
        </w:tc>
        <w:tc>
          <w:tcPr>
            <w:tcW w:w="1530" w:type="dxa"/>
            <w:tcBorders>
              <w:left w:val="single" w:sz="18" w:space="0" w:color="auto"/>
            </w:tcBorders>
            <w:vAlign w:val="bottom"/>
          </w:tcPr>
          <w:p w14:paraId="62AD0598" w14:textId="2BDFF5D0"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12.8%</w:t>
            </w:r>
          </w:p>
        </w:tc>
        <w:tc>
          <w:tcPr>
            <w:tcW w:w="1278" w:type="dxa"/>
            <w:tcBorders>
              <w:right w:val="single" w:sz="18" w:space="0" w:color="auto"/>
            </w:tcBorders>
            <w:vAlign w:val="bottom"/>
          </w:tcPr>
          <w:p w14:paraId="22BC7DF9" w14:textId="49E60341"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10.5%</w:t>
            </w:r>
          </w:p>
        </w:tc>
      </w:tr>
      <w:tr w:rsidR="00FB7F26" w14:paraId="565BDB3F" w14:textId="77777777" w:rsidTr="00296FEB">
        <w:tc>
          <w:tcPr>
            <w:tcW w:w="3078" w:type="dxa"/>
            <w:tcBorders>
              <w:right w:val="single" w:sz="18" w:space="0" w:color="auto"/>
            </w:tcBorders>
          </w:tcPr>
          <w:p w14:paraId="44616431" w14:textId="787B0E78"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w:t>
            </w:r>
            <w:r w:rsidR="0085167F" w:rsidRPr="00496350">
              <w:rPr>
                <w:rFonts w:ascii="Times New Roman" w:hAnsi="Times New Roman" w:cs="Times New Roman"/>
                <w:b/>
                <w:sz w:val="22"/>
                <w:szCs w:val="22"/>
              </w:rPr>
              <w:t>2</w:t>
            </w:r>
            <w:r w:rsidRPr="00496350">
              <w:rPr>
                <w:rFonts w:ascii="Times New Roman" w:hAnsi="Times New Roman" w:cs="Times New Roman"/>
                <w:b/>
                <w:sz w:val="22"/>
                <w:szCs w:val="22"/>
              </w:rPr>
              <w:t>50</w:t>
            </w:r>
            <w:r w:rsidR="0085167F" w:rsidRPr="00496350">
              <w:rPr>
                <w:rFonts w:ascii="Times New Roman" w:hAnsi="Times New Roman" w:cs="Times New Roman"/>
                <w:b/>
                <w:sz w:val="22"/>
                <w:szCs w:val="22"/>
              </w:rPr>
              <w:t>,001</w:t>
            </w:r>
            <w:r w:rsidRPr="00496350">
              <w:rPr>
                <w:rFonts w:ascii="Times New Roman" w:hAnsi="Times New Roman" w:cs="Times New Roman"/>
                <w:b/>
                <w:sz w:val="22"/>
                <w:szCs w:val="22"/>
              </w:rPr>
              <w:t xml:space="preserve"> to -$5</w:t>
            </w:r>
            <w:r w:rsidR="0085167F" w:rsidRPr="00496350">
              <w:rPr>
                <w:rFonts w:ascii="Times New Roman" w:hAnsi="Times New Roman" w:cs="Times New Roman"/>
                <w:b/>
                <w:sz w:val="22"/>
                <w:szCs w:val="22"/>
              </w:rPr>
              <w:t>0</w:t>
            </w:r>
            <w:r w:rsidRPr="00496350">
              <w:rPr>
                <w:rFonts w:ascii="Times New Roman" w:hAnsi="Times New Roman" w:cs="Times New Roman"/>
                <w:b/>
                <w:sz w:val="22"/>
                <w:szCs w:val="22"/>
              </w:rPr>
              <w:t>0</w:t>
            </w:r>
            <w:r w:rsidR="0085167F" w:rsidRPr="00496350">
              <w:rPr>
                <w:rFonts w:ascii="Times New Roman" w:hAnsi="Times New Roman" w:cs="Times New Roman"/>
                <w:b/>
                <w:sz w:val="22"/>
                <w:szCs w:val="22"/>
              </w:rPr>
              <w:t>,000</w:t>
            </w:r>
          </w:p>
        </w:tc>
        <w:tc>
          <w:tcPr>
            <w:tcW w:w="1530" w:type="dxa"/>
            <w:tcBorders>
              <w:left w:val="single" w:sz="18" w:space="0" w:color="auto"/>
            </w:tcBorders>
            <w:vAlign w:val="bottom"/>
          </w:tcPr>
          <w:p w14:paraId="674D821E" w14:textId="43514492"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3.7%</w:t>
            </w:r>
          </w:p>
        </w:tc>
        <w:tc>
          <w:tcPr>
            <w:tcW w:w="1440" w:type="dxa"/>
            <w:tcBorders>
              <w:right w:val="single" w:sz="18" w:space="0" w:color="auto"/>
            </w:tcBorders>
            <w:vAlign w:val="bottom"/>
          </w:tcPr>
          <w:p w14:paraId="23859C55" w14:textId="1817B486"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5.3%</w:t>
            </w:r>
          </w:p>
        </w:tc>
        <w:tc>
          <w:tcPr>
            <w:tcW w:w="1530" w:type="dxa"/>
            <w:tcBorders>
              <w:left w:val="single" w:sz="18" w:space="0" w:color="auto"/>
            </w:tcBorders>
            <w:vAlign w:val="bottom"/>
          </w:tcPr>
          <w:p w14:paraId="57CB1DC7" w14:textId="60753F56"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1.8%</w:t>
            </w:r>
          </w:p>
        </w:tc>
        <w:tc>
          <w:tcPr>
            <w:tcW w:w="1278" w:type="dxa"/>
            <w:tcBorders>
              <w:right w:val="single" w:sz="18" w:space="0" w:color="auto"/>
            </w:tcBorders>
            <w:vAlign w:val="bottom"/>
          </w:tcPr>
          <w:p w14:paraId="26423E46" w14:textId="0D0BAB19"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9.6%</w:t>
            </w:r>
          </w:p>
        </w:tc>
      </w:tr>
      <w:tr w:rsidR="00FB7F26" w14:paraId="1AF829B5" w14:textId="77777777" w:rsidTr="00296FEB">
        <w:tc>
          <w:tcPr>
            <w:tcW w:w="3078" w:type="dxa"/>
            <w:tcBorders>
              <w:right w:val="single" w:sz="18" w:space="0" w:color="auto"/>
            </w:tcBorders>
          </w:tcPr>
          <w:p w14:paraId="343C6FD1" w14:textId="62BE773F"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-$500</w:t>
            </w:r>
            <w:r w:rsidR="0085167F" w:rsidRPr="00496350">
              <w:rPr>
                <w:rFonts w:ascii="Times New Roman" w:hAnsi="Times New Roman" w:cs="Times New Roman"/>
                <w:b/>
                <w:sz w:val="22"/>
                <w:szCs w:val="22"/>
              </w:rPr>
              <w:t>,001</w:t>
            </w:r>
            <w:r w:rsidRPr="00496350">
              <w:rPr>
                <w:rFonts w:ascii="Times New Roman" w:hAnsi="Times New Roman" w:cs="Times New Roman"/>
                <w:b/>
                <w:sz w:val="22"/>
                <w:szCs w:val="22"/>
              </w:rPr>
              <w:t xml:space="preserve"> to -$1</w:t>
            </w:r>
            <w:r w:rsidR="00E61D15" w:rsidRPr="00496350">
              <w:rPr>
                <w:rFonts w:ascii="Times New Roman" w:hAnsi="Times New Roman" w:cs="Times New Roman"/>
                <w:b/>
                <w:sz w:val="22"/>
                <w:szCs w:val="22"/>
              </w:rPr>
              <w:t>,000,000</w:t>
            </w:r>
          </w:p>
        </w:tc>
        <w:tc>
          <w:tcPr>
            <w:tcW w:w="1530" w:type="dxa"/>
            <w:tcBorders>
              <w:left w:val="single" w:sz="18" w:space="0" w:color="auto"/>
            </w:tcBorders>
            <w:vAlign w:val="bottom"/>
          </w:tcPr>
          <w:p w14:paraId="0D9A6225" w14:textId="1FC05BD9"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1.8%</w:t>
            </w:r>
          </w:p>
        </w:tc>
        <w:tc>
          <w:tcPr>
            <w:tcW w:w="1440" w:type="dxa"/>
            <w:tcBorders>
              <w:right w:val="single" w:sz="18" w:space="0" w:color="auto"/>
            </w:tcBorders>
            <w:vAlign w:val="bottom"/>
          </w:tcPr>
          <w:p w14:paraId="76B3E846" w14:textId="13AFA44B"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7.0%</w:t>
            </w:r>
          </w:p>
        </w:tc>
        <w:tc>
          <w:tcPr>
            <w:tcW w:w="1530" w:type="dxa"/>
            <w:tcBorders>
              <w:left w:val="single" w:sz="18" w:space="0" w:color="auto"/>
            </w:tcBorders>
            <w:vAlign w:val="bottom"/>
          </w:tcPr>
          <w:p w14:paraId="6EE2C687" w14:textId="543E8C4A"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9.2%</w:t>
            </w:r>
          </w:p>
        </w:tc>
        <w:tc>
          <w:tcPr>
            <w:tcW w:w="1278" w:type="dxa"/>
            <w:tcBorders>
              <w:right w:val="single" w:sz="18" w:space="0" w:color="auto"/>
            </w:tcBorders>
            <w:vAlign w:val="bottom"/>
          </w:tcPr>
          <w:p w14:paraId="0CE7280D" w14:textId="7E98D1D0"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7.9%</w:t>
            </w:r>
          </w:p>
        </w:tc>
      </w:tr>
      <w:tr w:rsidR="00FB7F26" w14:paraId="03C27995" w14:textId="77777777" w:rsidTr="00296FEB">
        <w:tc>
          <w:tcPr>
            <w:tcW w:w="3078" w:type="dxa"/>
            <w:tcBorders>
              <w:right w:val="single" w:sz="18" w:space="0" w:color="auto"/>
            </w:tcBorders>
          </w:tcPr>
          <w:p w14:paraId="3F3DD1D4" w14:textId="329AE01A" w:rsidR="00FB7F26" w:rsidRPr="00496350" w:rsidRDefault="00CB099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Less</w:t>
            </w:r>
            <w:r w:rsidR="00FB7F26" w:rsidRPr="00496350">
              <w:rPr>
                <w:rFonts w:ascii="Times New Roman" w:hAnsi="Times New Roman" w:cs="Times New Roman"/>
                <w:b/>
                <w:sz w:val="22"/>
                <w:szCs w:val="22"/>
              </w:rPr>
              <w:t xml:space="preserve"> than </w:t>
            </w:r>
            <w:r w:rsidR="00BA62F0" w:rsidRPr="00496350">
              <w:rPr>
                <w:rFonts w:ascii="Times New Roman" w:hAnsi="Times New Roman" w:cs="Times New Roman"/>
                <w:b/>
                <w:sz w:val="22"/>
                <w:szCs w:val="22"/>
              </w:rPr>
              <w:t xml:space="preserve">- </w:t>
            </w:r>
            <w:r w:rsidR="00FB7F26" w:rsidRPr="00496350">
              <w:rPr>
                <w:rFonts w:ascii="Times New Roman" w:hAnsi="Times New Roman" w:cs="Times New Roman"/>
                <w:b/>
                <w:sz w:val="22"/>
                <w:szCs w:val="22"/>
              </w:rPr>
              <w:t>$1</w:t>
            </w:r>
            <w:r w:rsidR="00E61D15" w:rsidRPr="00496350">
              <w:rPr>
                <w:rFonts w:ascii="Times New Roman" w:hAnsi="Times New Roman" w:cs="Times New Roman"/>
                <w:b/>
                <w:sz w:val="22"/>
                <w:szCs w:val="22"/>
              </w:rPr>
              <w:t>,000,000</w:t>
            </w:r>
          </w:p>
        </w:tc>
        <w:tc>
          <w:tcPr>
            <w:tcW w:w="1530" w:type="dxa"/>
            <w:tcBorders>
              <w:left w:val="single" w:sz="18" w:space="0" w:color="auto"/>
            </w:tcBorders>
            <w:vAlign w:val="bottom"/>
          </w:tcPr>
          <w:p w14:paraId="41A7973E" w14:textId="31906043"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2.8%</w:t>
            </w:r>
          </w:p>
        </w:tc>
        <w:tc>
          <w:tcPr>
            <w:tcW w:w="1440" w:type="dxa"/>
            <w:tcBorders>
              <w:right w:val="single" w:sz="18" w:space="0" w:color="auto"/>
            </w:tcBorders>
            <w:vAlign w:val="bottom"/>
          </w:tcPr>
          <w:p w14:paraId="55620E92" w14:textId="47B61E16"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3.5%</w:t>
            </w:r>
          </w:p>
        </w:tc>
        <w:tc>
          <w:tcPr>
            <w:tcW w:w="1530" w:type="dxa"/>
            <w:tcBorders>
              <w:left w:val="single" w:sz="18" w:space="0" w:color="auto"/>
            </w:tcBorders>
            <w:vAlign w:val="bottom"/>
          </w:tcPr>
          <w:p w14:paraId="2DD5EA35" w14:textId="30ACFFD8"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6.4%</w:t>
            </w:r>
          </w:p>
        </w:tc>
        <w:tc>
          <w:tcPr>
            <w:tcW w:w="1278" w:type="dxa"/>
            <w:tcBorders>
              <w:right w:val="single" w:sz="18" w:space="0" w:color="auto"/>
            </w:tcBorders>
            <w:vAlign w:val="bottom"/>
          </w:tcPr>
          <w:p w14:paraId="0286ADB4" w14:textId="77DFD0BD"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4.4%</w:t>
            </w:r>
          </w:p>
        </w:tc>
      </w:tr>
      <w:tr w:rsidR="00FB7F26" w14:paraId="4A9C418B" w14:textId="77777777" w:rsidTr="00296FEB">
        <w:tc>
          <w:tcPr>
            <w:tcW w:w="3078" w:type="dxa"/>
            <w:tcBorders>
              <w:right w:val="single" w:sz="18" w:space="0" w:color="auto"/>
            </w:tcBorders>
          </w:tcPr>
          <w:p w14:paraId="40B958C5" w14:textId="4D339EEE"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Unknown</w:t>
            </w:r>
          </w:p>
        </w:tc>
        <w:tc>
          <w:tcPr>
            <w:tcW w:w="1530" w:type="dxa"/>
            <w:tcBorders>
              <w:left w:val="single" w:sz="18" w:space="0" w:color="auto"/>
            </w:tcBorders>
            <w:vAlign w:val="bottom"/>
          </w:tcPr>
          <w:p w14:paraId="218F5695" w14:textId="0AC9A84F"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6.4%</w:t>
            </w:r>
          </w:p>
        </w:tc>
        <w:tc>
          <w:tcPr>
            <w:tcW w:w="1440" w:type="dxa"/>
            <w:tcBorders>
              <w:right w:val="single" w:sz="18" w:space="0" w:color="auto"/>
            </w:tcBorders>
            <w:vAlign w:val="bottom"/>
          </w:tcPr>
          <w:p w14:paraId="12F963E1" w14:textId="6057E99B"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1.8%</w:t>
            </w:r>
          </w:p>
        </w:tc>
        <w:tc>
          <w:tcPr>
            <w:tcW w:w="1530" w:type="dxa"/>
            <w:tcBorders>
              <w:left w:val="single" w:sz="18" w:space="0" w:color="auto"/>
            </w:tcBorders>
            <w:vAlign w:val="bottom"/>
          </w:tcPr>
          <w:p w14:paraId="047968BD" w14:textId="27A9BE65"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0.0%</w:t>
            </w:r>
          </w:p>
        </w:tc>
        <w:tc>
          <w:tcPr>
            <w:tcW w:w="1278" w:type="dxa"/>
            <w:tcBorders>
              <w:right w:val="single" w:sz="18" w:space="0" w:color="auto"/>
            </w:tcBorders>
            <w:vAlign w:val="bottom"/>
          </w:tcPr>
          <w:p w14:paraId="40B3BE67" w14:textId="35F9EF6D"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0.0%</w:t>
            </w:r>
          </w:p>
        </w:tc>
      </w:tr>
      <w:tr w:rsidR="00FB7F26" w14:paraId="22812CD5" w14:textId="77777777" w:rsidTr="00296FEB">
        <w:tc>
          <w:tcPr>
            <w:tcW w:w="3078" w:type="dxa"/>
            <w:tcBorders>
              <w:right w:val="single" w:sz="18" w:space="0" w:color="auto"/>
            </w:tcBorders>
          </w:tcPr>
          <w:p w14:paraId="3EF1096D" w14:textId="5064F145"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N/A</w:t>
            </w:r>
          </w:p>
        </w:tc>
        <w:tc>
          <w:tcPr>
            <w:tcW w:w="1530" w:type="dxa"/>
            <w:tcBorders>
              <w:left w:val="single" w:sz="18" w:space="0" w:color="auto"/>
            </w:tcBorders>
            <w:vAlign w:val="bottom"/>
          </w:tcPr>
          <w:p w14:paraId="40036EE4" w14:textId="754A9A7D"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10.1%</w:t>
            </w:r>
          </w:p>
        </w:tc>
        <w:tc>
          <w:tcPr>
            <w:tcW w:w="1440" w:type="dxa"/>
            <w:tcBorders>
              <w:right w:val="single" w:sz="18" w:space="0" w:color="auto"/>
            </w:tcBorders>
            <w:vAlign w:val="bottom"/>
          </w:tcPr>
          <w:p w14:paraId="5EC207EE" w14:textId="5062EE0E"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7.0%</w:t>
            </w:r>
          </w:p>
        </w:tc>
        <w:tc>
          <w:tcPr>
            <w:tcW w:w="1530" w:type="dxa"/>
            <w:tcBorders>
              <w:left w:val="single" w:sz="18" w:space="0" w:color="auto"/>
            </w:tcBorders>
            <w:vAlign w:val="bottom"/>
          </w:tcPr>
          <w:p w14:paraId="54B70CE7" w14:textId="7E537788"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17.4%</w:t>
            </w:r>
          </w:p>
        </w:tc>
        <w:tc>
          <w:tcPr>
            <w:tcW w:w="1278" w:type="dxa"/>
            <w:tcBorders>
              <w:right w:val="single" w:sz="18" w:space="0" w:color="auto"/>
            </w:tcBorders>
            <w:vAlign w:val="bottom"/>
          </w:tcPr>
          <w:p w14:paraId="0D76D2C9" w14:textId="631DA48D"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5.3%</w:t>
            </w:r>
          </w:p>
        </w:tc>
      </w:tr>
      <w:tr w:rsidR="00FB7F26" w14:paraId="7E752DDE" w14:textId="77777777" w:rsidTr="00296FEB">
        <w:tc>
          <w:tcPr>
            <w:tcW w:w="3078" w:type="dxa"/>
            <w:tcBorders>
              <w:bottom w:val="triple" w:sz="4" w:space="0" w:color="auto"/>
              <w:right w:val="single" w:sz="18" w:space="0" w:color="auto"/>
            </w:tcBorders>
          </w:tcPr>
          <w:p w14:paraId="433CA252" w14:textId="4B88B19E"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No home or other real property</w:t>
            </w:r>
          </w:p>
        </w:tc>
        <w:tc>
          <w:tcPr>
            <w:tcW w:w="1530" w:type="dxa"/>
            <w:tcBorders>
              <w:left w:val="single" w:sz="18" w:space="0" w:color="auto"/>
              <w:bottom w:val="triple" w:sz="4" w:space="0" w:color="auto"/>
            </w:tcBorders>
            <w:vAlign w:val="bottom"/>
          </w:tcPr>
          <w:p w14:paraId="082BF610" w14:textId="4A15ABAA"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6.4%</w:t>
            </w:r>
          </w:p>
        </w:tc>
        <w:tc>
          <w:tcPr>
            <w:tcW w:w="1440" w:type="dxa"/>
            <w:tcBorders>
              <w:bottom w:val="triple" w:sz="4" w:space="0" w:color="auto"/>
              <w:right w:val="single" w:sz="18" w:space="0" w:color="auto"/>
            </w:tcBorders>
            <w:vAlign w:val="bottom"/>
          </w:tcPr>
          <w:p w14:paraId="198B883A" w14:textId="033E90B7"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7.9%</w:t>
            </w:r>
          </w:p>
        </w:tc>
        <w:tc>
          <w:tcPr>
            <w:tcW w:w="1530" w:type="dxa"/>
            <w:tcBorders>
              <w:left w:val="single" w:sz="18" w:space="0" w:color="auto"/>
              <w:bottom w:val="triple" w:sz="4" w:space="0" w:color="auto"/>
            </w:tcBorders>
            <w:vAlign w:val="bottom"/>
          </w:tcPr>
          <w:p w14:paraId="18F5C654" w14:textId="124267A4"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20.2%</w:t>
            </w:r>
          </w:p>
        </w:tc>
        <w:tc>
          <w:tcPr>
            <w:tcW w:w="1278" w:type="dxa"/>
            <w:tcBorders>
              <w:bottom w:val="triple" w:sz="4" w:space="0" w:color="auto"/>
              <w:right w:val="single" w:sz="18" w:space="0" w:color="auto"/>
            </w:tcBorders>
            <w:vAlign w:val="bottom"/>
          </w:tcPr>
          <w:p w14:paraId="27C65344" w14:textId="188ECA09"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28.1%</w:t>
            </w:r>
          </w:p>
        </w:tc>
      </w:tr>
      <w:tr w:rsidR="00FB7F26" w14:paraId="70785F09" w14:textId="77777777" w:rsidTr="00296FEB">
        <w:tc>
          <w:tcPr>
            <w:tcW w:w="3078" w:type="dxa"/>
            <w:tcBorders>
              <w:top w:val="triple" w:sz="4" w:space="0" w:color="auto"/>
              <w:right w:val="single" w:sz="18" w:space="0" w:color="auto"/>
            </w:tcBorders>
          </w:tcPr>
          <w:p w14:paraId="39B12ED3" w14:textId="5612D429"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Average</w:t>
            </w:r>
          </w:p>
        </w:tc>
        <w:tc>
          <w:tcPr>
            <w:tcW w:w="1530" w:type="dxa"/>
            <w:tcBorders>
              <w:top w:val="triple" w:sz="4" w:space="0" w:color="auto"/>
              <w:left w:val="single" w:sz="18" w:space="0" w:color="auto"/>
            </w:tcBorders>
            <w:vAlign w:val="bottom"/>
          </w:tcPr>
          <w:p w14:paraId="5D5E23DA" w14:textId="5673A5E2"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3,383</w:t>
            </w:r>
          </w:p>
        </w:tc>
        <w:tc>
          <w:tcPr>
            <w:tcW w:w="1440" w:type="dxa"/>
            <w:tcBorders>
              <w:top w:val="triple" w:sz="4" w:space="0" w:color="auto"/>
              <w:right w:val="single" w:sz="18" w:space="0" w:color="auto"/>
            </w:tcBorders>
            <w:vAlign w:val="bottom"/>
          </w:tcPr>
          <w:p w14:paraId="7F923BCE" w14:textId="2DAFB515"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-67,660</w:t>
            </w:r>
          </w:p>
        </w:tc>
        <w:tc>
          <w:tcPr>
            <w:tcW w:w="1530" w:type="dxa"/>
            <w:tcBorders>
              <w:top w:val="triple" w:sz="4" w:space="0" w:color="auto"/>
              <w:left w:val="single" w:sz="18" w:space="0" w:color="auto"/>
            </w:tcBorders>
            <w:vAlign w:val="bottom"/>
          </w:tcPr>
          <w:p w14:paraId="280D5755" w14:textId="48C2A246"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234,972</w:t>
            </w:r>
          </w:p>
        </w:tc>
        <w:tc>
          <w:tcPr>
            <w:tcW w:w="1278" w:type="dxa"/>
            <w:tcBorders>
              <w:top w:val="triple" w:sz="4" w:space="0" w:color="auto"/>
              <w:right w:val="single" w:sz="18" w:space="0" w:color="auto"/>
            </w:tcBorders>
            <w:vAlign w:val="bottom"/>
          </w:tcPr>
          <w:p w14:paraId="22DC1758" w14:textId="6DD82162"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-136,715</w:t>
            </w:r>
          </w:p>
        </w:tc>
      </w:tr>
      <w:tr w:rsidR="00FB7F26" w14:paraId="5F7B6A35" w14:textId="77777777" w:rsidTr="00296FEB">
        <w:tc>
          <w:tcPr>
            <w:tcW w:w="3078" w:type="dxa"/>
            <w:tcBorders>
              <w:bottom w:val="triple" w:sz="4" w:space="0" w:color="auto"/>
              <w:right w:val="single" w:sz="18" w:space="0" w:color="auto"/>
            </w:tcBorders>
          </w:tcPr>
          <w:p w14:paraId="4E6B1BF0" w14:textId="2B6219F7"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Median</w:t>
            </w:r>
          </w:p>
        </w:tc>
        <w:tc>
          <w:tcPr>
            <w:tcW w:w="1530" w:type="dxa"/>
            <w:tcBorders>
              <w:left w:val="single" w:sz="18" w:space="0" w:color="auto"/>
              <w:bottom w:val="triple" w:sz="4" w:space="0" w:color="auto"/>
            </w:tcBorders>
            <w:vAlign w:val="bottom"/>
          </w:tcPr>
          <w:p w14:paraId="7E1B9336" w14:textId="621D5FEB"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0</w:t>
            </w:r>
          </w:p>
        </w:tc>
        <w:tc>
          <w:tcPr>
            <w:tcW w:w="1440" w:type="dxa"/>
            <w:tcBorders>
              <w:bottom w:val="triple" w:sz="4" w:space="0" w:color="auto"/>
              <w:right w:val="single" w:sz="18" w:space="0" w:color="auto"/>
            </w:tcBorders>
            <w:vAlign w:val="bottom"/>
          </w:tcPr>
          <w:p w14:paraId="02EB7455" w14:textId="1BF5ABBD"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-7,069</w:t>
            </w:r>
          </w:p>
        </w:tc>
        <w:tc>
          <w:tcPr>
            <w:tcW w:w="1530" w:type="dxa"/>
            <w:tcBorders>
              <w:left w:val="single" w:sz="18" w:space="0" w:color="auto"/>
              <w:bottom w:val="triple" w:sz="4" w:space="0" w:color="auto"/>
            </w:tcBorders>
            <w:vAlign w:val="bottom"/>
          </w:tcPr>
          <w:p w14:paraId="1DDAA225" w14:textId="3ACA44AE"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-44,116</w:t>
            </w:r>
          </w:p>
        </w:tc>
        <w:tc>
          <w:tcPr>
            <w:tcW w:w="1278" w:type="dxa"/>
            <w:tcBorders>
              <w:bottom w:val="triple" w:sz="4" w:space="0" w:color="auto"/>
              <w:right w:val="single" w:sz="18" w:space="0" w:color="auto"/>
            </w:tcBorders>
            <w:vAlign w:val="bottom"/>
          </w:tcPr>
          <w:p w14:paraId="678B20EF" w14:textId="7CB9AAF0"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-40,004</w:t>
            </w:r>
          </w:p>
        </w:tc>
      </w:tr>
      <w:tr w:rsidR="00FB7F26" w14:paraId="1CC0967E" w14:textId="77777777" w:rsidTr="00296FEB">
        <w:tc>
          <w:tcPr>
            <w:tcW w:w="3078" w:type="dxa"/>
            <w:tcBorders>
              <w:top w:val="triple" w:sz="4" w:space="0" w:color="auto"/>
              <w:right w:val="single" w:sz="18" w:space="0" w:color="auto"/>
            </w:tcBorders>
          </w:tcPr>
          <w:p w14:paraId="56F973DF" w14:textId="6D8ACFE0"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Maximum</w:t>
            </w:r>
          </w:p>
        </w:tc>
        <w:tc>
          <w:tcPr>
            <w:tcW w:w="1530" w:type="dxa"/>
            <w:tcBorders>
              <w:top w:val="triple" w:sz="4" w:space="0" w:color="auto"/>
              <w:left w:val="single" w:sz="18" w:space="0" w:color="auto"/>
            </w:tcBorders>
            <w:vAlign w:val="bottom"/>
          </w:tcPr>
          <w:p w14:paraId="3ADF23FA" w14:textId="1E8FADDC"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1,743,520</w:t>
            </w:r>
          </w:p>
        </w:tc>
        <w:tc>
          <w:tcPr>
            <w:tcW w:w="1440" w:type="dxa"/>
            <w:tcBorders>
              <w:top w:val="triple" w:sz="4" w:space="0" w:color="auto"/>
              <w:right w:val="single" w:sz="18" w:space="0" w:color="auto"/>
            </w:tcBorders>
            <w:vAlign w:val="bottom"/>
          </w:tcPr>
          <w:p w14:paraId="1D74123A" w14:textId="090D99E8"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1,784,149</w:t>
            </w:r>
          </w:p>
        </w:tc>
        <w:tc>
          <w:tcPr>
            <w:tcW w:w="1530" w:type="dxa"/>
            <w:tcBorders>
              <w:top w:val="triple" w:sz="4" w:space="0" w:color="auto"/>
              <w:left w:val="single" w:sz="18" w:space="0" w:color="auto"/>
            </w:tcBorders>
            <w:vAlign w:val="bottom"/>
          </w:tcPr>
          <w:p w14:paraId="08EBFDD6" w14:textId="69D6099C"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24,654,765</w:t>
            </w:r>
          </w:p>
        </w:tc>
        <w:tc>
          <w:tcPr>
            <w:tcW w:w="1278" w:type="dxa"/>
            <w:tcBorders>
              <w:top w:val="triple" w:sz="4" w:space="0" w:color="auto"/>
              <w:right w:val="single" w:sz="18" w:space="0" w:color="auto"/>
            </w:tcBorders>
            <w:vAlign w:val="bottom"/>
          </w:tcPr>
          <w:p w14:paraId="6075A826" w14:textId="533B8594"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3,263,515</w:t>
            </w:r>
          </w:p>
        </w:tc>
      </w:tr>
      <w:tr w:rsidR="00FB7F26" w14:paraId="59BDFC36" w14:textId="77777777" w:rsidTr="00296FEB">
        <w:tc>
          <w:tcPr>
            <w:tcW w:w="3078" w:type="dxa"/>
            <w:tcBorders>
              <w:right w:val="single" w:sz="18" w:space="0" w:color="auto"/>
            </w:tcBorders>
          </w:tcPr>
          <w:p w14:paraId="7583F1A1" w14:textId="68818133" w:rsidR="00FB7F26" w:rsidRPr="00496350" w:rsidRDefault="00FB7F26" w:rsidP="00A1037E">
            <w:pPr>
              <w:keepNext/>
              <w:keepLines/>
              <w:jc w:val="center"/>
              <w:rPr>
                <w:rFonts w:ascii="Times New Roman" w:hAnsi="Times New Roman" w:cs="Times New Roman"/>
                <w:b/>
                <w:sz w:val="22"/>
                <w:szCs w:val="22"/>
              </w:rPr>
            </w:pPr>
            <w:r w:rsidRPr="00496350">
              <w:rPr>
                <w:rFonts w:ascii="Times New Roman" w:hAnsi="Times New Roman" w:cs="Times New Roman"/>
                <w:b/>
                <w:sz w:val="22"/>
                <w:szCs w:val="22"/>
              </w:rPr>
              <w:t>Minimum</w:t>
            </w:r>
          </w:p>
        </w:tc>
        <w:tc>
          <w:tcPr>
            <w:tcW w:w="1530" w:type="dxa"/>
            <w:tcBorders>
              <w:left w:val="single" w:sz="18" w:space="0" w:color="auto"/>
            </w:tcBorders>
            <w:vAlign w:val="bottom"/>
          </w:tcPr>
          <w:p w14:paraId="61D993EA" w14:textId="040573BA"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-2,196,000</w:t>
            </w:r>
          </w:p>
        </w:tc>
        <w:tc>
          <w:tcPr>
            <w:tcW w:w="1440" w:type="dxa"/>
            <w:tcBorders>
              <w:right w:val="single" w:sz="18" w:space="0" w:color="auto"/>
            </w:tcBorders>
            <w:vAlign w:val="bottom"/>
          </w:tcPr>
          <w:p w14:paraId="730C5D88" w14:textId="603549C9"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-2,393,432</w:t>
            </w:r>
          </w:p>
        </w:tc>
        <w:tc>
          <w:tcPr>
            <w:tcW w:w="1530" w:type="dxa"/>
            <w:tcBorders>
              <w:left w:val="single" w:sz="18" w:space="0" w:color="auto"/>
            </w:tcBorders>
            <w:vAlign w:val="bottom"/>
          </w:tcPr>
          <w:p w14:paraId="3C6D2F54" w14:textId="775C8C18"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-6,828,510</w:t>
            </w:r>
          </w:p>
        </w:tc>
        <w:tc>
          <w:tcPr>
            <w:tcW w:w="1278" w:type="dxa"/>
            <w:tcBorders>
              <w:right w:val="single" w:sz="18" w:space="0" w:color="auto"/>
            </w:tcBorders>
            <w:vAlign w:val="bottom"/>
          </w:tcPr>
          <w:p w14:paraId="43BD8C59" w14:textId="34775A06" w:rsidR="00FB7F26" w:rsidRPr="00496350" w:rsidRDefault="00FB7F26" w:rsidP="00A1037E">
            <w:pPr>
              <w:keepNext/>
              <w:keepLines/>
              <w:jc w:val="right"/>
              <w:rPr>
                <w:rFonts w:cstheme="minorHAnsi"/>
                <w:b/>
                <w:sz w:val="22"/>
                <w:szCs w:val="22"/>
              </w:rPr>
            </w:pPr>
            <w:r w:rsidRPr="00496350">
              <w:rPr>
                <w:rFonts w:eastAsia="Times New Roman" w:cstheme="minorHAnsi"/>
                <w:color w:val="000000"/>
                <w:sz w:val="22"/>
                <w:szCs w:val="22"/>
              </w:rPr>
              <w:t>-2,202,000</w:t>
            </w:r>
          </w:p>
        </w:tc>
      </w:tr>
    </w:tbl>
    <w:p w14:paraId="24148D06" w14:textId="77777777" w:rsidR="00EC161B" w:rsidRDefault="00EC161B" w:rsidP="00105C03">
      <w:pPr>
        <w:spacing w:line="480" w:lineRule="auto"/>
        <w:rPr>
          <w:rFonts w:ascii="Times New Roman" w:hAnsi="Times New Roman" w:cs="Times New Roman"/>
          <w:b/>
        </w:rPr>
      </w:pPr>
    </w:p>
    <w:p w14:paraId="60EB38E5" w14:textId="3BAE2D81" w:rsidR="00105C03" w:rsidRPr="00B912DC" w:rsidRDefault="00105C03" w:rsidP="00105C03">
      <w:pPr>
        <w:spacing w:line="480" w:lineRule="auto"/>
        <w:rPr>
          <w:rFonts w:ascii="Times New Roman" w:hAnsi="Times New Roman" w:cs="Times New Roman"/>
          <w:b/>
        </w:rPr>
      </w:pPr>
      <w:r>
        <w:rPr>
          <w:rFonts w:ascii="Times New Roman" w:hAnsi="Times New Roman" w:cs="Times New Roman"/>
          <w:b/>
        </w:rPr>
        <w:t>IV.</w:t>
      </w:r>
      <w:r w:rsidRPr="00B912DC">
        <w:rPr>
          <w:rFonts w:ascii="Times New Roman" w:hAnsi="Times New Roman" w:cs="Times New Roman"/>
          <w:b/>
        </w:rPr>
        <w:tab/>
        <w:t>Is Chapter 11 Succeeding?</w:t>
      </w:r>
    </w:p>
    <w:p w14:paraId="48FCAFF7" w14:textId="1DFD30C8" w:rsidR="00EC161B" w:rsidRDefault="00EC161B" w:rsidP="00EC161B">
      <w:pPr>
        <w:spacing w:line="480" w:lineRule="auto"/>
        <w:ind w:firstLine="720"/>
        <w:rPr>
          <w:rFonts w:ascii="Times New Roman" w:hAnsi="Times New Roman" w:cs="Times New Roman"/>
        </w:rPr>
      </w:pPr>
      <w:r>
        <w:rPr>
          <w:rFonts w:ascii="Times New Roman" w:hAnsi="Times New Roman" w:cs="Times New Roman"/>
        </w:rPr>
        <w:t xml:space="preserve">A </w:t>
      </w:r>
      <w:r w:rsidR="00FC38D9" w:rsidRPr="00B912DC">
        <w:rPr>
          <w:rFonts w:ascii="Times New Roman" w:hAnsi="Times New Roman" w:cs="Times New Roman"/>
        </w:rPr>
        <w:t>central question motivat</w:t>
      </w:r>
      <w:r>
        <w:rPr>
          <w:rFonts w:ascii="Times New Roman" w:hAnsi="Times New Roman" w:cs="Times New Roman"/>
        </w:rPr>
        <w:t>ing</w:t>
      </w:r>
      <w:r w:rsidR="00FC38D9" w:rsidRPr="00B912DC">
        <w:rPr>
          <w:rFonts w:ascii="Times New Roman" w:hAnsi="Times New Roman" w:cs="Times New Roman"/>
        </w:rPr>
        <w:t xml:space="preserve"> much of the empirical bankruptcy literature</w:t>
      </w:r>
      <w:r>
        <w:rPr>
          <w:rFonts w:ascii="Times New Roman" w:hAnsi="Times New Roman" w:cs="Times New Roman"/>
        </w:rPr>
        <w:t xml:space="preserve"> is </w:t>
      </w:r>
      <w:r w:rsidR="00FC38D9" w:rsidRPr="00B912DC">
        <w:rPr>
          <w:rFonts w:ascii="Times New Roman" w:hAnsi="Times New Roman" w:cs="Times New Roman"/>
        </w:rPr>
        <w:t>whether bankruptcy successfully serves the interests of individ</w:t>
      </w:r>
      <w:r w:rsidR="00FC38D9">
        <w:rPr>
          <w:rFonts w:ascii="Times New Roman" w:hAnsi="Times New Roman" w:cs="Times New Roman"/>
        </w:rPr>
        <w:t xml:space="preserve">ual debtors and their creditors. </w:t>
      </w:r>
      <w:r w:rsidRPr="00537498">
        <w:rPr>
          <w:rFonts w:ascii="Times New Roman" w:hAnsi="Times New Roman" w:cs="Times New Roman"/>
        </w:rPr>
        <w:t xml:space="preserve">The most common definition of success focuses on the goals of the debtor and asks whether individuals receive a discharge in </w:t>
      </w:r>
      <w:r>
        <w:rPr>
          <w:rFonts w:ascii="Times New Roman" w:hAnsi="Times New Roman" w:cs="Times New Roman"/>
        </w:rPr>
        <w:t>chapter</w:t>
      </w:r>
      <w:r w:rsidRPr="00537498">
        <w:rPr>
          <w:rFonts w:ascii="Times New Roman" w:hAnsi="Times New Roman" w:cs="Times New Roman"/>
        </w:rPr>
        <w:t xml:space="preserve"> 13 or whether corporations c</w:t>
      </w:r>
      <w:r w:rsidR="00A904D0">
        <w:rPr>
          <w:rFonts w:ascii="Times New Roman" w:hAnsi="Times New Roman" w:cs="Times New Roman"/>
        </w:rPr>
        <w:t xml:space="preserve">onfirm a plan of reorganization </w:t>
      </w:r>
      <w:r w:rsidRPr="00537498">
        <w:rPr>
          <w:rFonts w:ascii="Times New Roman" w:hAnsi="Times New Roman" w:cs="Times New Roman"/>
        </w:rPr>
        <w:t xml:space="preserve">in </w:t>
      </w:r>
      <w:r>
        <w:rPr>
          <w:rFonts w:ascii="Times New Roman" w:hAnsi="Times New Roman" w:cs="Times New Roman"/>
        </w:rPr>
        <w:t>chapter</w:t>
      </w:r>
      <w:r w:rsidRPr="00537498">
        <w:rPr>
          <w:rFonts w:ascii="Times New Roman" w:hAnsi="Times New Roman" w:cs="Times New Roman"/>
        </w:rPr>
        <w:t xml:space="preserve"> 11.</w:t>
      </w:r>
      <w:r w:rsidRPr="00537498">
        <w:rPr>
          <w:rStyle w:val="FootnoteReference"/>
          <w:rFonts w:ascii="Times New Roman" w:hAnsi="Times New Roman" w:cs="Times New Roman"/>
        </w:rPr>
        <w:footnoteReference w:id="174"/>
      </w:r>
      <w:r w:rsidRPr="00537498">
        <w:rPr>
          <w:rFonts w:ascii="Times New Roman" w:hAnsi="Times New Roman" w:cs="Times New Roman"/>
        </w:rPr>
        <w:t xml:space="preserve"> </w:t>
      </w:r>
      <w:r>
        <w:rPr>
          <w:rFonts w:ascii="Times New Roman" w:hAnsi="Times New Roman" w:cs="Times New Roman"/>
        </w:rPr>
        <w:t>While discharge or confirmation may be the best definition of success</w:t>
      </w:r>
      <w:r w:rsidR="0014635D">
        <w:rPr>
          <w:rFonts w:ascii="Times New Roman" w:hAnsi="Times New Roman" w:cs="Times New Roman"/>
        </w:rPr>
        <w:t xml:space="preserve"> for individuals in chapter 11</w:t>
      </w:r>
      <w:r>
        <w:rPr>
          <w:rFonts w:ascii="Times New Roman" w:hAnsi="Times New Roman" w:cs="Times New Roman"/>
        </w:rPr>
        <w:t>, the literature recites a host of problems. One is the fact that individuals</w:t>
      </w:r>
      <w:r w:rsidRPr="00537498">
        <w:rPr>
          <w:rFonts w:ascii="Times New Roman" w:hAnsi="Times New Roman" w:cs="Times New Roman"/>
        </w:rPr>
        <w:t>, unlike corporations, do not receive their discharge until their plan is completed,</w:t>
      </w:r>
      <w:r w:rsidRPr="00537498">
        <w:rPr>
          <w:rStyle w:val="FootnoteReference"/>
          <w:rFonts w:ascii="Times New Roman" w:hAnsi="Times New Roman" w:cs="Times New Roman"/>
        </w:rPr>
        <w:footnoteReference w:id="175"/>
      </w:r>
      <w:r w:rsidRPr="00537498">
        <w:rPr>
          <w:rFonts w:ascii="Times New Roman" w:hAnsi="Times New Roman" w:cs="Times New Roman"/>
        </w:rPr>
        <w:t xml:space="preserve"> and few </w:t>
      </w:r>
      <w:r>
        <w:rPr>
          <w:rFonts w:ascii="Times New Roman" w:hAnsi="Times New Roman" w:cs="Times New Roman"/>
        </w:rPr>
        <w:t xml:space="preserve">individual </w:t>
      </w:r>
      <w:r w:rsidRPr="00537498">
        <w:rPr>
          <w:rFonts w:ascii="Times New Roman" w:hAnsi="Times New Roman" w:cs="Times New Roman"/>
        </w:rPr>
        <w:t xml:space="preserve">debtors will complete their plans within the </w:t>
      </w:r>
      <w:r>
        <w:rPr>
          <w:rFonts w:ascii="Times New Roman" w:hAnsi="Times New Roman" w:cs="Times New Roman"/>
        </w:rPr>
        <w:t>three-to-six-</w:t>
      </w:r>
      <w:r w:rsidRPr="00537498">
        <w:rPr>
          <w:rFonts w:ascii="Times New Roman" w:hAnsi="Times New Roman" w:cs="Times New Roman"/>
        </w:rPr>
        <w:t>year window in which we observed the cases.</w:t>
      </w:r>
      <w:r w:rsidRPr="00537498">
        <w:rPr>
          <w:rStyle w:val="FootnoteReference"/>
          <w:rFonts w:ascii="Times New Roman" w:hAnsi="Times New Roman" w:cs="Times New Roman"/>
        </w:rPr>
        <w:footnoteReference w:id="176"/>
      </w:r>
      <w:r w:rsidRPr="00537498">
        <w:rPr>
          <w:rFonts w:ascii="Times New Roman" w:hAnsi="Times New Roman" w:cs="Times New Roman"/>
        </w:rPr>
        <w:t xml:space="preserve"> </w:t>
      </w:r>
      <w:r>
        <w:rPr>
          <w:rFonts w:ascii="Times New Roman" w:hAnsi="Times New Roman" w:cs="Times New Roman"/>
        </w:rPr>
        <w:t xml:space="preserve">In addition, many debtors do not belong </w:t>
      </w:r>
      <w:r w:rsidRPr="00537498">
        <w:rPr>
          <w:rFonts w:ascii="Times New Roman" w:hAnsi="Times New Roman" w:cs="Times New Roman"/>
        </w:rPr>
        <w:t>in a reorganization chapter; an efficient bankruptcy system would quickly dismiss these cases or convert them so that the estates can be liquidated.</w:t>
      </w:r>
      <w:r w:rsidRPr="00537498">
        <w:rPr>
          <w:rStyle w:val="FootnoteReference"/>
          <w:rFonts w:ascii="Times New Roman" w:hAnsi="Times New Roman" w:cs="Times New Roman"/>
        </w:rPr>
        <w:footnoteReference w:id="177"/>
      </w:r>
      <w:r>
        <w:rPr>
          <w:rFonts w:ascii="Times New Roman" w:hAnsi="Times New Roman" w:cs="Times New Roman"/>
        </w:rPr>
        <w:t xml:space="preserve"> </w:t>
      </w:r>
    </w:p>
    <w:p w14:paraId="20F77AC3" w14:textId="031380FE" w:rsidR="00EC161B" w:rsidRDefault="00EC161B" w:rsidP="00EC161B">
      <w:pPr>
        <w:spacing w:line="480" w:lineRule="auto"/>
        <w:ind w:firstLine="720"/>
        <w:rPr>
          <w:rFonts w:ascii="Times New Roman" w:hAnsi="Times New Roman" w:cs="Times New Roman"/>
        </w:rPr>
      </w:pPr>
      <w:r>
        <w:rPr>
          <w:rFonts w:ascii="Times New Roman" w:hAnsi="Times New Roman" w:cs="Times New Roman"/>
        </w:rPr>
        <w:t>Thus, w</w:t>
      </w:r>
      <w:r w:rsidRPr="00537498">
        <w:rPr>
          <w:rFonts w:ascii="Times New Roman" w:hAnsi="Times New Roman" w:cs="Times New Roman"/>
        </w:rPr>
        <w:t>e adopt</w:t>
      </w:r>
      <w:r w:rsidR="00A904D0">
        <w:rPr>
          <w:rFonts w:ascii="Times New Roman" w:hAnsi="Times New Roman" w:cs="Times New Roman"/>
        </w:rPr>
        <w:t>ed</w:t>
      </w:r>
      <w:r w:rsidRPr="00537498">
        <w:rPr>
          <w:rFonts w:ascii="Times New Roman" w:hAnsi="Times New Roman" w:cs="Times New Roman"/>
        </w:rPr>
        <w:t xml:space="preserve"> a broader definition of success to include any case in which the debtor receive</w:t>
      </w:r>
      <w:r w:rsidR="00A904D0">
        <w:rPr>
          <w:rFonts w:ascii="Times New Roman" w:hAnsi="Times New Roman" w:cs="Times New Roman"/>
        </w:rPr>
        <w:t>d</w:t>
      </w:r>
      <w:r w:rsidRPr="00537498">
        <w:rPr>
          <w:rFonts w:ascii="Times New Roman" w:hAnsi="Times New Roman" w:cs="Times New Roman"/>
        </w:rPr>
        <w:t xml:space="preserve"> a discharge or avoid</w:t>
      </w:r>
      <w:r w:rsidR="00A904D0">
        <w:rPr>
          <w:rFonts w:ascii="Times New Roman" w:hAnsi="Times New Roman" w:cs="Times New Roman"/>
        </w:rPr>
        <w:t>ed</w:t>
      </w:r>
      <w:r w:rsidRPr="00537498">
        <w:rPr>
          <w:rFonts w:ascii="Times New Roman" w:hAnsi="Times New Roman" w:cs="Times New Roman"/>
        </w:rPr>
        <w:t xml:space="preserve"> conversion and dismissal for four years.</w:t>
      </w:r>
      <w:r>
        <w:rPr>
          <w:rStyle w:val="FootnoteReference"/>
          <w:rFonts w:ascii="Times New Roman" w:hAnsi="Times New Roman" w:cs="Times New Roman"/>
        </w:rPr>
        <w:footnoteReference w:id="178"/>
      </w:r>
      <w:r w:rsidRPr="00537498">
        <w:rPr>
          <w:rFonts w:ascii="Times New Roman" w:hAnsi="Times New Roman" w:cs="Times New Roman"/>
        </w:rPr>
        <w:t xml:space="preserve"> If we </w:t>
      </w:r>
      <w:r w:rsidR="0014635D">
        <w:rPr>
          <w:rFonts w:ascii="Times New Roman" w:hAnsi="Times New Roman" w:cs="Times New Roman"/>
        </w:rPr>
        <w:t>apply the simple metric used in</w:t>
      </w:r>
      <w:r w:rsidRPr="00537498">
        <w:rPr>
          <w:rFonts w:ascii="Times New Roman" w:hAnsi="Times New Roman" w:cs="Times New Roman"/>
        </w:rPr>
        <w:t xml:space="preserve"> prior studies by measuring how long it takes bankruptcy courts to dispose of the “failed” reorganizations,</w:t>
      </w:r>
      <w:r w:rsidRPr="00537498">
        <w:rPr>
          <w:rStyle w:val="FootnoteReference"/>
          <w:rFonts w:ascii="Times New Roman" w:hAnsi="Times New Roman" w:cs="Times New Roman"/>
        </w:rPr>
        <w:footnoteReference w:id="179"/>
      </w:r>
      <w:r w:rsidRPr="00537498">
        <w:rPr>
          <w:rFonts w:ascii="Times New Roman" w:hAnsi="Times New Roman" w:cs="Times New Roman"/>
        </w:rPr>
        <w:t xml:space="preserve"> the individual </w:t>
      </w:r>
      <w:r>
        <w:rPr>
          <w:rFonts w:ascii="Times New Roman" w:hAnsi="Times New Roman" w:cs="Times New Roman"/>
        </w:rPr>
        <w:t>chapter</w:t>
      </w:r>
      <w:r w:rsidRPr="00537498">
        <w:rPr>
          <w:rFonts w:ascii="Times New Roman" w:hAnsi="Times New Roman" w:cs="Times New Roman"/>
        </w:rPr>
        <w:t xml:space="preserve"> 11</w:t>
      </w:r>
      <w:r>
        <w:rPr>
          <w:rFonts w:ascii="Times New Roman" w:hAnsi="Times New Roman" w:cs="Times New Roman"/>
        </w:rPr>
        <w:t xml:space="preserve"> cases fare worse than chapter 13s. More specifically, we </w:t>
      </w:r>
      <w:r w:rsidR="00A904D0">
        <w:rPr>
          <w:rFonts w:ascii="Times New Roman" w:hAnsi="Times New Roman" w:cs="Times New Roman"/>
        </w:rPr>
        <w:t xml:space="preserve">found </w:t>
      </w:r>
      <w:r w:rsidRPr="00537498">
        <w:rPr>
          <w:rFonts w:ascii="Times New Roman" w:hAnsi="Times New Roman" w:cs="Times New Roman"/>
        </w:rPr>
        <w:t xml:space="preserve">that </w:t>
      </w:r>
      <w:r>
        <w:rPr>
          <w:rFonts w:ascii="Times New Roman" w:hAnsi="Times New Roman" w:cs="Times New Roman"/>
        </w:rPr>
        <w:t xml:space="preserve">courts take longer to dismiss the “obvious” individual chapter 11 failures than to dismiss </w:t>
      </w:r>
      <w:r w:rsidR="00A904D0">
        <w:rPr>
          <w:rFonts w:ascii="Times New Roman" w:hAnsi="Times New Roman" w:cs="Times New Roman"/>
        </w:rPr>
        <w:t xml:space="preserve">failed </w:t>
      </w:r>
      <w:r>
        <w:rPr>
          <w:rFonts w:ascii="Times New Roman" w:hAnsi="Times New Roman" w:cs="Times New Roman"/>
        </w:rPr>
        <w:t>chapter 13 cases</w:t>
      </w:r>
      <w:r w:rsidRPr="00537498">
        <w:rPr>
          <w:rFonts w:ascii="Times New Roman" w:hAnsi="Times New Roman" w:cs="Times New Roman"/>
        </w:rPr>
        <w:t>.</w:t>
      </w:r>
      <w:r>
        <w:rPr>
          <w:rStyle w:val="FootnoteReference"/>
          <w:rFonts w:ascii="Times New Roman" w:hAnsi="Times New Roman" w:cs="Times New Roman"/>
        </w:rPr>
        <w:footnoteReference w:id="180"/>
      </w:r>
      <w:r w:rsidRPr="00537498">
        <w:rPr>
          <w:rFonts w:ascii="Times New Roman" w:hAnsi="Times New Roman" w:cs="Times New Roman"/>
        </w:rPr>
        <w:t xml:space="preserve"> </w:t>
      </w:r>
    </w:p>
    <w:p w14:paraId="43E9C398" w14:textId="1E4853A3" w:rsidR="00EC161B" w:rsidRDefault="00EC161B" w:rsidP="00EC161B">
      <w:pPr>
        <w:spacing w:line="480" w:lineRule="auto"/>
        <w:ind w:firstLine="720"/>
        <w:rPr>
          <w:rFonts w:ascii="Times New Roman" w:hAnsi="Times New Roman" w:cs="Times New Roman"/>
        </w:rPr>
      </w:pPr>
      <w:r>
        <w:rPr>
          <w:rFonts w:ascii="Times New Roman" w:hAnsi="Times New Roman" w:cs="Times New Roman"/>
        </w:rPr>
        <w:t>In addition to this debtor-centric definition of success—asking whether the debtor received a discharge, confirmed a plan, or at least avoided dismissal or conversion for a significant</w:t>
      </w:r>
      <w:r w:rsidR="00A904D0">
        <w:rPr>
          <w:rFonts w:ascii="Times New Roman" w:hAnsi="Times New Roman" w:cs="Times New Roman"/>
        </w:rPr>
        <w:t xml:space="preserve"> period of time—we also examined</w:t>
      </w:r>
      <w:r w:rsidR="00FC38D9">
        <w:rPr>
          <w:rFonts w:ascii="Times New Roman" w:hAnsi="Times New Roman" w:cs="Times New Roman"/>
        </w:rPr>
        <w:t xml:space="preserve"> case characteristics</w:t>
      </w:r>
      <w:r>
        <w:rPr>
          <w:rFonts w:ascii="Times New Roman" w:hAnsi="Times New Roman" w:cs="Times New Roman"/>
        </w:rPr>
        <w:t xml:space="preserve"> associated with success</w:t>
      </w:r>
      <w:r w:rsidR="00FC38D9">
        <w:rPr>
          <w:rFonts w:ascii="Times New Roman" w:hAnsi="Times New Roman" w:cs="Times New Roman"/>
        </w:rPr>
        <w:t>, such as joint filing, pro se filing, or filing in a district that ha</w:t>
      </w:r>
      <w:r w:rsidR="0014635D">
        <w:rPr>
          <w:rFonts w:ascii="Times New Roman" w:hAnsi="Times New Roman" w:cs="Times New Roman"/>
        </w:rPr>
        <w:t>d</w:t>
      </w:r>
      <w:r w:rsidR="00FC38D9">
        <w:rPr>
          <w:rFonts w:ascii="Times New Roman" w:hAnsi="Times New Roman" w:cs="Times New Roman"/>
        </w:rPr>
        <w:t xml:space="preserve"> previously interpreted the absolute priority rule in a manner favorable to debtors</w:t>
      </w:r>
      <w:r w:rsidR="00D508EF">
        <w:rPr>
          <w:rFonts w:ascii="Times New Roman" w:hAnsi="Times New Roman" w:cs="Times New Roman"/>
        </w:rPr>
        <w:t xml:space="preserve">.  </w:t>
      </w:r>
    </w:p>
    <w:p w14:paraId="5D8BFB4A" w14:textId="123301DD" w:rsidR="00FC38D9" w:rsidRDefault="00C110EB" w:rsidP="00EC161B">
      <w:pPr>
        <w:spacing w:line="480" w:lineRule="auto"/>
        <w:ind w:firstLine="720"/>
        <w:rPr>
          <w:rFonts w:ascii="Times New Roman" w:hAnsi="Times New Roman" w:cs="Times New Roman"/>
        </w:rPr>
      </w:pPr>
      <w:r>
        <w:rPr>
          <w:rFonts w:ascii="Times New Roman" w:hAnsi="Times New Roman" w:cs="Times New Roman"/>
        </w:rPr>
        <w:t xml:space="preserve">We discuss our findings on success for the </w:t>
      </w:r>
      <w:r w:rsidR="00FC38D9">
        <w:rPr>
          <w:rFonts w:ascii="Times New Roman" w:hAnsi="Times New Roman" w:cs="Times New Roman"/>
        </w:rPr>
        <w:t>large PACER data</w:t>
      </w:r>
      <w:r w:rsidR="0014635D">
        <w:rPr>
          <w:rFonts w:ascii="Times New Roman" w:hAnsi="Times New Roman" w:cs="Times New Roman"/>
        </w:rPr>
        <w:t xml:space="preserve"> </w:t>
      </w:r>
      <w:r w:rsidR="00FC38D9">
        <w:rPr>
          <w:rFonts w:ascii="Times New Roman" w:hAnsi="Times New Roman" w:cs="Times New Roman"/>
        </w:rPr>
        <w:t>set</w:t>
      </w:r>
      <w:r>
        <w:rPr>
          <w:rFonts w:ascii="Times New Roman" w:hAnsi="Times New Roman" w:cs="Times New Roman"/>
        </w:rPr>
        <w:t xml:space="preserve"> in Section </w:t>
      </w:r>
      <w:r w:rsidR="0014635D">
        <w:rPr>
          <w:rFonts w:ascii="Times New Roman" w:hAnsi="Times New Roman" w:cs="Times New Roman"/>
        </w:rPr>
        <w:t>IV.</w:t>
      </w:r>
      <w:r>
        <w:rPr>
          <w:rFonts w:ascii="Times New Roman" w:hAnsi="Times New Roman" w:cs="Times New Roman"/>
        </w:rPr>
        <w:t xml:space="preserve">A and for </w:t>
      </w:r>
      <w:r w:rsidR="00FC38D9">
        <w:rPr>
          <w:rFonts w:ascii="Times New Roman" w:hAnsi="Times New Roman" w:cs="Times New Roman"/>
        </w:rPr>
        <w:t>t</w:t>
      </w:r>
      <w:r w:rsidR="00A904D0">
        <w:rPr>
          <w:rFonts w:ascii="Times New Roman" w:hAnsi="Times New Roman" w:cs="Times New Roman"/>
        </w:rPr>
        <w:t>he much smaller but more richly-</w:t>
      </w:r>
      <w:r w:rsidR="00FC38D9">
        <w:rPr>
          <w:rFonts w:ascii="Times New Roman" w:hAnsi="Times New Roman" w:cs="Times New Roman"/>
        </w:rPr>
        <w:t>coded random sample of cases</w:t>
      </w:r>
      <w:r>
        <w:rPr>
          <w:rFonts w:ascii="Times New Roman" w:hAnsi="Times New Roman" w:cs="Times New Roman"/>
        </w:rPr>
        <w:t xml:space="preserve"> in Section </w:t>
      </w:r>
      <w:r w:rsidR="0014635D">
        <w:rPr>
          <w:rFonts w:ascii="Times New Roman" w:hAnsi="Times New Roman" w:cs="Times New Roman"/>
        </w:rPr>
        <w:t>IV.</w:t>
      </w:r>
      <w:r>
        <w:rPr>
          <w:rFonts w:ascii="Times New Roman" w:hAnsi="Times New Roman" w:cs="Times New Roman"/>
        </w:rPr>
        <w:t>B</w:t>
      </w:r>
      <w:r w:rsidR="00FC38D9">
        <w:rPr>
          <w:rFonts w:ascii="Times New Roman" w:hAnsi="Times New Roman" w:cs="Times New Roman"/>
        </w:rPr>
        <w:t>.</w:t>
      </w:r>
      <w:r w:rsidR="00D508EF">
        <w:rPr>
          <w:rFonts w:ascii="Times New Roman" w:hAnsi="Times New Roman" w:cs="Times New Roman"/>
        </w:rPr>
        <w:t xml:space="preserve"> Section B also </w:t>
      </w:r>
      <w:r w:rsidR="00FC38D9">
        <w:rPr>
          <w:rFonts w:ascii="Times New Roman" w:hAnsi="Times New Roman" w:cs="Times New Roman"/>
        </w:rPr>
        <w:t>provide</w:t>
      </w:r>
      <w:r w:rsidR="00D508EF">
        <w:rPr>
          <w:rFonts w:ascii="Times New Roman" w:hAnsi="Times New Roman" w:cs="Times New Roman"/>
        </w:rPr>
        <w:t>s</w:t>
      </w:r>
      <w:r w:rsidR="00FC38D9">
        <w:rPr>
          <w:rFonts w:ascii="Times New Roman" w:hAnsi="Times New Roman" w:cs="Times New Roman"/>
        </w:rPr>
        <w:t xml:space="preserve"> the results of our search for absolute priority objections and the impact of such objections on plan confirmation.  </w:t>
      </w:r>
    </w:p>
    <w:p w14:paraId="5E343DFE" w14:textId="0CA6E76F" w:rsidR="00FC38D9" w:rsidRPr="00B912DC" w:rsidRDefault="00FC38D9" w:rsidP="00FC38D9">
      <w:pPr>
        <w:spacing w:line="480" w:lineRule="auto"/>
        <w:ind w:firstLine="720"/>
        <w:rPr>
          <w:rFonts w:ascii="Times New Roman" w:hAnsi="Times New Roman" w:cs="Times New Roman"/>
        </w:rPr>
      </w:pPr>
      <w:r>
        <w:rPr>
          <w:rFonts w:ascii="Times New Roman" w:hAnsi="Times New Roman" w:cs="Times New Roman"/>
        </w:rPr>
        <w:t xml:space="preserve">In Section </w:t>
      </w:r>
      <w:r w:rsidR="0014635D">
        <w:rPr>
          <w:rFonts w:ascii="Times New Roman" w:hAnsi="Times New Roman" w:cs="Times New Roman"/>
        </w:rPr>
        <w:t>IV.</w:t>
      </w:r>
      <w:r>
        <w:rPr>
          <w:rFonts w:ascii="Times New Roman" w:hAnsi="Times New Roman" w:cs="Times New Roman"/>
        </w:rPr>
        <w:t xml:space="preserve">C, we take up the question of success as it relates to the functioning of the chapter 11 system. </w:t>
      </w:r>
      <w:r w:rsidRPr="00B912DC">
        <w:rPr>
          <w:rFonts w:ascii="Times New Roman" w:hAnsi="Times New Roman" w:cs="Times New Roman"/>
        </w:rPr>
        <w:t xml:space="preserve">An optimal bankruptcy process </w:t>
      </w:r>
      <w:r>
        <w:rPr>
          <w:rFonts w:ascii="Times New Roman" w:hAnsi="Times New Roman" w:cs="Times New Roman"/>
        </w:rPr>
        <w:t>sh</w:t>
      </w:r>
      <w:r w:rsidRPr="00B912DC">
        <w:rPr>
          <w:rFonts w:ascii="Times New Roman" w:hAnsi="Times New Roman" w:cs="Times New Roman"/>
        </w:rPr>
        <w:t xml:space="preserve">ould quickly and accurately identify debtors who </w:t>
      </w:r>
      <w:r>
        <w:rPr>
          <w:rFonts w:ascii="Times New Roman" w:hAnsi="Times New Roman" w:cs="Times New Roman"/>
        </w:rPr>
        <w:t xml:space="preserve">are unable </w:t>
      </w:r>
      <w:r w:rsidRPr="00B912DC">
        <w:rPr>
          <w:rFonts w:ascii="Times New Roman" w:hAnsi="Times New Roman" w:cs="Times New Roman"/>
        </w:rPr>
        <w:t xml:space="preserve">to </w:t>
      </w:r>
      <w:r w:rsidR="00A904D0" w:rsidRPr="00B912DC">
        <w:rPr>
          <w:rFonts w:ascii="Times New Roman" w:hAnsi="Times New Roman" w:cs="Times New Roman"/>
        </w:rPr>
        <w:t xml:space="preserve">reorganize </w:t>
      </w:r>
      <w:r w:rsidRPr="00B912DC">
        <w:rPr>
          <w:rFonts w:ascii="Times New Roman" w:hAnsi="Times New Roman" w:cs="Times New Roman"/>
        </w:rPr>
        <w:t>successfully</w:t>
      </w:r>
      <w:r w:rsidR="00A904D0">
        <w:rPr>
          <w:rFonts w:ascii="Times New Roman" w:hAnsi="Times New Roman" w:cs="Times New Roman"/>
        </w:rPr>
        <w:t>,</w:t>
      </w:r>
      <w:r w:rsidRPr="00B912DC">
        <w:rPr>
          <w:rFonts w:ascii="Times New Roman" w:hAnsi="Times New Roman" w:cs="Times New Roman"/>
        </w:rPr>
        <w:t xml:space="preserve"> and either dismiss or convert th</w:t>
      </w:r>
      <w:r>
        <w:rPr>
          <w:rFonts w:ascii="Times New Roman" w:hAnsi="Times New Roman" w:cs="Times New Roman"/>
        </w:rPr>
        <w:t>ose</w:t>
      </w:r>
      <w:r w:rsidRPr="00B912DC">
        <w:rPr>
          <w:rFonts w:ascii="Times New Roman" w:hAnsi="Times New Roman" w:cs="Times New Roman"/>
        </w:rPr>
        <w:t xml:space="preserve"> case</w:t>
      </w:r>
      <w:r>
        <w:rPr>
          <w:rFonts w:ascii="Times New Roman" w:hAnsi="Times New Roman" w:cs="Times New Roman"/>
        </w:rPr>
        <w:t xml:space="preserve">s to </w:t>
      </w:r>
      <w:r w:rsidRPr="00B912DC">
        <w:rPr>
          <w:rFonts w:ascii="Times New Roman" w:hAnsi="Times New Roman" w:cs="Times New Roman"/>
        </w:rPr>
        <w:t>chapter 7</w:t>
      </w:r>
      <w:r>
        <w:rPr>
          <w:rFonts w:ascii="Times New Roman" w:hAnsi="Times New Roman" w:cs="Times New Roman"/>
        </w:rPr>
        <w:t>.</w:t>
      </w:r>
      <w:bookmarkStart w:id="25" w:name="_Ref333753489"/>
      <w:r>
        <w:rPr>
          <w:rStyle w:val="FootnoteReference"/>
          <w:rFonts w:ascii="Times New Roman" w:hAnsi="Times New Roman" w:cs="Times New Roman"/>
        </w:rPr>
        <w:footnoteReference w:id="181"/>
      </w:r>
      <w:bookmarkEnd w:id="25"/>
      <w:r>
        <w:rPr>
          <w:rFonts w:ascii="Times New Roman" w:hAnsi="Times New Roman" w:cs="Times New Roman"/>
        </w:rPr>
        <w:t xml:space="preserve"> </w:t>
      </w:r>
      <w:r w:rsidRPr="00B912DC">
        <w:rPr>
          <w:rFonts w:ascii="Times New Roman" w:hAnsi="Times New Roman" w:cs="Times New Roman"/>
        </w:rPr>
        <w:t>As a result, some scholars have measured success by the length of time it takes courts to dismiss or convert failed reorganizations.</w:t>
      </w:r>
      <w:r w:rsidRPr="00B912DC">
        <w:rPr>
          <w:rStyle w:val="FootnoteReference"/>
          <w:rFonts w:ascii="Times New Roman" w:hAnsi="Times New Roman" w:cs="Times New Roman"/>
        </w:rPr>
        <w:footnoteReference w:id="182"/>
      </w:r>
      <w:r w:rsidRPr="00B912DC">
        <w:rPr>
          <w:rFonts w:ascii="Times New Roman" w:hAnsi="Times New Roman" w:cs="Times New Roman"/>
        </w:rPr>
        <w:t xml:space="preserve"> In </w:t>
      </w:r>
      <w:r>
        <w:rPr>
          <w:rFonts w:ascii="Times New Roman" w:hAnsi="Times New Roman" w:cs="Times New Roman"/>
        </w:rPr>
        <w:t>Section</w:t>
      </w:r>
      <w:r w:rsidR="007E4F0D">
        <w:rPr>
          <w:rFonts w:ascii="Times New Roman" w:hAnsi="Times New Roman" w:cs="Times New Roman"/>
        </w:rPr>
        <w:t>s</w:t>
      </w:r>
      <w:r>
        <w:rPr>
          <w:rFonts w:ascii="Times New Roman" w:hAnsi="Times New Roman" w:cs="Times New Roman"/>
        </w:rPr>
        <w:t xml:space="preserve"> C.1</w:t>
      </w:r>
      <w:r w:rsidR="007E4F0D">
        <w:rPr>
          <w:rFonts w:ascii="Times New Roman" w:hAnsi="Times New Roman" w:cs="Times New Roman"/>
        </w:rPr>
        <w:t xml:space="preserve"> and C.2,</w:t>
      </w:r>
      <w:r w:rsidRPr="00B912DC">
        <w:rPr>
          <w:rFonts w:ascii="Times New Roman" w:hAnsi="Times New Roman" w:cs="Times New Roman"/>
        </w:rPr>
        <w:t xml:space="preserve"> we apply a version of this length-of-time definition to the individual chapter 11 cases in </w:t>
      </w:r>
      <w:r w:rsidR="007E4F0D">
        <w:rPr>
          <w:rFonts w:ascii="Times New Roman" w:hAnsi="Times New Roman" w:cs="Times New Roman"/>
        </w:rPr>
        <w:t>both our</w:t>
      </w:r>
      <w:r w:rsidRPr="00B912DC">
        <w:rPr>
          <w:rFonts w:ascii="Times New Roman" w:hAnsi="Times New Roman" w:cs="Times New Roman"/>
        </w:rPr>
        <w:t xml:space="preserve"> PACER data s</w:t>
      </w:r>
      <w:r w:rsidR="007E4F0D">
        <w:rPr>
          <w:rFonts w:ascii="Times New Roman" w:hAnsi="Times New Roman" w:cs="Times New Roman"/>
        </w:rPr>
        <w:t xml:space="preserve">et and the random sample. </w:t>
      </w:r>
      <w:r w:rsidR="0014635D">
        <w:rPr>
          <w:rFonts w:ascii="Times New Roman" w:hAnsi="Times New Roman" w:cs="Times New Roman"/>
        </w:rPr>
        <w:t>F</w:t>
      </w:r>
      <w:r w:rsidR="007E4F0D">
        <w:rPr>
          <w:rFonts w:ascii="Times New Roman" w:hAnsi="Times New Roman" w:cs="Times New Roman"/>
        </w:rPr>
        <w:t>or the cases in the random sample</w:t>
      </w:r>
      <w:r w:rsidR="0014635D">
        <w:rPr>
          <w:rFonts w:ascii="Times New Roman" w:hAnsi="Times New Roman" w:cs="Times New Roman"/>
        </w:rPr>
        <w:t xml:space="preserve">, </w:t>
      </w:r>
      <w:r w:rsidR="007E4F0D">
        <w:rPr>
          <w:rFonts w:ascii="Times New Roman" w:hAnsi="Times New Roman" w:cs="Times New Roman"/>
        </w:rPr>
        <w:t xml:space="preserve">we </w:t>
      </w:r>
      <w:r w:rsidR="0014635D">
        <w:rPr>
          <w:rFonts w:ascii="Times New Roman" w:hAnsi="Times New Roman" w:cs="Times New Roman"/>
        </w:rPr>
        <w:t xml:space="preserve">also </w:t>
      </w:r>
      <w:r w:rsidR="007E4F0D">
        <w:rPr>
          <w:rFonts w:ascii="Times New Roman" w:hAnsi="Times New Roman" w:cs="Times New Roman"/>
        </w:rPr>
        <w:t xml:space="preserve">provide data </w:t>
      </w:r>
      <w:r w:rsidR="0014635D">
        <w:rPr>
          <w:rFonts w:ascii="Times New Roman" w:hAnsi="Times New Roman" w:cs="Times New Roman"/>
        </w:rPr>
        <w:t xml:space="preserve">in Section IV.C.2 </w:t>
      </w:r>
      <w:r w:rsidR="007E4F0D">
        <w:rPr>
          <w:rFonts w:ascii="Times New Roman" w:hAnsi="Times New Roman" w:cs="Times New Roman"/>
        </w:rPr>
        <w:t xml:space="preserve">on the time it takes to reach various case milestones, such as filing schedules and </w:t>
      </w:r>
      <w:r w:rsidR="00A904D0">
        <w:rPr>
          <w:rFonts w:ascii="Times New Roman" w:hAnsi="Times New Roman" w:cs="Times New Roman"/>
        </w:rPr>
        <w:t xml:space="preserve">proposing a </w:t>
      </w:r>
      <w:r w:rsidR="007E4F0D">
        <w:rPr>
          <w:rFonts w:ascii="Times New Roman" w:hAnsi="Times New Roman" w:cs="Times New Roman"/>
        </w:rPr>
        <w:t xml:space="preserve">plan.    </w:t>
      </w:r>
      <w:r w:rsidRPr="00B912DC">
        <w:rPr>
          <w:rFonts w:ascii="Times New Roman" w:hAnsi="Times New Roman" w:cs="Times New Roman"/>
        </w:rPr>
        <w:t xml:space="preserve">  </w:t>
      </w:r>
    </w:p>
    <w:p w14:paraId="153B19A2" w14:textId="6884C0A2" w:rsidR="00FC38D9" w:rsidRPr="005F7FD9" w:rsidRDefault="00FC38D9" w:rsidP="00FC38D9">
      <w:pPr>
        <w:spacing w:line="480" w:lineRule="auto"/>
        <w:ind w:left="720" w:hanging="720"/>
        <w:rPr>
          <w:rFonts w:ascii="Times New Roman" w:hAnsi="Times New Roman" w:cs="Times New Roman"/>
          <w:b/>
        </w:rPr>
      </w:pPr>
      <w:r w:rsidRPr="005F7FD9">
        <w:rPr>
          <w:rFonts w:ascii="Times New Roman" w:hAnsi="Times New Roman" w:cs="Times New Roman"/>
          <w:b/>
        </w:rPr>
        <w:t>A.</w:t>
      </w:r>
      <w:r w:rsidRPr="005F7FD9">
        <w:rPr>
          <w:rFonts w:ascii="Times New Roman" w:hAnsi="Times New Roman" w:cs="Times New Roman"/>
          <w:b/>
        </w:rPr>
        <w:tab/>
      </w:r>
      <w:r w:rsidR="00D85792">
        <w:rPr>
          <w:rFonts w:ascii="Times New Roman" w:hAnsi="Times New Roman" w:cs="Times New Roman"/>
          <w:b/>
        </w:rPr>
        <w:t>Debtor Success—</w:t>
      </w:r>
      <w:r w:rsidR="000806ED">
        <w:rPr>
          <w:rFonts w:ascii="Times New Roman" w:hAnsi="Times New Roman" w:cs="Times New Roman"/>
          <w:b/>
        </w:rPr>
        <w:t>The PACER</w:t>
      </w:r>
      <w:r>
        <w:rPr>
          <w:rFonts w:ascii="Times New Roman" w:hAnsi="Times New Roman" w:cs="Times New Roman"/>
          <w:b/>
        </w:rPr>
        <w:t xml:space="preserve"> Data</w:t>
      </w:r>
    </w:p>
    <w:p w14:paraId="784E8E1B" w14:textId="3352D71A" w:rsidR="0014635D" w:rsidRDefault="0014635D" w:rsidP="00FC38D9">
      <w:pPr>
        <w:spacing w:line="480" w:lineRule="auto"/>
        <w:ind w:firstLine="720"/>
        <w:rPr>
          <w:rFonts w:ascii="Times New Roman" w:hAnsi="Times New Roman" w:cs="Times New Roman"/>
        </w:rPr>
      </w:pPr>
      <w:r>
        <w:rPr>
          <w:rFonts w:ascii="Times New Roman" w:hAnsi="Times New Roman" w:cs="Times New Roman"/>
        </w:rPr>
        <w:t xml:space="preserve">The </w:t>
      </w:r>
      <w:r w:rsidR="00FC38D9">
        <w:rPr>
          <w:rFonts w:ascii="Times New Roman" w:hAnsi="Times New Roman" w:cs="Times New Roman"/>
        </w:rPr>
        <w:t xml:space="preserve">PACER </w:t>
      </w:r>
      <w:r w:rsidR="000806ED">
        <w:rPr>
          <w:rFonts w:ascii="Times New Roman" w:hAnsi="Times New Roman" w:cs="Times New Roman"/>
        </w:rPr>
        <w:t>data</w:t>
      </w:r>
      <w:r w:rsidR="00FC38D9">
        <w:rPr>
          <w:rFonts w:ascii="Times New Roman" w:hAnsi="Times New Roman" w:cs="Times New Roman"/>
        </w:rPr>
        <w:t xml:space="preserve"> include the full universe of bankruptcy filings in the relevant districts, but they provide limited information about each case. The PACER </w:t>
      </w:r>
      <w:r>
        <w:rPr>
          <w:rFonts w:ascii="Times New Roman" w:hAnsi="Times New Roman" w:cs="Times New Roman"/>
        </w:rPr>
        <w:t>data</w:t>
      </w:r>
      <w:r w:rsidR="00FC38D9">
        <w:rPr>
          <w:rFonts w:ascii="Times New Roman" w:hAnsi="Times New Roman" w:cs="Times New Roman"/>
        </w:rPr>
        <w:t xml:space="preserve"> do not </w:t>
      </w:r>
      <w:r>
        <w:rPr>
          <w:rFonts w:ascii="Times New Roman" w:hAnsi="Times New Roman" w:cs="Times New Roman"/>
        </w:rPr>
        <w:t>include</w:t>
      </w:r>
      <w:r w:rsidR="00FC38D9">
        <w:rPr>
          <w:rFonts w:ascii="Times New Roman" w:hAnsi="Times New Roman" w:cs="Times New Roman"/>
        </w:rPr>
        <w:t xml:space="preserve"> information on plan proposal, confirmation, or plan success. Thus, in Part 1</w:t>
      </w:r>
      <w:r w:rsidR="00A904D0">
        <w:rPr>
          <w:rFonts w:ascii="Times New Roman" w:hAnsi="Times New Roman" w:cs="Times New Roman"/>
        </w:rPr>
        <w:t xml:space="preserve">, </w:t>
      </w:r>
      <w:r w:rsidR="00FC38D9">
        <w:rPr>
          <w:rFonts w:ascii="Times New Roman" w:hAnsi="Times New Roman" w:cs="Times New Roman"/>
        </w:rPr>
        <w:t xml:space="preserve">we define success </w:t>
      </w:r>
      <w:r w:rsidR="000806ED">
        <w:rPr>
          <w:rFonts w:ascii="Times New Roman" w:hAnsi="Times New Roman" w:cs="Times New Roman"/>
        </w:rPr>
        <w:t>as</w:t>
      </w:r>
      <w:r w:rsidR="00FC38D9">
        <w:rPr>
          <w:rFonts w:ascii="Times New Roman" w:hAnsi="Times New Roman" w:cs="Times New Roman"/>
        </w:rPr>
        <w:t xml:space="preserve"> avoiding </w:t>
      </w:r>
      <w:r w:rsidR="00FC38D9" w:rsidRPr="00B912DC">
        <w:rPr>
          <w:rFonts w:ascii="Times New Roman" w:hAnsi="Times New Roman" w:cs="Times New Roman"/>
        </w:rPr>
        <w:t>dismissal</w:t>
      </w:r>
      <w:r w:rsidR="00FC38D9">
        <w:rPr>
          <w:rFonts w:ascii="Times New Roman" w:hAnsi="Times New Roman" w:cs="Times New Roman"/>
        </w:rPr>
        <w:t xml:space="preserve"> or conversion </w:t>
      </w:r>
      <w:r w:rsidR="00FC38D9" w:rsidRPr="00B912DC">
        <w:rPr>
          <w:rFonts w:ascii="Times New Roman" w:hAnsi="Times New Roman" w:cs="Times New Roman"/>
        </w:rPr>
        <w:t>for a significant period of time</w:t>
      </w:r>
      <w:r w:rsidR="00FC38D9">
        <w:rPr>
          <w:rFonts w:ascii="Times New Roman" w:hAnsi="Times New Roman" w:cs="Times New Roman"/>
        </w:rPr>
        <w:t xml:space="preserve">. We </w:t>
      </w:r>
      <w:r w:rsidR="00A904D0">
        <w:rPr>
          <w:rFonts w:ascii="Times New Roman" w:hAnsi="Times New Roman" w:cs="Times New Roman"/>
        </w:rPr>
        <w:t xml:space="preserve">found </w:t>
      </w:r>
      <w:r w:rsidR="00FC38D9">
        <w:rPr>
          <w:rFonts w:ascii="Times New Roman" w:hAnsi="Times New Roman" w:cs="Times New Roman"/>
        </w:rPr>
        <w:t xml:space="preserve">that about a third of our 2010 cases met this broad definition of success.  </w:t>
      </w:r>
    </w:p>
    <w:p w14:paraId="175325F5" w14:textId="2A9AB50A" w:rsidR="00FC38D9" w:rsidRDefault="00FC38D9" w:rsidP="00FC38D9">
      <w:pPr>
        <w:spacing w:line="480" w:lineRule="auto"/>
        <w:ind w:firstLine="720"/>
        <w:rPr>
          <w:rFonts w:ascii="Times New Roman" w:hAnsi="Times New Roman" w:cs="Times New Roman"/>
        </w:rPr>
      </w:pPr>
      <w:r>
        <w:rPr>
          <w:rFonts w:ascii="Times New Roman" w:hAnsi="Times New Roman" w:cs="Times New Roman"/>
        </w:rPr>
        <w:t xml:space="preserve">In Part 2, we </w:t>
      </w:r>
      <w:r w:rsidR="00A904D0">
        <w:rPr>
          <w:rFonts w:ascii="Times New Roman" w:hAnsi="Times New Roman" w:cs="Times New Roman"/>
        </w:rPr>
        <w:t>discuss</w:t>
      </w:r>
      <w:r>
        <w:rPr>
          <w:rFonts w:ascii="Times New Roman" w:hAnsi="Times New Roman" w:cs="Times New Roman"/>
        </w:rPr>
        <w:t xml:space="preserve"> </w:t>
      </w:r>
      <w:r w:rsidR="0014635D">
        <w:rPr>
          <w:rFonts w:ascii="Times New Roman" w:hAnsi="Times New Roman" w:cs="Times New Roman"/>
        </w:rPr>
        <w:t xml:space="preserve">the </w:t>
      </w:r>
      <w:r>
        <w:rPr>
          <w:rFonts w:ascii="Times New Roman" w:hAnsi="Times New Roman" w:cs="Times New Roman"/>
        </w:rPr>
        <w:t>variables that predict success</w:t>
      </w:r>
      <w:r w:rsidR="0014635D">
        <w:rPr>
          <w:rFonts w:ascii="Times New Roman" w:hAnsi="Times New Roman" w:cs="Times New Roman"/>
        </w:rPr>
        <w:t>. We found</w:t>
      </w:r>
      <w:r>
        <w:rPr>
          <w:rFonts w:ascii="Times New Roman" w:hAnsi="Times New Roman" w:cs="Times New Roman"/>
        </w:rPr>
        <w:t xml:space="preserve"> that success is more likely if (1) a case is filed jointly, (2) a ca</w:t>
      </w:r>
      <w:r w:rsidR="00A904D0">
        <w:rPr>
          <w:rFonts w:ascii="Times New Roman" w:hAnsi="Times New Roman" w:cs="Times New Roman"/>
        </w:rPr>
        <w:t xml:space="preserve">se is filed by an attorney </w:t>
      </w:r>
      <w:r>
        <w:rPr>
          <w:rFonts w:ascii="Times New Roman" w:hAnsi="Times New Roman" w:cs="Times New Roman"/>
        </w:rPr>
        <w:t>experience</w:t>
      </w:r>
      <w:r w:rsidR="00A904D0">
        <w:rPr>
          <w:rFonts w:ascii="Times New Roman" w:hAnsi="Times New Roman" w:cs="Times New Roman"/>
        </w:rPr>
        <w:t>d</w:t>
      </w:r>
      <w:r>
        <w:rPr>
          <w:rFonts w:ascii="Times New Roman" w:hAnsi="Times New Roman" w:cs="Times New Roman"/>
        </w:rPr>
        <w:t xml:space="preserve"> with individual chapter 11s, (3) the debtor owes primarily business debt, or (4) the debtor expects assets to be available for general unsecured creditors. We also </w:t>
      </w:r>
      <w:r w:rsidR="00A904D0">
        <w:rPr>
          <w:rFonts w:ascii="Times New Roman" w:hAnsi="Times New Roman" w:cs="Times New Roman"/>
        </w:rPr>
        <w:t xml:space="preserve">found </w:t>
      </w:r>
      <w:r>
        <w:rPr>
          <w:rFonts w:ascii="Times New Roman" w:hAnsi="Times New Roman" w:cs="Times New Roman"/>
        </w:rPr>
        <w:t xml:space="preserve">some evidence that </w:t>
      </w:r>
      <w:r w:rsidR="002E1632">
        <w:rPr>
          <w:rFonts w:ascii="Times New Roman" w:hAnsi="Times New Roman" w:cs="Times New Roman"/>
        </w:rPr>
        <w:t xml:space="preserve">a jurisdiction’s </w:t>
      </w:r>
      <w:r>
        <w:rPr>
          <w:rFonts w:ascii="Times New Roman" w:hAnsi="Times New Roman" w:cs="Times New Roman"/>
        </w:rPr>
        <w:t xml:space="preserve">interpretation of the </w:t>
      </w:r>
      <w:r w:rsidR="00D95FFC">
        <w:rPr>
          <w:rFonts w:ascii="Times New Roman" w:hAnsi="Times New Roman" w:cs="Times New Roman"/>
        </w:rPr>
        <w:t xml:space="preserve">exception to the </w:t>
      </w:r>
      <w:r>
        <w:rPr>
          <w:rFonts w:ascii="Times New Roman" w:hAnsi="Times New Roman" w:cs="Times New Roman"/>
        </w:rPr>
        <w:t>absolute priority rule affects the success rate.</w:t>
      </w:r>
    </w:p>
    <w:p w14:paraId="6BE3F421" w14:textId="77777777" w:rsidR="00FC38D9" w:rsidRPr="00A534C6" w:rsidRDefault="00FC38D9" w:rsidP="000806ED">
      <w:pPr>
        <w:pStyle w:val="ListParagraph"/>
        <w:numPr>
          <w:ilvl w:val="0"/>
          <w:numId w:val="23"/>
        </w:numPr>
        <w:spacing w:line="480" w:lineRule="auto"/>
        <w:ind w:left="720"/>
        <w:rPr>
          <w:rFonts w:ascii="Times New Roman" w:hAnsi="Times New Roman" w:cs="Times New Roman"/>
          <w:i/>
        </w:rPr>
      </w:pPr>
      <w:r w:rsidRPr="00A534C6">
        <w:rPr>
          <w:rFonts w:ascii="Times New Roman" w:hAnsi="Times New Roman" w:cs="Times New Roman"/>
          <w:i/>
        </w:rPr>
        <w:t>Defining Success</w:t>
      </w:r>
    </w:p>
    <w:p w14:paraId="516FEE8E" w14:textId="5D5D8795" w:rsidR="00EC343B" w:rsidRDefault="00FC38D9" w:rsidP="00FC38D9">
      <w:pPr>
        <w:spacing w:line="480" w:lineRule="auto"/>
        <w:ind w:firstLine="720"/>
        <w:rPr>
          <w:rFonts w:ascii="Times New Roman" w:hAnsi="Times New Roman" w:cs="Times New Roman"/>
        </w:rPr>
      </w:pPr>
      <w:r>
        <w:rPr>
          <w:rFonts w:ascii="Times New Roman" w:hAnsi="Times New Roman" w:cs="Times New Roman"/>
        </w:rPr>
        <w:t xml:space="preserve">PACER case reports </w:t>
      </w:r>
      <w:r w:rsidRPr="00B912DC">
        <w:rPr>
          <w:rFonts w:ascii="Times New Roman" w:hAnsi="Times New Roman" w:cs="Times New Roman"/>
        </w:rPr>
        <w:t xml:space="preserve">provide only </w:t>
      </w:r>
      <w:r>
        <w:rPr>
          <w:rFonts w:ascii="Times New Roman" w:hAnsi="Times New Roman" w:cs="Times New Roman"/>
        </w:rPr>
        <w:t xml:space="preserve">a </w:t>
      </w:r>
      <w:r w:rsidRPr="00B912DC">
        <w:rPr>
          <w:rFonts w:ascii="Times New Roman" w:hAnsi="Times New Roman" w:cs="Times New Roman"/>
        </w:rPr>
        <w:t>case</w:t>
      </w:r>
      <w:r>
        <w:rPr>
          <w:rFonts w:ascii="Times New Roman" w:hAnsi="Times New Roman" w:cs="Times New Roman"/>
        </w:rPr>
        <w:t>’s</w:t>
      </w:r>
      <w:r w:rsidRPr="00B912DC">
        <w:rPr>
          <w:rFonts w:ascii="Times New Roman" w:hAnsi="Times New Roman" w:cs="Times New Roman"/>
        </w:rPr>
        <w:t xml:space="preserve"> disposition, not whether the </w:t>
      </w:r>
      <w:r>
        <w:rPr>
          <w:rFonts w:ascii="Times New Roman" w:hAnsi="Times New Roman" w:cs="Times New Roman"/>
        </w:rPr>
        <w:t xml:space="preserve">bankruptcy </w:t>
      </w:r>
      <w:r w:rsidRPr="00B912DC">
        <w:rPr>
          <w:rFonts w:ascii="Times New Roman" w:hAnsi="Times New Roman" w:cs="Times New Roman"/>
        </w:rPr>
        <w:t xml:space="preserve">court confirmed a chapter 11 plan. </w:t>
      </w:r>
      <w:r w:rsidR="0014635D">
        <w:rPr>
          <w:rFonts w:ascii="Times New Roman" w:hAnsi="Times New Roman" w:cs="Times New Roman"/>
        </w:rPr>
        <w:t xml:space="preserve">Thus, we counted </w:t>
      </w:r>
      <w:r w:rsidR="00D508EF">
        <w:rPr>
          <w:rFonts w:ascii="Times New Roman" w:hAnsi="Times New Roman" w:cs="Times New Roman"/>
        </w:rPr>
        <w:t xml:space="preserve">a </w:t>
      </w:r>
      <w:r w:rsidR="00D508EF" w:rsidRPr="00B912DC">
        <w:rPr>
          <w:rFonts w:ascii="Times New Roman" w:hAnsi="Times New Roman" w:cs="Times New Roman"/>
        </w:rPr>
        <w:t xml:space="preserve">case as a success if </w:t>
      </w:r>
      <w:r w:rsidR="00D53EAA">
        <w:rPr>
          <w:rFonts w:ascii="Times New Roman" w:hAnsi="Times New Roman" w:cs="Times New Roman"/>
        </w:rPr>
        <w:t xml:space="preserve">it survived dismissal and conversion. More specifically, we counted a case as a success </w:t>
      </w:r>
      <w:r w:rsidR="009629EF">
        <w:rPr>
          <w:rFonts w:ascii="Times New Roman" w:hAnsi="Times New Roman" w:cs="Times New Roman"/>
        </w:rPr>
        <w:t xml:space="preserve">if </w:t>
      </w:r>
      <w:r w:rsidR="00D508EF" w:rsidRPr="00B912DC">
        <w:rPr>
          <w:rFonts w:ascii="Times New Roman" w:hAnsi="Times New Roman" w:cs="Times New Roman"/>
        </w:rPr>
        <w:t>the debtor received a discharge, or if the result field was left blank or coded as “Discharge Not Applicable.”</w:t>
      </w:r>
      <w:r w:rsidR="00D508EF">
        <w:rPr>
          <w:rFonts w:ascii="Times New Roman" w:hAnsi="Times New Roman" w:cs="Times New Roman"/>
        </w:rPr>
        <w:t xml:space="preserve"> </w:t>
      </w:r>
      <w:r w:rsidR="00EC343B">
        <w:rPr>
          <w:rFonts w:ascii="Times New Roman" w:hAnsi="Times New Roman" w:cs="Times New Roman"/>
        </w:rPr>
        <w:t>W</w:t>
      </w:r>
      <w:r w:rsidR="00EC343B" w:rsidRPr="00B912DC">
        <w:rPr>
          <w:rFonts w:ascii="Times New Roman" w:hAnsi="Times New Roman" w:cs="Times New Roman"/>
        </w:rPr>
        <w:t>e count</w:t>
      </w:r>
      <w:r w:rsidR="0014635D">
        <w:rPr>
          <w:rFonts w:ascii="Times New Roman" w:hAnsi="Times New Roman" w:cs="Times New Roman"/>
        </w:rPr>
        <w:t>ed</w:t>
      </w:r>
      <w:r w:rsidR="00EC343B" w:rsidRPr="00B912DC">
        <w:rPr>
          <w:rFonts w:ascii="Times New Roman" w:hAnsi="Times New Roman" w:cs="Times New Roman"/>
        </w:rPr>
        <w:t xml:space="preserve"> as </w:t>
      </w:r>
      <w:r w:rsidR="00EC343B">
        <w:rPr>
          <w:rFonts w:ascii="Times New Roman" w:hAnsi="Times New Roman" w:cs="Times New Roman"/>
        </w:rPr>
        <w:t xml:space="preserve">a </w:t>
      </w:r>
      <w:r w:rsidR="00EC343B" w:rsidRPr="00B912DC">
        <w:rPr>
          <w:rFonts w:ascii="Times New Roman" w:hAnsi="Times New Roman" w:cs="Times New Roman"/>
        </w:rPr>
        <w:t xml:space="preserve">failure any case that was dismissed or </w:t>
      </w:r>
      <w:r w:rsidR="0014635D">
        <w:rPr>
          <w:rFonts w:ascii="Times New Roman" w:hAnsi="Times New Roman" w:cs="Times New Roman"/>
        </w:rPr>
        <w:t xml:space="preserve">for </w:t>
      </w:r>
      <w:r w:rsidR="00EC343B" w:rsidRPr="00B912DC">
        <w:rPr>
          <w:rFonts w:ascii="Times New Roman" w:hAnsi="Times New Roman" w:cs="Times New Roman"/>
        </w:rPr>
        <w:t>which discharge was withheld, denied or waived.</w:t>
      </w:r>
      <w:r w:rsidR="00EC343B" w:rsidRPr="00B912DC">
        <w:rPr>
          <w:rStyle w:val="FootnoteReference"/>
          <w:rFonts w:ascii="Times New Roman" w:hAnsi="Times New Roman" w:cs="Times New Roman"/>
        </w:rPr>
        <w:footnoteReference w:id="183"/>
      </w:r>
      <w:r w:rsidR="00EC343B" w:rsidRPr="00B912DC">
        <w:rPr>
          <w:rFonts w:ascii="Times New Roman" w:hAnsi="Times New Roman" w:cs="Times New Roman"/>
        </w:rPr>
        <w:t xml:space="preserve"> We also count</w:t>
      </w:r>
      <w:r w:rsidR="0014635D">
        <w:rPr>
          <w:rFonts w:ascii="Times New Roman" w:hAnsi="Times New Roman" w:cs="Times New Roman"/>
        </w:rPr>
        <w:t>ed</w:t>
      </w:r>
      <w:r w:rsidR="00EC343B" w:rsidRPr="00B912DC">
        <w:rPr>
          <w:rFonts w:ascii="Times New Roman" w:hAnsi="Times New Roman" w:cs="Times New Roman"/>
        </w:rPr>
        <w:t xml:space="preserve"> as </w:t>
      </w:r>
      <w:r w:rsidR="00EC343B">
        <w:rPr>
          <w:rFonts w:ascii="Times New Roman" w:hAnsi="Times New Roman" w:cs="Times New Roman"/>
        </w:rPr>
        <w:t xml:space="preserve">a </w:t>
      </w:r>
      <w:r w:rsidR="00EC343B" w:rsidRPr="00B912DC">
        <w:rPr>
          <w:rFonts w:ascii="Times New Roman" w:hAnsi="Times New Roman" w:cs="Times New Roman"/>
        </w:rPr>
        <w:t xml:space="preserve">failure </w:t>
      </w:r>
      <w:r w:rsidR="00EC343B">
        <w:rPr>
          <w:rFonts w:ascii="Times New Roman" w:hAnsi="Times New Roman" w:cs="Times New Roman"/>
        </w:rPr>
        <w:t>any</w:t>
      </w:r>
      <w:r w:rsidR="00EC343B" w:rsidRPr="00B912DC">
        <w:rPr>
          <w:rFonts w:ascii="Times New Roman" w:hAnsi="Times New Roman" w:cs="Times New Roman"/>
        </w:rPr>
        <w:t xml:space="preserve"> case that w</w:t>
      </w:r>
      <w:r w:rsidR="00EC343B">
        <w:rPr>
          <w:rFonts w:ascii="Times New Roman" w:hAnsi="Times New Roman" w:cs="Times New Roman"/>
        </w:rPr>
        <w:t>as</w:t>
      </w:r>
      <w:r w:rsidR="00EC343B" w:rsidRPr="00B912DC">
        <w:rPr>
          <w:rFonts w:ascii="Times New Roman" w:hAnsi="Times New Roman" w:cs="Times New Roman"/>
        </w:rPr>
        <w:t xml:space="preserve"> converted to chapter 7 </w:t>
      </w:r>
      <w:r w:rsidR="00D85792">
        <w:rPr>
          <w:rFonts w:ascii="Times New Roman" w:hAnsi="Times New Roman" w:cs="Times New Roman"/>
        </w:rPr>
        <w:t>or</w:t>
      </w:r>
      <w:r w:rsidR="00EC343B" w:rsidRPr="00B912DC">
        <w:rPr>
          <w:rFonts w:ascii="Times New Roman" w:hAnsi="Times New Roman" w:cs="Times New Roman"/>
        </w:rPr>
        <w:t xml:space="preserve"> 13 under the theory that the debtor should have begun in those chapters.</w:t>
      </w:r>
      <w:r w:rsidR="00EC343B">
        <w:rPr>
          <w:rFonts w:ascii="Times New Roman" w:hAnsi="Times New Roman" w:cs="Times New Roman"/>
        </w:rPr>
        <w:t xml:space="preserve"> Finally, a small number of cases ha</w:t>
      </w:r>
      <w:r w:rsidR="0014635D">
        <w:rPr>
          <w:rFonts w:ascii="Times New Roman" w:hAnsi="Times New Roman" w:cs="Times New Roman"/>
        </w:rPr>
        <w:t>d</w:t>
      </w:r>
      <w:r w:rsidR="00EC343B">
        <w:rPr>
          <w:rFonts w:ascii="Times New Roman" w:hAnsi="Times New Roman" w:cs="Times New Roman"/>
        </w:rPr>
        <w:t xml:space="preserve"> more ambiguous procedural terminations</w:t>
      </w:r>
      <w:r w:rsidR="0014635D">
        <w:rPr>
          <w:rFonts w:ascii="Times New Roman" w:hAnsi="Times New Roman" w:cs="Times New Roman"/>
        </w:rPr>
        <w:t>,</w:t>
      </w:r>
      <w:r w:rsidR="00EC343B">
        <w:rPr>
          <w:rFonts w:ascii="Times New Roman" w:hAnsi="Times New Roman" w:cs="Times New Roman"/>
        </w:rPr>
        <w:t xml:space="preserve"> such as a case transfer or a notation that </w:t>
      </w:r>
      <w:r w:rsidR="0014635D">
        <w:rPr>
          <w:rFonts w:ascii="Times New Roman" w:hAnsi="Times New Roman" w:cs="Times New Roman"/>
        </w:rPr>
        <w:t>the case</w:t>
      </w:r>
      <w:r w:rsidR="002E1632">
        <w:rPr>
          <w:rFonts w:ascii="Times New Roman" w:hAnsi="Times New Roman" w:cs="Times New Roman"/>
        </w:rPr>
        <w:t xml:space="preserve"> was</w:t>
      </w:r>
      <w:r w:rsidR="00EC343B">
        <w:rPr>
          <w:rFonts w:ascii="Times New Roman" w:hAnsi="Times New Roman" w:cs="Times New Roman"/>
        </w:rPr>
        <w:t xml:space="preserve"> filed in error. We </w:t>
      </w:r>
      <w:r w:rsidR="0014635D">
        <w:rPr>
          <w:rFonts w:ascii="Times New Roman" w:hAnsi="Times New Roman" w:cs="Times New Roman"/>
        </w:rPr>
        <w:t xml:space="preserve">also </w:t>
      </w:r>
      <w:r w:rsidR="00EC343B">
        <w:rPr>
          <w:rFonts w:ascii="Times New Roman" w:hAnsi="Times New Roman" w:cs="Times New Roman"/>
        </w:rPr>
        <w:t>count</w:t>
      </w:r>
      <w:r w:rsidR="0014635D">
        <w:rPr>
          <w:rFonts w:ascii="Times New Roman" w:hAnsi="Times New Roman" w:cs="Times New Roman"/>
        </w:rPr>
        <w:t>ed</w:t>
      </w:r>
      <w:r w:rsidR="00EC343B">
        <w:rPr>
          <w:rFonts w:ascii="Times New Roman" w:hAnsi="Times New Roman" w:cs="Times New Roman"/>
        </w:rPr>
        <w:t xml:space="preserve"> these cases as failures, but we list them separately in our tables.</w:t>
      </w:r>
    </w:p>
    <w:p w14:paraId="7F5F3A92" w14:textId="3A353DF2" w:rsidR="00EC343B" w:rsidRDefault="00FC38D9" w:rsidP="00CF2F91">
      <w:pPr>
        <w:spacing w:line="480" w:lineRule="auto"/>
        <w:ind w:firstLine="720"/>
        <w:rPr>
          <w:rFonts w:ascii="Times New Roman" w:hAnsi="Times New Roman" w:cs="Times New Roman"/>
          <w:b/>
        </w:rPr>
      </w:pPr>
      <w:r>
        <w:rPr>
          <w:rFonts w:ascii="Times New Roman" w:hAnsi="Times New Roman" w:cs="Times New Roman"/>
        </w:rPr>
        <w:t xml:space="preserve">Table </w:t>
      </w:r>
      <w:r w:rsidR="00FA3A2A">
        <w:rPr>
          <w:rFonts w:ascii="Times New Roman" w:hAnsi="Times New Roman" w:cs="Times New Roman"/>
        </w:rPr>
        <w:t>3</w:t>
      </w:r>
      <w:r w:rsidR="00DB4EAD">
        <w:rPr>
          <w:rFonts w:ascii="Times New Roman" w:hAnsi="Times New Roman" w:cs="Times New Roman"/>
        </w:rPr>
        <w:t>9</w:t>
      </w:r>
      <w:r>
        <w:rPr>
          <w:rFonts w:ascii="Times New Roman" w:hAnsi="Times New Roman" w:cs="Times New Roman"/>
        </w:rPr>
        <w:t xml:space="preserve"> provides data on case disposition for the individual chapter 11 cases in the PACER sample. Individual debtors may file jointly, so the PACER case reports </w:t>
      </w:r>
      <w:r w:rsidRPr="00B912DC">
        <w:rPr>
          <w:rFonts w:ascii="Times New Roman" w:hAnsi="Times New Roman" w:cs="Times New Roman"/>
        </w:rPr>
        <w:t xml:space="preserve">contain a field for the first debtor and another field for the second debtor, if any. Table </w:t>
      </w:r>
      <w:r w:rsidR="006153AB">
        <w:rPr>
          <w:rFonts w:ascii="Times New Roman" w:hAnsi="Times New Roman" w:cs="Times New Roman"/>
        </w:rPr>
        <w:t>3</w:t>
      </w:r>
      <w:r w:rsidR="00DB4EAD">
        <w:rPr>
          <w:rFonts w:ascii="Times New Roman" w:hAnsi="Times New Roman" w:cs="Times New Roman"/>
        </w:rPr>
        <w:t>9</w:t>
      </w:r>
      <w:r w:rsidRPr="00B912DC">
        <w:rPr>
          <w:rFonts w:ascii="Times New Roman" w:hAnsi="Times New Roman" w:cs="Times New Roman"/>
        </w:rPr>
        <w:t xml:space="preserve"> summarizes the disposition for the first debtor only</w:t>
      </w:r>
      <w:r>
        <w:rPr>
          <w:rFonts w:ascii="Times New Roman" w:hAnsi="Times New Roman" w:cs="Times New Roman"/>
        </w:rPr>
        <w:t xml:space="preserve">. </w:t>
      </w:r>
    </w:p>
    <w:p w14:paraId="1816E5E9" w14:textId="72DB47EB" w:rsidR="00C110EB" w:rsidRDefault="00C110EB" w:rsidP="002E1632">
      <w:pPr>
        <w:keepNext/>
        <w:keepLines/>
        <w:spacing w:line="480" w:lineRule="auto"/>
        <w:jc w:val="center"/>
        <w:rPr>
          <w:rFonts w:ascii="Times New Roman" w:hAnsi="Times New Roman" w:cs="Times New Roman"/>
          <w:b/>
        </w:rPr>
      </w:pPr>
      <w:r>
        <w:rPr>
          <w:rFonts w:ascii="Times New Roman" w:hAnsi="Times New Roman" w:cs="Times New Roman"/>
          <w:b/>
        </w:rPr>
        <w:t xml:space="preserve">Table </w:t>
      </w:r>
      <w:r w:rsidR="00FA3A2A">
        <w:rPr>
          <w:rFonts w:ascii="Times New Roman" w:hAnsi="Times New Roman" w:cs="Times New Roman"/>
          <w:b/>
        </w:rPr>
        <w:t>3</w:t>
      </w:r>
      <w:r w:rsidR="00DB4EAD">
        <w:rPr>
          <w:rFonts w:ascii="Times New Roman" w:hAnsi="Times New Roman" w:cs="Times New Roman"/>
          <w:b/>
        </w:rPr>
        <w:t>9</w:t>
      </w:r>
      <w:r>
        <w:rPr>
          <w:rFonts w:ascii="Times New Roman" w:hAnsi="Times New Roman" w:cs="Times New Roman"/>
          <w:b/>
        </w:rPr>
        <w:t>: Outcomes of Individual Chapter 11 Cases</w:t>
      </w:r>
    </w:p>
    <w:tbl>
      <w:tblPr>
        <w:tblW w:w="8760" w:type="dxa"/>
        <w:tblInd w:w="93" w:type="dxa"/>
        <w:tblLook w:val="04A0" w:firstRow="1" w:lastRow="0" w:firstColumn="1" w:lastColumn="0" w:noHBand="0" w:noVBand="1"/>
      </w:tblPr>
      <w:tblGrid>
        <w:gridCol w:w="6160"/>
        <w:gridCol w:w="1300"/>
        <w:gridCol w:w="1300"/>
      </w:tblGrid>
      <w:tr w:rsidR="008C0B22" w:rsidRPr="008C0B22" w14:paraId="7F9656F0" w14:textId="77777777" w:rsidTr="00DB4EAD">
        <w:trPr>
          <w:trHeight w:val="320"/>
        </w:trPr>
        <w:tc>
          <w:tcPr>
            <w:tcW w:w="6160" w:type="dxa"/>
            <w:vMerge w:val="restart"/>
            <w:tcBorders>
              <w:top w:val="nil"/>
              <w:bottom w:val="single" w:sz="8" w:space="0" w:color="000000"/>
              <w:right w:val="single" w:sz="18" w:space="0" w:color="auto"/>
            </w:tcBorders>
            <w:shd w:val="clear" w:color="auto" w:fill="auto"/>
            <w:vAlign w:val="center"/>
            <w:hideMark/>
          </w:tcPr>
          <w:p w14:paraId="19BC076C" w14:textId="77777777" w:rsidR="008C0B22" w:rsidRPr="008C0B22" w:rsidRDefault="008C0B22" w:rsidP="002E1632">
            <w:pPr>
              <w:keepNext/>
              <w:keepLines/>
              <w:rPr>
                <w:rFonts w:ascii="Times New Roman" w:eastAsia="Times New Roman" w:hAnsi="Times New Roman" w:cs="Times New Roman"/>
                <w:color w:val="000000"/>
              </w:rPr>
            </w:pPr>
            <w:r w:rsidRPr="008C0B22">
              <w:rPr>
                <w:rFonts w:ascii="Times New Roman" w:eastAsia="Times New Roman" w:hAnsi="Times New Roman" w:cs="Times New Roman"/>
                <w:color w:val="000000"/>
              </w:rPr>
              <w:t> </w:t>
            </w:r>
          </w:p>
        </w:tc>
        <w:tc>
          <w:tcPr>
            <w:tcW w:w="2600" w:type="dxa"/>
            <w:gridSpan w:val="2"/>
            <w:tcBorders>
              <w:top w:val="single" w:sz="8" w:space="0" w:color="auto"/>
              <w:left w:val="single" w:sz="18" w:space="0" w:color="auto"/>
              <w:bottom w:val="single" w:sz="8" w:space="0" w:color="auto"/>
              <w:right w:val="single" w:sz="8" w:space="0" w:color="000000"/>
            </w:tcBorders>
            <w:shd w:val="clear" w:color="auto" w:fill="auto"/>
            <w:noWrap/>
            <w:vAlign w:val="center"/>
            <w:hideMark/>
          </w:tcPr>
          <w:p w14:paraId="5D757F02" w14:textId="77777777" w:rsidR="008C0B22" w:rsidRPr="008C0B22" w:rsidRDefault="008C0B22" w:rsidP="002E1632">
            <w:pPr>
              <w:keepNext/>
              <w:keepLines/>
              <w:jc w:val="center"/>
              <w:rPr>
                <w:rFonts w:ascii="Times New Roman" w:eastAsia="Times New Roman" w:hAnsi="Times New Roman" w:cs="Times New Roman"/>
                <w:b/>
                <w:bCs/>
                <w:color w:val="000000"/>
              </w:rPr>
            </w:pPr>
            <w:r w:rsidRPr="008C0B22">
              <w:rPr>
                <w:rFonts w:ascii="Times New Roman" w:eastAsia="Times New Roman" w:hAnsi="Times New Roman" w:cs="Times New Roman"/>
                <w:b/>
                <w:bCs/>
                <w:color w:val="000000"/>
              </w:rPr>
              <w:t>All Individual Chapter 11s</w:t>
            </w:r>
          </w:p>
        </w:tc>
      </w:tr>
      <w:tr w:rsidR="008C0B22" w:rsidRPr="008C0B22" w14:paraId="0E4C8C20" w14:textId="77777777" w:rsidTr="00DB4EAD">
        <w:trPr>
          <w:trHeight w:val="320"/>
        </w:trPr>
        <w:tc>
          <w:tcPr>
            <w:tcW w:w="6160" w:type="dxa"/>
            <w:vMerge/>
            <w:tcBorders>
              <w:top w:val="single" w:sz="8" w:space="0" w:color="auto"/>
              <w:bottom w:val="single" w:sz="18" w:space="0" w:color="auto"/>
              <w:right w:val="single" w:sz="18" w:space="0" w:color="auto"/>
            </w:tcBorders>
            <w:vAlign w:val="center"/>
            <w:hideMark/>
          </w:tcPr>
          <w:p w14:paraId="45922A3A" w14:textId="77777777" w:rsidR="008C0B22" w:rsidRPr="008C0B22" w:rsidRDefault="008C0B22" w:rsidP="002E1632">
            <w:pPr>
              <w:keepNext/>
              <w:keepLines/>
              <w:rPr>
                <w:rFonts w:ascii="Times New Roman" w:eastAsia="Times New Roman" w:hAnsi="Times New Roman" w:cs="Times New Roman"/>
                <w:color w:val="000000"/>
              </w:rPr>
            </w:pPr>
          </w:p>
        </w:tc>
        <w:tc>
          <w:tcPr>
            <w:tcW w:w="1300" w:type="dxa"/>
            <w:tcBorders>
              <w:top w:val="single" w:sz="12" w:space="0" w:color="auto"/>
              <w:left w:val="single" w:sz="18" w:space="0" w:color="auto"/>
              <w:bottom w:val="single" w:sz="12" w:space="0" w:color="auto"/>
              <w:right w:val="single" w:sz="18" w:space="0" w:color="auto"/>
            </w:tcBorders>
            <w:shd w:val="clear" w:color="auto" w:fill="auto"/>
            <w:vAlign w:val="center"/>
            <w:hideMark/>
          </w:tcPr>
          <w:p w14:paraId="136AC26C" w14:textId="77777777" w:rsidR="008C0B22" w:rsidRPr="008C0B22" w:rsidRDefault="008C0B22" w:rsidP="002E1632">
            <w:pPr>
              <w:keepNext/>
              <w:keepLines/>
              <w:jc w:val="right"/>
              <w:rPr>
                <w:rFonts w:ascii="Times New Roman" w:eastAsia="Times New Roman" w:hAnsi="Times New Roman" w:cs="Times New Roman"/>
                <w:color w:val="000000"/>
              </w:rPr>
            </w:pPr>
            <w:r w:rsidRPr="008C0B22">
              <w:rPr>
                <w:rFonts w:ascii="Times New Roman" w:eastAsia="Times New Roman" w:hAnsi="Times New Roman" w:cs="Times New Roman"/>
                <w:color w:val="000000"/>
              </w:rPr>
              <w:t>2010</w:t>
            </w:r>
          </w:p>
        </w:tc>
        <w:tc>
          <w:tcPr>
            <w:tcW w:w="1300" w:type="dxa"/>
            <w:tcBorders>
              <w:top w:val="single" w:sz="12" w:space="0" w:color="auto"/>
              <w:left w:val="single" w:sz="18" w:space="0" w:color="auto"/>
              <w:bottom w:val="single" w:sz="12" w:space="0" w:color="auto"/>
              <w:right w:val="single" w:sz="8" w:space="0" w:color="auto"/>
            </w:tcBorders>
            <w:shd w:val="clear" w:color="auto" w:fill="auto"/>
            <w:vAlign w:val="center"/>
            <w:hideMark/>
          </w:tcPr>
          <w:p w14:paraId="01B16A6D" w14:textId="77777777" w:rsidR="008C0B22" w:rsidRPr="008C0B22" w:rsidRDefault="008C0B22" w:rsidP="002E1632">
            <w:pPr>
              <w:keepNext/>
              <w:keepLines/>
              <w:jc w:val="center"/>
              <w:rPr>
                <w:rFonts w:ascii="Times New Roman" w:eastAsia="Times New Roman" w:hAnsi="Times New Roman" w:cs="Times New Roman"/>
                <w:color w:val="000000"/>
              </w:rPr>
            </w:pPr>
            <w:r w:rsidRPr="008C0B22">
              <w:rPr>
                <w:rFonts w:ascii="Times New Roman" w:eastAsia="Times New Roman" w:hAnsi="Times New Roman" w:cs="Times New Roman"/>
                <w:color w:val="000000"/>
              </w:rPr>
              <w:t>2013</w:t>
            </w:r>
          </w:p>
        </w:tc>
      </w:tr>
      <w:tr w:rsidR="008C0B22" w:rsidRPr="008C0B22" w14:paraId="67E341CF" w14:textId="77777777" w:rsidTr="00C110EB">
        <w:trPr>
          <w:trHeight w:val="320"/>
        </w:trPr>
        <w:tc>
          <w:tcPr>
            <w:tcW w:w="6160" w:type="dxa"/>
            <w:tcBorders>
              <w:top w:val="single" w:sz="18" w:space="0" w:color="auto"/>
              <w:left w:val="single" w:sz="8" w:space="0" w:color="auto"/>
              <w:bottom w:val="single" w:sz="8" w:space="0" w:color="auto"/>
              <w:right w:val="single" w:sz="18" w:space="0" w:color="auto"/>
            </w:tcBorders>
            <w:shd w:val="clear" w:color="auto" w:fill="auto"/>
            <w:vAlign w:val="center"/>
            <w:hideMark/>
          </w:tcPr>
          <w:p w14:paraId="29A867C5" w14:textId="77777777" w:rsidR="008C0B22" w:rsidRPr="008C0B22" w:rsidRDefault="008C0B22" w:rsidP="002E1632">
            <w:pPr>
              <w:keepNext/>
              <w:keepLines/>
              <w:rPr>
                <w:rFonts w:ascii="Times New Roman" w:eastAsia="Times New Roman" w:hAnsi="Times New Roman" w:cs="Times New Roman"/>
                <w:color w:val="000000"/>
              </w:rPr>
            </w:pPr>
            <w:r w:rsidRPr="008C0B22">
              <w:rPr>
                <w:rFonts w:ascii="Times New Roman" w:eastAsia="Times New Roman" w:hAnsi="Times New Roman" w:cs="Times New Roman"/>
                <w:color w:val="000000"/>
              </w:rPr>
              <w:t>Standard Discharge</w:t>
            </w:r>
          </w:p>
        </w:tc>
        <w:tc>
          <w:tcPr>
            <w:tcW w:w="1300" w:type="dxa"/>
            <w:tcBorders>
              <w:top w:val="single" w:sz="18" w:space="0" w:color="auto"/>
              <w:left w:val="single" w:sz="18" w:space="0" w:color="auto"/>
              <w:bottom w:val="single" w:sz="8" w:space="0" w:color="auto"/>
              <w:right w:val="single" w:sz="18" w:space="0" w:color="auto"/>
            </w:tcBorders>
            <w:shd w:val="clear" w:color="auto" w:fill="auto"/>
            <w:vAlign w:val="center"/>
            <w:hideMark/>
          </w:tcPr>
          <w:p w14:paraId="3CA1A744" w14:textId="77777777" w:rsidR="008C0B22" w:rsidRPr="008C0B22" w:rsidRDefault="008C0B22" w:rsidP="002E1632">
            <w:pPr>
              <w:keepNext/>
              <w:keepLines/>
              <w:jc w:val="right"/>
              <w:rPr>
                <w:rFonts w:ascii="Times New Roman" w:eastAsia="Times New Roman" w:hAnsi="Times New Roman" w:cs="Times New Roman"/>
                <w:color w:val="000000"/>
              </w:rPr>
            </w:pPr>
            <w:r w:rsidRPr="008C0B22">
              <w:rPr>
                <w:rFonts w:ascii="Times New Roman" w:eastAsia="Times New Roman" w:hAnsi="Times New Roman" w:cs="Times New Roman"/>
                <w:color w:val="000000"/>
              </w:rPr>
              <w:t>9.90%</w:t>
            </w:r>
          </w:p>
        </w:tc>
        <w:tc>
          <w:tcPr>
            <w:tcW w:w="1300" w:type="dxa"/>
            <w:tcBorders>
              <w:top w:val="single" w:sz="18" w:space="0" w:color="auto"/>
              <w:left w:val="single" w:sz="18" w:space="0" w:color="auto"/>
              <w:bottom w:val="single" w:sz="8" w:space="0" w:color="auto"/>
              <w:right w:val="single" w:sz="8" w:space="0" w:color="auto"/>
            </w:tcBorders>
            <w:shd w:val="clear" w:color="auto" w:fill="auto"/>
            <w:vAlign w:val="center"/>
            <w:hideMark/>
          </w:tcPr>
          <w:p w14:paraId="209AA61C" w14:textId="77777777" w:rsidR="008C0B22" w:rsidRPr="008C0B22" w:rsidRDefault="008C0B22" w:rsidP="002E1632">
            <w:pPr>
              <w:keepNext/>
              <w:keepLines/>
              <w:jc w:val="right"/>
              <w:rPr>
                <w:rFonts w:ascii="Times New Roman" w:eastAsia="Times New Roman" w:hAnsi="Times New Roman" w:cs="Times New Roman"/>
                <w:color w:val="000000"/>
              </w:rPr>
            </w:pPr>
            <w:r w:rsidRPr="008C0B22">
              <w:rPr>
                <w:rFonts w:ascii="Times New Roman" w:eastAsia="Times New Roman" w:hAnsi="Times New Roman" w:cs="Times New Roman"/>
                <w:color w:val="000000"/>
              </w:rPr>
              <w:t>4.90%</w:t>
            </w:r>
          </w:p>
        </w:tc>
      </w:tr>
      <w:tr w:rsidR="008C0B22" w:rsidRPr="008C0B22" w14:paraId="171843F7" w14:textId="77777777" w:rsidTr="00C110EB">
        <w:trPr>
          <w:trHeight w:val="320"/>
        </w:trPr>
        <w:tc>
          <w:tcPr>
            <w:tcW w:w="6160" w:type="dxa"/>
            <w:tcBorders>
              <w:top w:val="nil"/>
              <w:left w:val="single" w:sz="8" w:space="0" w:color="auto"/>
              <w:bottom w:val="single" w:sz="8" w:space="0" w:color="auto"/>
              <w:right w:val="single" w:sz="18" w:space="0" w:color="auto"/>
            </w:tcBorders>
            <w:shd w:val="clear" w:color="auto" w:fill="auto"/>
            <w:vAlign w:val="center"/>
            <w:hideMark/>
          </w:tcPr>
          <w:p w14:paraId="14608089" w14:textId="77777777" w:rsidR="008C0B22" w:rsidRPr="008C0B22" w:rsidRDefault="008C0B22" w:rsidP="002E1632">
            <w:pPr>
              <w:keepNext/>
              <w:keepLines/>
              <w:rPr>
                <w:rFonts w:ascii="Times New Roman" w:eastAsia="Times New Roman" w:hAnsi="Times New Roman" w:cs="Times New Roman"/>
                <w:color w:val="000000"/>
              </w:rPr>
            </w:pPr>
            <w:r w:rsidRPr="008C0B22">
              <w:rPr>
                <w:rFonts w:ascii="Times New Roman" w:eastAsia="Times New Roman" w:hAnsi="Times New Roman" w:cs="Times New Roman"/>
                <w:color w:val="000000"/>
              </w:rPr>
              <w:t>Hardship Discharge</w:t>
            </w:r>
          </w:p>
        </w:tc>
        <w:tc>
          <w:tcPr>
            <w:tcW w:w="1300" w:type="dxa"/>
            <w:tcBorders>
              <w:top w:val="nil"/>
              <w:left w:val="single" w:sz="18" w:space="0" w:color="auto"/>
              <w:bottom w:val="single" w:sz="8" w:space="0" w:color="auto"/>
              <w:right w:val="single" w:sz="18" w:space="0" w:color="auto"/>
            </w:tcBorders>
            <w:shd w:val="clear" w:color="auto" w:fill="auto"/>
            <w:vAlign w:val="center"/>
            <w:hideMark/>
          </w:tcPr>
          <w:p w14:paraId="552FD58B" w14:textId="77777777" w:rsidR="008C0B22" w:rsidRPr="008C0B22" w:rsidRDefault="008C0B22" w:rsidP="002E1632">
            <w:pPr>
              <w:keepNext/>
              <w:keepLines/>
              <w:jc w:val="right"/>
              <w:rPr>
                <w:rFonts w:ascii="Times New Roman" w:eastAsia="Times New Roman" w:hAnsi="Times New Roman" w:cs="Times New Roman"/>
                <w:color w:val="000000"/>
              </w:rPr>
            </w:pPr>
            <w:r w:rsidRPr="008C0B22">
              <w:rPr>
                <w:rFonts w:ascii="Times New Roman" w:eastAsia="Times New Roman" w:hAnsi="Times New Roman" w:cs="Times New Roman"/>
                <w:color w:val="000000"/>
              </w:rPr>
              <w:t>0%</w:t>
            </w:r>
          </w:p>
        </w:tc>
        <w:tc>
          <w:tcPr>
            <w:tcW w:w="1300" w:type="dxa"/>
            <w:tcBorders>
              <w:top w:val="nil"/>
              <w:left w:val="single" w:sz="18" w:space="0" w:color="auto"/>
              <w:bottom w:val="single" w:sz="8" w:space="0" w:color="auto"/>
              <w:right w:val="single" w:sz="8" w:space="0" w:color="auto"/>
            </w:tcBorders>
            <w:shd w:val="clear" w:color="auto" w:fill="auto"/>
            <w:vAlign w:val="center"/>
            <w:hideMark/>
          </w:tcPr>
          <w:p w14:paraId="2720242B" w14:textId="77777777" w:rsidR="008C0B22" w:rsidRPr="008C0B22" w:rsidRDefault="008C0B22" w:rsidP="002E1632">
            <w:pPr>
              <w:keepNext/>
              <w:keepLines/>
              <w:jc w:val="right"/>
              <w:rPr>
                <w:rFonts w:ascii="Times New Roman" w:eastAsia="Times New Roman" w:hAnsi="Times New Roman" w:cs="Times New Roman"/>
                <w:color w:val="000000"/>
              </w:rPr>
            </w:pPr>
            <w:r w:rsidRPr="008C0B22">
              <w:rPr>
                <w:rFonts w:ascii="Times New Roman" w:eastAsia="Times New Roman" w:hAnsi="Times New Roman" w:cs="Times New Roman"/>
                <w:color w:val="000000"/>
              </w:rPr>
              <w:t>0%</w:t>
            </w:r>
          </w:p>
        </w:tc>
      </w:tr>
      <w:tr w:rsidR="008C0B22" w:rsidRPr="008C0B22" w14:paraId="02CDF79E" w14:textId="77777777" w:rsidTr="00C110EB">
        <w:trPr>
          <w:trHeight w:val="320"/>
        </w:trPr>
        <w:tc>
          <w:tcPr>
            <w:tcW w:w="6160" w:type="dxa"/>
            <w:tcBorders>
              <w:top w:val="nil"/>
              <w:left w:val="single" w:sz="8" w:space="0" w:color="auto"/>
              <w:bottom w:val="single" w:sz="8" w:space="0" w:color="auto"/>
              <w:right w:val="single" w:sz="18" w:space="0" w:color="auto"/>
            </w:tcBorders>
            <w:shd w:val="clear" w:color="auto" w:fill="auto"/>
            <w:vAlign w:val="center"/>
            <w:hideMark/>
          </w:tcPr>
          <w:p w14:paraId="18F41301" w14:textId="77777777" w:rsidR="008C0B22" w:rsidRPr="008C0B22" w:rsidRDefault="008C0B22" w:rsidP="002E1632">
            <w:pPr>
              <w:keepNext/>
              <w:keepLines/>
              <w:rPr>
                <w:rFonts w:ascii="Times New Roman" w:eastAsia="Times New Roman" w:hAnsi="Times New Roman" w:cs="Times New Roman"/>
                <w:color w:val="000000"/>
              </w:rPr>
            </w:pPr>
            <w:r w:rsidRPr="008C0B22">
              <w:rPr>
                <w:rFonts w:ascii="Times New Roman" w:eastAsia="Times New Roman" w:hAnsi="Times New Roman" w:cs="Times New Roman"/>
                <w:color w:val="000000"/>
              </w:rPr>
              <w:t>Blank</w:t>
            </w:r>
          </w:p>
        </w:tc>
        <w:tc>
          <w:tcPr>
            <w:tcW w:w="1300" w:type="dxa"/>
            <w:tcBorders>
              <w:top w:val="nil"/>
              <w:left w:val="single" w:sz="18" w:space="0" w:color="auto"/>
              <w:bottom w:val="single" w:sz="8" w:space="0" w:color="auto"/>
              <w:right w:val="single" w:sz="18" w:space="0" w:color="auto"/>
            </w:tcBorders>
            <w:shd w:val="clear" w:color="auto" w:fill="auto"/>
            <w:vAlign w:val="center"/>
            <w:hideMark/>
          </w:tcPr>
          <w:p w14:paraId="6689D0A6" w14:textId="77777777" w:rsidR="008C0B22" w:rsidRPr="008C0B22" w:rsidRDefault="008C0B22" w:rsidP="002E1632">
            <w:pPr>
              <w:keepNext/>
              <w:keepLines/>
              <w:jc w:val="right"/>
              <w:rPr>
                <w:rFonts w:ascii="Times New Roman" w:eastAsia="Times New Roman" w:hAnsi="Times New Roman" w:cs="Times New Roman"/>
                <w:color w:val="000000"/>
              </w:rPr>
            </w:pPr>
            <w:r w:rsidRPr="008C0B22">
              <w:rPr>
                <w:rFonts w:ascii="Times New Roman" w:eastAsia="Times New Roman" w:hAnsi="Times New Roman" w:cs="Times New Roman"/>
                <w:color w:val="000000"/>
              </w:rPr>
              <w:t>9%</w:t>
            </w:r>
          </w:p>
        </w:tc>
        <w:tc>
          <w:tcPr>
            <w:tcW w:w="1300" w:type="dxa"/>
            <w:tcBorders>
              <w:top w:val="nil"/>
              <w:left w:val="single" w:sz="18" w:space="0" w:color="auto"/>
              <w:bottom w:val="single" w:sz="8" w:space="0" w:color="auto"/>
              <w:right w:val="single" w:sz="8" w:space="0" w:color="auto"/>
            </w:tcBorders>
            <w:shd w:val="clear" w:color="auto" w:fill="auto"/>
            <w:vAlign w:val="center"/>
            <w:hideMark/>
          </w:tcPr>
          <w:p w14:paraId="50164E7D" w14:textId="77777777" w:rsidR="008C0B22" w:rsidRPr="008C0B22" w:rsidRDefault="008C0B22" w:rsidP="002E1632">
            <w:pPr>
              <w:keepNext/>
              <w:keepLines/>
              <w:jc w:val="right"/>
              <w:rPr>
                <w:rFonts w:ascii="Times New Roman" w:eastAsia="Times New Roman" w:hAnsi="Times New Roman" w:cs="Times New Roman"/>
                <w:color w:val="000000"/>
              </w:rPr>
            </w:pPr>
            <w:r w:rsidRPr="008C0B22">
              <w:rPr>
                <w:rFonts w:ascii="Times New Roman" w:eastAsia="Times New Roman" w:hAnsi="Times New Roman" w:cs="Times New Roman"/>
                <w:color w:val="000000"/>
              </w:rPr>
              <w:t>28.20%</w:t>
            </w:r>
          </w:p>
        </w:tc>
      </w:tr>
      <w:tr w:rsidR="008C0B22" w:rsidRPr="008C0B22" w14:paraId="15356622" w14:textId="77777777" w:rsidTr="00C110EB">
        <w:trPr>
          <w:trHeight w:val="320"/>
        </w:trPr>
        <w:tc>
          <w:tcPr>
            <w:tcW w:w="6160" w:type="dxa"/>
            <w:tcBorders>
              <w:top w:val="nil"/>
              <w:left w:val="single" w:sz="8" w:space="0" w:color="auto"/>
              <w:bottom w:val="double" w:sz="6" w:space="0" w:color="auto"/>
              <w:right w:val="single" w:sz="18" w:space="0" w:color="auto"/>
            </w:tcBorders>
            <w:shd w:val="clear" w:color="auto" w:fill="auto"/>
            <w:vAlign w:val="center"/>
            <w:hideMark/>
          </w:tcPr>
          <w:p w14:paraId="32A11296" w14:textId="77777777" w:rsidR="008C0B22" w:rsidRPr="008C0B22" w:rsidRDefault="008C0B22" w:rsidP="002E1632">
            <w:pPr>
              <w:keepNext/>
              <w:keepLines/>
              <w:rPr>
                <w:rFonts w:ascii="Times New Roman" w:eastAsia="Times New Roman" w:hAnsi="Times New Roman" w:cs="Times New Roman"/>
                <w:color w:val="000000"/>
              </w:rPr>
            </w:pPr>
            <w:r w:rsidRPr="008C0B22">
              <w:rPr>
                <w:rFonts w:ascii="Times New Roman" w:eastAsia="Times New Roman" w:hAnsi="Times New Roman" w:cs="Times New Roman"/>
                <w:color w:val="000000"/>
              </w:rPr>
              <w:t>Discharge Not Applicable</w:t>
            </w:r>
          </w:p>
        </w:tc>
        <w:tc>
          <w:tcPr>
            <w:tcW w:w="1300" w:type="dxa"/>
            <w:tcBorders>
              <w:top w:val="nil"/>
              <w:left w:val="single" w:sz="18" w:space="0" w:color="auto"/>
              <w:bottom w:val="double" w:sz="6" w:space="0" w:color="auto"/>
              <w:right w:val="single" w:sz="18" w:space="0" w:color="auto"/>
            </w:tcBorders>
            <w:shd w:val="clear" w:color="auto" w:fill="auto"/>
            <w:vAlign w:val="center"/>
            <w:hideMark/>
          </w:tcPr>
          <w:p w14:paraId="6852C215" w14:textId="77777777" w:rsidR="008C0B22" w:rsidRPr="008C0B22" w:rsidRDefault="008C0B22" w:rsidP="002E1632">
            <w:pPr>
              <w:keepNext/>
              <w:keepLines/>
              <w:jc w:val="right"/>
              <w:rPr>
                <w:rFonts w:ascii="Times New Roman" w:eastAsia="Times New Roman" w:hAnsi="Times New Roman" w:cs="Times New Roman"/>
                <w:color w:val="000000"/>
              </w:rPr>
            </w:pPr>
            <w:r w:rsidRPr="008C0B22">
              <w:rPr>
                <w:rFonts w:ascii="Times New Roman" w:eastAsia="Times New Roman" w:hAnsi="Times New Roman" w:cs="Times New Roman"/>
                <w:color w:val="000000"/>
              </w:rPr>
              <w:t>13.60%</w:t>
            </w:r>
          </w:p>
        </w:tc>
        <w:tc>
          <w:tcPr>
            <w:tcW w:w="1300" w:type="dxa"/>
            <w:tcBorders>
              <w:top w:val="nil"/>
              <w:left w:val="single" w:sz="18" w:space="0" w:color="auto"/>
              <w:bottom w:val="double" w:sz="6" w:space="0" w:color="auto"/>
              <w:right w:val="single" w:sz="8" w:space="0" w:color="auto"/>
            </w:tcBorders>
            <w:shd w:val="clear" w:color="auto" w:fill="auto"/>
            <w:vAlign w:val="center"/>
            <w:hideMark/>
          </w:tcPr>
          <w:p w14:paraId="49EC9C4F" w14:textId="77777777" w:rsidR="008C0B22" w:rsidRPr="008C0B22" w:rsidRDefault="008C0B22" w:rsidP="002E1632">
            <w:pPr>
              <w:keepNext/>
              <w:keepLines/>
              <w:jc w:val="right"/>
              <w:rPr>
                <w:rFonts w:ascii="Times New Roman" w:eastAsia="Times New Roman" w:hAnsi="Times New Roman" w:cs="Times New Roman"/>
                <w:color w:val="000000"/>
              </w:rPr>
            </w:pPr>
            <w:r w:rsidRPr="008C0B22">
              <w:rPr>
                <w:rFonts w:ascii="Times New Roman" w:eastAsia="Times New Roman" w:hAnsi="Times New Roman" w:cs="Times New Roman"/>
                <w:color w:val="000000"/>
              </w:rPr>
              <w:t>9.90%</w:t>
            </w:r>
          </w:p>
        </w:tc>
      </w:tr>
      <w:tr w:rsidR="008C0B22" w:rsidRPr="008C0B22" w14:paraId="7FCC1097" w14:textId="77777777" w:rsidTr="00C110EB">
        <w:trPr>
          <w:trHeight w:val="340"/>
        </w:trPr>
        <w:tc>
          <w:tcPr>
            <w:tcW w:w="6160" w:type="dxa"/>
            <w:tcBorders>
              <w:top w:val="nil"/>
              <w:left w:val="single" w:sz="8" w:space="0" w:color="auto"/>
              <w:bottom w:val="double" w:sz="6" w:space="0" w:color="auto"/>
              <w:right w:val="single" w:sz="18" w:space="0" w:color="auto"/>
            </w:tcBorders>
            <w:shd w:val="clear" w:color="auto" w:fill="auto"/>
            <w:vAlign w:val="center"/>
            <w:hideMark/>
          </w:tcPr>
          <w:p w14:paraId="3C9BDB40" w14:textId="4BE5C31F" w:rsidR="008C0B22" w:rsidRPr="008C0B22" w:rsidRDefault="008C0B22" w:rsidP="002E1632">
            <w:pPr>
              <w:keepNext/>
              <w:keepLines/>
              <w:rPr>
                <w:rFonts w:ascii="Times New Roman" w:eastAsia="Times New Roman" w:hAnsi="Times New Roman" w:cs="Times New Roman"/>
                <w:b/>
                <w:bCs/>
                <w:color w:val="000000"/>
              </w:rPr>
            </w:pPr>
            <w:r w:rsidRPr="008C0B22">
              <w:rPr>
                <w:rFonts w:ascii="Times New Roman" w:eastAsia="Times New Roman" w:hAnsi="Times New Roman" w:cs="Times New Roman"/>
                <w:b/>
                <w:bCs/>
                <w:color w:val="000000"/>
              </w:rPr>
              <w:t>Total "Su</w:t>
            </w:r>
            <w:r w:rsidR="00D53EAA">
              <w:rPr>
                <w:rFonts w:ascii="Times New Roman" w:eastAsia="Times New Roman" w:hAnsi="Times New Roman" w:cs="Times New Roman"/>
                <w:b/>
                <w:bCs/>
                <w:color w:val="000000"/>
              </w:rPr>
              <w:t>rvive</w:t>
            </w:r>
            <w:r w:rsidRPr="008C0B22">
              <w:rPr>
                <w:rFonts w:ascii="Times New Roman" w:eastAsia="Times New Roman" w:hAnsi="Times New Roman" w:cs="Times New Roman"/>
                <w:b/>
                <w:bCs/>
                <w:color w:val="000000"/>
              </w:rPr>
              <w:t>"</w:t>
            </w:r>
          </w:p>
        </w:tc>
        <w:tc>
          <w:tcPr>
            <w:tcW w:w="1300" w:type="dxa"/>
            <w:tcBorders>
              <w:top w:val="nil"/>
              <w:left w:val="single" w:sz="18" w:space="0" w:color="auto"/>
              <w:bottom w:val="double" w:sz="6" w:space="0" w:color="auto"/>
              <w:right w:val="single" w:sz="18" w:space="0" w:color="auto"/>
            </w:tcBorders>
            <w:shd w:val="clear" w:color="auto" w:fill="auto"/>
            <w:vAlign w:val="center"/>
            <w:hideMark/>
          </w:tcPr>
          <w:p w14:paraId="4237093B" w14:textId="77777777" w:rsidR="008C0B22" w:rsidRPr="008C0B22" w:rsidRDefault="008C0B22" w:rsidP="002E1632">
            <w:pPr>
              <w:keepNext/>
              <w:keepLines/>
              <w:jc w:val="right"/>
              <w:rPr>
                <w:rFonts w:ascii="Times New Roman" w:eastAsia="Times New Roman" w:hAnsi="Times New Roman" w:cs="Times New Roman"/>
                <w:b/>
                <w:bCs/>
                <w:color w:val="000000"/>
              </w:rPr>
            </w:pPr>
            <w:r w:rsidRPr="008C0B22">
              <w:rPr>
                <w:rFonts w:ascii="Times New Roman" w:eastAsia="Times New Roman" w:hAnsi="Times New Roman" w:cs="Times New Roman"/>
                <w:b/>
                <w:bCs/>
                <w:color w:val="000000"/>
              </w:rPr>
              <w:t>32.50%</w:t>
            </w:r>
          </w:p>
        </w:tc>
        <w:tc>
          <w:tcPr>
            <w:tcW w:w="1300" w:type="dxa"/>
            <w:tcBorders>
              <w:top w:val="nil"/>
              <w:left w:val="single" w:sz="18" w:space="0" w:color="auto"/>
              <w:bottom w:val="double" w:sz="6" w:space="0" w:color="auto"/>
              <w:right w:val="single" w:sz="8" w:space="0" w:color="auto"/>
            </w:tcBorders>
            <w:shd w:val="clear" w:color="auto" w:fill="auto"/>
            <w:vAlign w:val="center"/>
            <w:hideMark/>
          </w:tcPr>
          <w:p w14:paraId="5469F440" w14:textId="77777777" w:rsidR="008C0B22" w:rsidRPr="008C0B22" w:rsidRDefault="008C0B22" w:rsidP="002E1632">
            <w:pPr>
              <w:keepNext/>
              <w:keepLines/>
              <w:jc w:val="right"/>
              <w:rPr>
                <w:rFonts w:ascii="Times New Roman" w:eastAsia="Times New Roman" w:hAnsi="Times New Roman" w:cs="Times New Roman"/>
                <w:b/>
                <w:bCs/>
                <w:color w:val="000000"/>
              </w:rPr>
            </w:pPr>
            <w:r w:rsidRPr="008C0B22">
              <w:rPr>
                <w:rFonts w:ascii="Times New Roman" w:eastAsia="Times New Roman" w:hAnsi="Times New Roman" w:cs="Times New Roman"/>
                <w:b/>
                <w:bCs/>
                <w:color w:val="000000"/>
              </w:rPr>
              <w:t>42.90%</w:t>
            </w:r>
          </w:p>
        </w:tc>
      </w:tr>
      <w:tr w:rsidR="008C0B22" w:rsidRPr="008C0B22" w14:paraId="37A8211E" w14:textId="77777777" w:rsidTr="00C110EB">
        <w:trPr>
          <w:trHeight w:val="320"/>
        </w:trPr>
        <w:tc>
          <w:tcPr>
            <w:tcW w:w="6160" w:type="dxa"/>
            <w:tcBorders>
              <w:top w:val="nil"/>
              <w:left w:val="single" w:sz="8" w:space="0" w:color="auto"/>
              <w:bottom w:val="nil"/>
              <w:right w:val="single" w:sz="18" w:space="0" w:color="auto"/>
            </w:tcBorders>
            <w:shd w:val="clear" w:color="auto" w:fill="auto"/>
            <w:vAlign w:val="center"/>
            <w:hideMark/>
          </w:tcPr>
          <w:p w14:paraId="52A56CC9" w14:textId="758672D3" w:rsidR="008C0B22" w:rsidRPr="008C0B22" w:rsidRDefault="008C0B22" w:rsidP="002E1632">
            <w:pPr>
              <w:keepNext/>
              <w:keepLines/>
              <w:rPr>
                <w:rFonts w:ascii="Times New Roman" w:eastAsia="Times New Roman" w:hAnsi="Times New Roman" w:cs="Times New Roman"/>
                <w:color w:val="000000"/>
              </w:rPr>
            </w:pPr>
            <w:r w:rsidRPr="008C0B22">
              <w:rPr>
                <w:rFonts w:ascii="Times New Roman" w:eastAsia="Times New Roman" w:hAnsi="Times New Roman" w:cs="Times New Roman"/>
                <w:color w:val="000000"/>
              </w:rPr>
              <w:t xml:space="preserve">Converted to </w:t>
            </w:r>
            <w:r w:rsidR="006153AB">
              <w:rPr>
                <w:rFonts w:ascii="Times New Roman" w:eastAsia="Times New Roman" w:hAnsi="Times New Roman" w:cs="Times New Roman"/>
                <w:color w:val="000000"/>
              </w:rPr>
              <w:t>Chapter</w:t>
            </w:r>
            <w:r w:rsidR="006153AB" w:rsidRPr="008C0B22">
              <w:rPr>
                <w:rFonts w:ascii="Times New Roman" w:eastAsia="Times New Roman" w:hAnsi="Times New Roman" w:cs="Times New Roman"/>
                <w:color w:val="000000"/>
              </w:rPr>
              <w:t xml:space="preserve"> 7</w:t>
            </w:r>
          </w:p>
        </w:tc>
        <w:tc>
          <w:tcPr>
            <w:tcW w:w="1300" w:type="dxa"/>
            <w:tcBorders>
              <w:top w:val="nil"/>
              <w:left w:val="single" w:sz="18" w:space="0" w:color="auto"/>
              <w:bottom w:val="single" w:sz="8" w:space="0" w:color="000000"/>
              <w:right w:val="single" w:sz="18" w:space="0" w:color="auto"/>
            </w:tcBorders>
            <w:shd w:val="clear" w:color="auto" w:fill="auto"/>
            <w:vAlign w:val="center"/>
            <w:hideMark/>
          </w:tcPr>
          <w:p w14:paraId="2F4B45A5" w14:textId="77777777" w:rsidR="008C0B22" w:rsidRPr="008C0B22" w:rsidRDefault="008C0B22" w:rsidP="002E1632">
            <w:pPr>
              <w:keepNext/>
              <w:keepLines/>
              <w:jc w:val="right"/>
              <w:rPr>
                <w:rFonts w:ascii="Times New Roman" w:eastAsia="Times New Roman" w:hAnsi="Times New Roman" w:cs="Times New Roman"/>
                <w:color w:val="000000"/>
              </w:rPr>
            </w:pPr>
            <w:r w:rsidRPr="008C0B22">
              <w:rPr>
                <w:rFonts w:ascii="Times New Roman" w:eastAsia="Times New Roman" w:hAnsi="Times New Roman" w:cs="Times New Roman"/>
                <w:color w:val="000000"/>
              </w:rPr>
              <w:t>23.10%</w:t>
            </w:r>
          </w:p>
        </w:tc>
        <w:tc>
          <w:tcPr>
            <w:tcW w:w="1300" w:type="dxa"/>
            <w:tcBorders>
              <w:top w:val="nil"/>
              <w:left w:val="single" w:sz="18" w:space="0" w:color="auto"/>
              <w:bottom w:val="single" w:sz="8" w:space="0" w:color="000000"/>
              <w:right w:val="single" w:sz="8" w:space="0" w:color="auto"/>
            </w:tcBorders>
            <w:shd w:val="clear" w:color="auto" w:fill="auto"/>
            <w:vAlign w:val="center"/>
            <w:hideMark/>
          </w:tcPr>
          <w:p w14:paraId="75BB909F" w14:textId="77777777" w:rsidR="008C0B22" w:rsidRPr="008C0B22" w:rsidRDefault="008C0B22" w:rsidP="002E1632">
            <w:pPr>
              <w:keepNext/>
              <w:keepLines/>
              <w:jc w:val="right"/>
              <w:rPr>
                <w:rFonts w:ascii="Times New Roman" w:eastAsia="Times New Roman" w:hAnsi="Times New Roman" w:cs="Times New Roman"/>
                <w:color w:val="000000"/>
              </w:rPr>
            </w:pPr>
            <w:r w:rsidRPr="008C0B22">
              <w:rPr>
                <w:rFonts w:ascii="Times New Roman" w:eastAsia="Times New Roman" w:hAnsi="Times New Roman" w:cs="Times New Roman"/>
                <w:color w:val="000000"/>
              </w:rPr>
              <w:t>14.50%</w:t>
            </w:r>
          </w:p>
        </w:tc>
      </w:tr>
      <w:tr w:rsidR="008C0B22" w:rsidRPr="008C0B22" w14:paraId="6E3382F0" w14:textId="77777777" w:rsidTr="00C110EB">
        <w:trPr>
          <w:trHeight w:val="300"/>
        </w:trPr>
        <w:tc>
          <w:tcPr>
            <w:tcW w:w="6160" w:type="dxa"/>
            <w:tcBorders>
              <w:top w:val="nil"/>
              <w:left w:val="single" w:sz="8" w:space="0" w:color="auto"/>
              <w:bottom w:val="nil"/>
              <w:right w:val="single" w:sz="18" w:space="0" w:color="auto"/>
            </w:tcBorders>
            <w:shd w:val="clear" w:color="auto" w:fill="auto"/>
            <w:vAlign w:val="center"/>
            <w:hideMark/>
          </w:tcPr>
          <w:p w14:paraId="4EC66D8B" w14:textId="41EFFCDE" w:rsidR="008C0B22" w:rsidRPr="008C0B22" w:rsidRDefault="008C0B22" w:rsidP="002E1632">
            <w:pPr>
              <w:keepNext/>
              <w:keepLines/>
              <w:rPr>
                <w:rFonts w:ascii="Times New Roman" w:eastAsia="Times New Roman" w:hAnsi="Times New Roman" w:cs="Times New Roman"/>
                <w:color w:val="000000"/>
              </w:rPr>
            </w:pPr>
            <w:r w:rsidRPr="008C0B22">
              <w:rPr>
                <w:rFonts w:ascii="Times New Roman" w:eastAsia="Times New Roman" w:hAnsi="Times New Roman" w:cs="Times New Roman"/>
                <w:color w:val="000000"/>
              </w:rPr>
              <w:t xml:space="preserve">Converted to </w:t>
            </w:r>
            <w:r w:rsidR="006153AB">
              <w:rPr>
                <w:rFonts w:ascii="Times New Roman" w:eastAsia="Times New Roman" w:hAnsi="Times New Roman" w:cs="Times New Roman"/>
                <w:color w:val="000000"/>
              </w:rPr>
              <w:t>Chapter 13</w:t>
            </w:r>
          </w:p>
        </w:tc>
        <w:tc>
          <w:tcPr>
            <w:tcW w:w="1300" w:type="dxa"/>
            <w:tcBorders>
              <w:top w:val="nil"/>
              <w:left w:val="single" w:sz="18" w:space="0" w:color="auto"/>
              <w:bottom w:val="single" w:sz="8" w:space="0" w:color="000000"/>
              <w:right w:val="single" w:sz="18" w:space="0" w:color="auto"/>
            </w:tcBorders>
            <w:shd w:val="clear" w:color="auto" w:fill="auto"/>
            <w:vAlign w:val="center"/>
            <w:hideMark/>
          </w:tcPr>
          <w:p w14:paraId="2D65422B" w14:textId="77777777" w:rsidR="008C0B22" w:rsidRPr="008C0B22" w:rsidRDefault="008C0B22" w:rsidP="002E1632">
            <w:pPr>
              <w:keepNext/>
              <w:keepLines/>
              <w:jc w:val="right"/>
              <w:rPr>
                <w:rFonts w:ascii="Times New Roman" w:eastAsia="Times New Roman" w:hAnsi="Times New Roman" w:cs="Times New Roman"/>
                <w:color w:val="000000"/>
              </w:rPr>
            </w:pPr>
            <w:r w:rsidRPr="008C0B22">
              <w:rPr>
                <w:rFonts w:ascii="Times New Roman" w:eastAsia="Times New Roman" w:hAnsi="Times New Roman" w:cs="Times New Roman"/>
                <w:color w:val="000000"/>
              </w:rPr>
              <w:t>1.20%</w:t>
            </w:r>
          </w:p>
        </w:tc>
        <w:tc>
          <w:tcPr>
            <w:tcW w:w="1300" w:type="dxa"/>
            <w:tcBorders>
              <w:top w:val="nil"/>
              <w:left w:val="single" w:sz="18" w:space="0" w:color="auto"/>
              <w:bottom w:val="single" w:sz="8" w:space="0" w:color="000000"/>
              <w:right w:val="single" w:sz="8" w:space="0" w:color="auto"/>
            </w:tcBorders>
            <w:shd w:val="clear" w:color="auto" w:fill="auto"/>
            <w:vAlign w:val="center"/>
            <w:hideMark/>
          </w:tcPr>
          <w:p w14:paraId="20A828D7" w14:textId="77777777" w:rsidR="008C0B22" w:rsidRPr="008C0B22" w:rsidRDefault="008C0B22" w:rsidP="002E1632">
            <w:pPr>
              <w:keepNext/>
              <w:keepLines/>
              <w:jc w:val="right"/>
              <w:rPr>
                <w:rFonts w:ascii="Times New Roman" w:eastAsia="Times New Roman" w:hAnsi="Times New Roman" w:cs="Times New Roman"/>
                <w:color w:val="000000"/>
              </w:rPr>
            </w:pPr>
            <w:r w:rsidRPr="008C0B22">
              <w:rPr>
                <w:rFonts w:ascii="Times New Roman" w:eastAsia="Times New Roman" w:hAnsi="Times New Roman" w:cs="Times New Roman"/>
                <w:color w:val="000000"/>
              </w:rPr>
              <w:t>1.10%</w:t>
            </w:r>
          </w:p>
        </w:tc>
      </w:tr>
      <w:tr w:rsidR="008C0B22" w:rsidRPr="008C0B22" w14:paraId="5D31F1D7" w14:textId="77777777" w:rsidTr="00C110EB">
        <w:trPr>
          <w:trHeight w:val="320"/>
        </w:trPr>
        <w:tc>
          <w:tcPr>
            <w:tcW w:w="6160" w:type="dxa"/>
            <w:tcBorders>
              <w:top w:val="nil"/>
              <w:left w:val="single" w:sz="8" w:space="0" w:color="auto"/>
              <w:bottom w:val="single" w:sz="8" w:space="0" w:color="auto"/>
              <w:right w:val="single" w:sz="18" w:space="0" w:color="auto"/>
            </w:tcBorders>
            <w:shd w:val="clear" w:color="auto" w:fill="auto"/>
            <w:vAlign w:val="center"/>
            <w:hideMark/>
          </w:tcPr>
          <w:p w14:paraId="0D5545F9" w14:textId="77777777" w:rsidR="008C0B22" w:rsidRPr="008C0B22" w:rsidRDefault="008C0B22" w:rsidP="002E1632">
            <w:pPr>
              <w:keepNext/>
              <w:keepLines/>
              <w:rPr>
                <w:rFonts w:ascii="Times New Roman" w:eastAsia="Times New Roman" w:hAnsi="Times New Roman" w:cs="Times New Roman"/>
                <w:color w:val="000000"/>
              </w:rPr>
            </w:pPr>
            <w:r w:rsidRPr="008C0B22">
              <w:rPr>
                <w:rFonts w:ascii="Times New Roman" w:eastAsia="Times New Roman" w:hAnsi="Times New Roman" w:cs="Times New Roman"/>
                <w:color w:val="000000"/>
              </w:rPr>
              <w:t>Dismissed</w:t>
            </w:r>
          </w:p>
        </w:tc>
        <w:tc>
          <w:tcPr>
            <w:tcW w:w="1300" w:type="dxa"/>
            <w:tcBorders>
              <w:top w:val="nil"/>
              <w:left w:val="single" w:sz="18" w:space="0" w:color="auto"/>
              <w:bottom w:val="single" w:sz="8" w:space="0" w:color="auto"/>
              <w:right w:val="single" w:sz="18" w:space="0" w:color="auto"/>
            </w:tcBorders>
            <w:shd w:val="clear" w:color="auto" w:fill="auto"/>
            <w:vAlign w:val="center"/>
            <w:hideMark/>
          </w:tcPr>
          <w:p w14:paraId="1B6A18D5" w14:textId="77777777" w:rsidR="008C0B22" w:rsidRPr="008C0B22" w:rsidRDefault="008C0B22" w:rsidP="002E1632">
            <w:pPr>
              <w:keepNext/>
              <w:keepLines/>
              <w:jc w:val="right"/>
              <w:rPr>
                <w:rFonts w:ascii="Times New Roman" w:eastAsia="Times New Roman" w:hAnsi="Times New Roman" w:cs="Times New Roman"/>
                <w:color w:val="000000"/>
              </w:rPr>
            </w:pPr>
            <w:r w:rsidRPr="008C0B22">
              <w:rPr>
                <w:rFonts w:ascii="Times New Roman" w:eastAsia="Times New Roman" w:hAnsi="Times New Roman" w:cs="Times New Roman"/>
                <w:color w:val="000000"/>
              </w:rPr>
              <w:t>35,7%</w:t>
            </w:r>
          </w:p>
        </w:tc>
        <w:tc>
          <w:tcPr>
            <w:tcW w:w="1300" w:type="dxa"/>
            <w:tcBorders>
              <w:top w:val="nil"/>
              <w:left w:val="single" w:sz="18" w:space="0" w:color="auto"/>
              <w:bottom w:val="single" w:sz="8" w:space="0" w:color="auto"/>
              <w:right w:val="single" w:sz="8" w:space="0" w:color="auto"/>
            </w:tcBorders>
            <w:shd w:val="clear" w:color="auto" w:fill="auto"/>
            <w:vAlign w:val="center"/>
            <w:hideMark/>
          </w:tcPr>
          <w:p w14:paraId="50475FC5" w14:textId="77777777" w:rsidR="008C0B22" w:rsidRPr="008C0B22" w:rsidRDefault="008C0B22" w:rsidP="002E1632">
            <w:pPr>
              <w:keepNext/>
              <w:keepLines/>
              <w:jc w:val="right"/>
              <w:rPr>
                <w:rFonts w:ascii="Times New Roman" w:eastAsia="Times New Roman" w:hAnsi="Times New Roman" w:cs="Times New Roman"/>
                <w:color w:val="000000"/>
              </w:rPr>
            </w:pPr>
            <w:r w:rsidRPr="008C0B22">
              <w:rPr>
                <w:rFonts w:ascii="Times New Roman" w:eastAsia="Times New Roman" w:hAnsi="Times New Roman" w:cs="Times New Roman"/>
                <w:color w:val="000000"/>
              </w:rPr>
              <w:t>34.90%</w:t>
            </w:r>
          </w:p>
        </w:tc>
      </w:tr>
      <w:tr w:rsidR="008C0B22" w:rsidRPr="008C0B22" w14:paraId="5E934B9E" w14:textId="77777777" w:rsidTr="00C110EB">
        <w:trPr>
          <w:trHeight w:val="320"/>
        </w:trPr>
        <w:tc>
          <w:tcPr>
            <w:tcW w:w="6160" w:type="dxa"/>
            <w:tcBorders>
              <w:top w:val="nil"/>
              <w:left w:val="single" w:sz="8" w:space="0" w:color="auto"/>
              <w:bottom w:val="double" w:sz="6" w:space="0" w:color="auto"/>
              <w:right w:val="single" w:sz="18" w:space="0" w:color="auto"/>
            </w:tcBorders>
            <w:shd w:val="clear" w:color="auto" w:fill="auto"/>
            <w:vAlign w:val="center"/>
            <w:hideMark/>
          </w:tcPr>
          <w:p w14:paraId="6017A6CF" w14:textId="77777777" w:rsidR="008C0B22" w:rsidRPr="008C0B22" w:rsidRDefault="008C0B22" w:rsidP="002E1632">
            <w:pPr>
              <w:keepNext/>
              <w:keepLines/>
              <w:rPr>
                <w:rFonts w:ascii="Times New Roman" w:eastAsia="Times New Roman" w:hAnsi="Times New Roman" w:cs="Times New Roman"/>
                <w:color w:val="000000"/>
              </w:rPr>
            </w:pPr>
            <w:r w:rsidRPr="008C0B22">
              <w:rPr>
                <w:rFonts w:ascii="Times New Roman" w:eastAsia="Times New Roman" w:hAnsi="Times New Roman" w:cs="Times New Roman"/>
                <w:color w:val="000000"/>
              </w:rPr>
              <w:t>Discharge Denied, Revoked, Waived or Withheld</w:t>
            </w:r>
          </w:p>
        </w:tc>
        <w:tc>
          <w:tcPr>
            <w:tcW w:w="1300" w:type="dxa"/>
            <w:tcBorders>
              <w:top w:val="nil"/>
              <w:left w:val="single" w:sz="18" w:space="0" w:color="auto"/>
              <w:bottom w:val="double" w:sz="6" w:space="0" w:color="auto"/>
              <w:right w:val="single" w:sz="18" w:space="0" w:color="auto"/>
            </w:tcBorders>
            <w:shd w:val="clear" w:color="auto" w:fill="auto"/>
            <w:vAlign w:val="center"/>
            <w:hideMark/>
          </w:tcPr>
          <w:p w14:paraId="06674E03" w14:textId="77777777" w:rsidR="008C0B22" w:rsidRPr="008C0B22" w:rsidRDefault="008C0B22" w:rsidP="002E1632">
            <w:pPr>
              <w:keepNext/>
              <w:keepLines/>
              <w:jc w:val="right"/>
              <w:rPr>
                <w:rFonts w:ascii="Times New Roman" w:eastAsia="Times New Roman" w:hAnsi="Times New Roman" w:cs="Times New Roman"/>
                <w:color w:val="000000"/>
              </w:rPr>
            </w:pPr>
            <w:r w:rsidRPr="008C0B22">
              <w:rPr>
                <w:rFonts w:ascii="Times New Roman" w:eastAsia="Times New Roman" w:hAnsi="Times New Roman" w:cs="Times New Roman"/>
                <w:color w:val="000000"/>
              </w:rPr>
              <w:t>6.10%</w:t>
            </w:r>
          </w:p>
        </w:tc>
        <w:tc>
          <w:tcPr>
            <w:tcW w:w="1300" w:type="dxa"/>
            <w:tcBorders>
              <w:top w:val="nil"/>
              <w:left w:val="single" w:sz="18" w:space="0" w:color="auto"/>
              <w:bottom w:val="double" w:sz="6" w:space="0" w:color="auto"/>
              <w:right w:val="single" w:sz="8" w:space="0" w:color="auto"/>
            </w:tcBorders>
            <w:shd w:val="clear" w:color="auto" w:fill="auto"/>
            <w:vAlign w:val="center"/>
            <w:hideMark/>
          </w:tcPr>
          <w:p w14:paraId="44287167" w14:textId="77777777" w:rsidR="008C0B22" w:rsidRPr="008C0B22" w:rsidRDefault="008C0B22" w:rsidP="002E1632">
            <w:pPr>
              <w:keepNext/>
              <w:keepLines/>
              <w:jc w:val="right"/>
              <w:rPr>
                <w:rFonts w:ascii="Times New Roman" w:eastAsia="Times New Roman" w:hAnsi="Times New Roman" w:cs="Times New Roman"/>
                <w:color w:val="000000"/>
              </w:rPr>
            </w:pPr>
            <w:r w:rsidRPr="008C0B22">
              <w:rPr>
                <w:rFonts w:ascii="Times New Roman" w:eastAsia="Times New Roman" w:hAnsi="Times New Roman" w:cs="Times New Roman"/>
                <w:color w:val="000000"/>
              </w:rPr>
              <w:t>5.20%</w:t>
            </w:r>
          </w:p>
        </w:tc>
      </w:tr>
      <w:tr w:rsidR="008C0B22" w:rsidRPr="008C0B22" w14:paraId="0A5AD230" w14:textId="77777777" w:rsidTr="00C110EB">
        <w:trPr>
          <w:trHeight w:val="340"/>
        </w:trPr>
        <w:tc>
          <w:tcPr>
            <w:tcW w:w="6160" w:type="dxa"/>
            <w:tcBorders>
              <w:top w:val="nil"/>
              <w:left w:val="single" w:sz="8" w:space="0" w:color="auto"/>
              <w:bottom w:val="single" w:sz="8" w:space="0" w:color="auto"/>
              <w:right w:val="single" w:sz="18" w:space="0" w:color="auto"/>
            </w:tcBorders>
            <w:shd w:val="clear" w:color="auto" w:fill="auto"/>
            <w:vAlign w:val="center"/>
            <w:hideMark/>
          </w:tcPr>
          <w:p w14:paraId="53C8C603" w14:textId="77777777" w:rsidR="008C0B22" w:rsidRPr="008C0B22" w:rsidRDefault="008C0B22" w:rsidP="002E1632">
            <w:pPr>
              <w:keepNext/>
              <w:keepLines/>
              <w:rPr>
                <w:rFonts w:ascii="Times New Roman" w:eastAsia="Times New Roman" w:hAnsi="Times New Roman" w:cs="Times New Roman"/>
                <w:color w:val="000000"/>
              </w:rPr>
            </w:pPr>
            <w:r w:rsidRPr="008C0B22">
              <w:rPr>
                <w:rFonts w:ascii="Times New Roman" w:eastAsia="Times New Roman" w:hAnsi="Times New Roman" w:cs="Times New Roman"/>
                <w:color w:val="000000"/>
              </w:rPr>
              <w:t>Case Transferred</w:t>
            </w:r>
          </w:p>
        </w:tc>
        <w:tc>
          <w:tcPr>
            <w:tcW w:w="1300" w:type="dxa"/>
            <w:tcBorders>
              <w:top w:val="nil"/>
              <w:left w:val="single" w:sz="18" w:space="0" w:color="auto"/>
              <w:bottom w:val="single" w:sz="8" w:space="0" w:color="auto"/>
              <w:right w:val="single" w:sz="18" w:space="0" w:color="auto"/>
            </w:tcBorders>
            <w:shd w:val="clear" w:color="auto" w:fill="auto"/>
            <w:vAlign w:val="center"/>
            <w:hideMark/>
          </w:tcPr>
          <w:p w14:paraId="58614438" w14:textId="77777777" w:rsidR="008C0B22" w:rsidRPr="008C0B22" w:rsidRDefault="008C0B22" w:rsidP="002E1632">
            <w:pPr>
              <w:keepNext/>
              <w:keepLines/>
              <w:jc w:val="right"/>
              <w:rPr>
                <w:rFonts w:ascii="Times New Roman" w:eastAsia="Times New Roman" w:hAnsi="Times New Roman" w:cs="Times New Roman"/>
                <w:color w:val="000000"/>
              </w:rPr>
            </w:pPr>
            <w:r w:rsidRPr="008C0B22">
              <w:rPr>
                <w:rFonts w:ascii="Times New Roman" w:eastAsia="Times New Roman" w:hAnsi="Times New Roman" w:cs="Times New Roman"/>
                <w:color w:val="000000"/>
              </w:rPr>
              <w:t>1.20%</w:t>
            </w:r>
          </w:p>
        </w:tc>
        <w:tc>
          <w:tcPr>
            <w:tcW w:w="1300" w:type="dxa"/>
            <w:tcBorders>
              <w:top w:val="nil"/>
              <w:left w:val="single" w:sz="18" w:space="0" w:color="auto"/>
              <w:bottom w:val="single" w:sz="8" w:space="0" w:color="auto"/>
              <w:right w:val="single" w:sz="8" w:space="0" w:color="auto"/>
            </w:tcBorders>
            <w:shd w:val="clear" w:color="auto" w:fill="auto"/>
            <w:vAlign w:val="center"/>
            <w:hideMark/>
          </w:tcPr>
          <w:p w14:paraId="2682FE19" w14:textId="77777777" w:rsidR="008C0B22" w:rsidRPr="008C0B22" w:rsidRDefault="008C0B22" w:rsidP="002E1632">
            <w:pPr>
              <w:keepNext/>
              <w:keepLines/>
              <w:jc w:val="right"/>
              <w:rPr>
                <w:rFonts w:ascii="Times New Roman" w:eastAsia="Times New Roman" w:hAnsi="Times New Roman" w:cs="Times New Roman"/>
                <w:color w:val="000000"/>
              </w:rPr>
            </w:pPr>
            <w:r w:rsidRPr="008C0B22">
              <w:rPr>
                <w:rFonts w:ascii="Times New Roman" w:eastAsia="Times New Roman" w:hAnsi="Times New Roman" w:cs="Times New Roman"/>
                <w:color w:val="000000"/>
              </w:rPr>
              <w:t>1.20%</w:t>
            </w:r>
          </w:p>
        </w:tc>
      </w:tr>
      <w:tr w:rsidR="008C0B22" w:rsidRPr="008C0B22" w14:paraId="30E63CA4" w14:textId="77777777" w:rsidTr="00C110EB">
        <w:trPr>
          <w:trHeight w:val="620"/>
        </w:trPr>
        <w:tc>
          <w:tcPr>
            <w:tcW w:w="6160" w:type="dxa"/>
            <w:tcBorders>
              <w:top w:val="nil"/>
              <w:left w:val="single" w:sz="8" w:space="0" w:color="auto"/>
              <w:bottom w:val="double" w:sz="6" w:space="0" w:color="auto"/>
              <w:right w:val="single" w:sz="18" w:space="0" w:color="auto"/>
            </w:tcBorders>
            <w:shd w:val="clear" w:color="auto" w:fill="auto"/>
            <w:vAlign w:val="center"/>
            <w:hideMark/>
          </w:tcPr>
          <w:p w14:paraId="593E2B64" w14:textId="77777777" w:rsidR="008C0B22" w:rsidRPr="008C0B22" w:rsidRDefault="008C0B22" w:rsidP="002E1632">
            <w:pPr>
              <w:keepNext/>
              <w:keepLines/>
              <w:rPr>
                <w:rFonts w:ascii="Times New Roman" w:eastAsia="Times New Roman" w:hAnsi="Times New Roman" w:cs="Times New Roman"/>
                <w:color w:val="000000"/>
              </w:rPr>
            </w:pPr>
            <w:r w:rsidRPr="008C0B22">
              <w:rPr>
                <w:rFonts w:ascii="Times New Roman" w:eastAsia="Times New Roman" w:hAnsi="Times New Roman" w:cs="Times New Roman"/>
                <w:color w:val="000000"/>
              </w:rPr>
              <w:t>Other Procedural Disposition (Filed in Error, Split or Closed in Error)</w:t>
            </w:r>
          </w:p>
        </w:tc>
        <w:tc>
          <w:tcPr>
            <w:tcW w:w="1300" w:type="dxa"/>
            <w:tcBorders>
              <w:top w:val="nil"/>
              <w:left w:val="single" w:sz="18" w:space="0" w:color="auto"/>
              <w:bottom w:val="double" w:sz="6" w:space="0" w:color="auto"/>
              <w:right w:val="single" w:sz="18" w:space="0" w:color="auto"/>
            </w:tcBorders>
            <w:shd w:val="clear" w:color="auto" w:fill="auto"/>
            <w:vAlign w:val="center"/>
            <w:hideMark/>
          </w:tcPr>
          <w:p w14:paraId="41137EC2" w14:textId="77777777" w:rsidR="008C0B22" w:rsidRPr="008C0B22" w:rsidRDefault="008C0B22" w:rsidP="002E1632">
            <w:pPr>
              <w:keepNext/>
              <w:keepLines/>
              <w:jc w:val="right"/>
              <w:rPr>
                <w:rFonts w:ascii="Times New Roman" w:eastAsia="Times New Roman" w:hAnsi="Times New Roman" w:cs="Times New Roman"/>
                <w:color w:val="000000"/>
              </w:rPr>
            </w:pPr>
            <w:r w:rsidRPr="008C0B22">
              <w:rPr>
                <w:rFonts w:ascii="Times New Roman" w:eastAsia="Times New Roman" w:hAnsi="Times New Roman" w:cs="Times New Roman"/>
                <w:color w:val="000000"/>
              </w:rPr>
              <w:t>0.10%</w:t>
            </w:r>
          </w:p>
        </w:tc>
        <w:tc>
          <w:tcPr>
            <w:tcW w:w="1300" w:type="dxa"/>
            <w:tcBorders>
              <w:top w:val="nil"/>
              <w:left w:val="single" w:sz="18" w:space="0" w:color="auto"/>
              <w:bottom w:val="double" w:sz="6" w:space="0" w:color="auto"/>
              <w:right w:val="single" w:sz="8" w:space="0" w:color="auto"/>
            </w:tcBorders>
            <w:shd w:val="clear" w:color="auto" w:fill="auto"/>
            <w:vAlign w:val="center"/>
            <w:hideMark/>
          </w:tcPr>
          <w:p w14:paraId="23F2B3BE" w14:textId="77777777" w:rsidR="008C0B22" w:rsidRPr="008C0B22" w:rsidRDefault="008C0B22" w:rsidP="002E1632">
            <w:pPr>
              <w:keepNext/>
              <w:keepLines/>
              <w:jc w:val="right"/>
              <w:rPr>
                <w:rFonts w:ascii="Times New Roman" w:eastAsia="Times New Roman" w:hAnsi="Times New Roman" w:cs="Times New Roman"/>
                <w:color w:val="000000"/>
              </w:rPr>
            </w:pPr>
            <w:r w:rsidRPr="008C0B22">
              <w:rPr>
                <w:rFonts w:ascii="Times New Roman" w:eastAsia="Times New Roman" w:hAnsi="Times New Roman" w:cs="Times New Roman"/>
                <w:color w:val="000000"/>
              </w:rPr>
              <w:t>0.20%</w:t>
            </w:r>
          </w:p>
        </w:tc>
      </w:tr>
      <w:tr w:rsidR="008C0B22" w:rsidRPr="008C0B22" w14:paraId="03A37D38" w14:textId="77777777" w:rsidTr="00C110EB">
        <w:trPr>
          <w:trHeight w:val="340"/>
        </w:trPr>
        <w:tc>
          <w:tcPr>
            <w:tcW w:w="6160" w:type="dxa"/>
            <w:tcBorders>
              <w:top w:val="nil"/>
              <w:left w:val="single" w:sz="8" w:space="0" w:color="auto"/>
              <w:bottom w:val="double" w:sz="6" w:space="0" w:color="auto"/>
              <w:right w:val="single" w:sz="18" w:space="0" w:color="auto"/>
            </w:tcBorders>
            <w:shd w:val="clear" w:color="auto" w:fill="auto"/>
            <w:vAlign w:val="center"/>
            <w:hideMark/>
          </w:tcPr>
          <w:p w14:paraId="0BB13766" w14:textId="77777777" w:rsidR="008C0B22" w:rsidRPr="008C0B22" w:rsidRDefault="008C0B22" w:rsidP="002E1632">
            <w:pPr>
              <w:keepNext/>
              <w:keepLines/>
              <w:rPr>
                <w:rFonts w:ascii="Times New Roman" w:eastAsia="Times New Roman" w:hAnsi="Times New Roman" w:cs="Times New Roman"/>
                <w:b/>
                <w:bCs/>
                <w:color w:val="000000"/>
              </w:rPr>
            </w:pPr>
            <w:r w:rsidRPr="008C0B22">
              <w:rPr>
                <w:rFonts w:ascii="Times New Roman" w:eastAsia="Times New Roman" w:hAnsi="Times New Roman" w:cs="Times New Roman"/>
                <w:b/>
                <w:bCs/>
                <w:color w:val="000000"/>
              </w:rPr>
              <w:t>Total "Failure"</w:t>
            </w:r>
          </w:p>
        </w:tc>
        <w:tc>
          <w:tcPr>
            <w:tcW w:w="1300" w:type="dxa"/>
            <w:tcBorders>
              <w:top w:val="nil"/>
              <w:left w:val="single" w:sz="18" w:space="0" w:color="auto"/>
              <w:bottom w:val="double" w:sz="6" w:space="0" w:color="auto"/>
              <w:right w:val="single" w:sz="18" w:space="0" w:color="auto"/>
            </w:tcBorders>
            <w:shd w:val="clear" w:color="auto" w:fill="auto"/>
            <w:vAlign w:val="center"/>
            <w:hideMark/>
          </w:tcPr>
          <w:p w14:paraId="28A6F309" w14:textId="77777777" w:rsidR="008C0B22" w:rsidRPr="008C0B22" w:rsidRDefault="008C0B22" w:rsidP="002E1632">
            <w:pPr>
              <w:keepNext/>
              <w:keepLines/>
              <w:jc w:val="right"/>
              <w:rPr>
                <w:rFonts w:ascii="Times New Roman" w:eastAsia="Times New Roman" w:hAnsi="Times New Roman" w:cs="Times New Roman"/>
                <w:b/>
                <w:bCs/>
                <w:color w:val="000000"/>
              </w:rPr>
            </w:pPr>
            <w:r w:rsidRPr="008C0B22">
              <w:rPr>
                <w:rFonts w:ascii="Times New Roman" w:eastAsia="Times New Roman" w:hAnsi="Times New Roman" w:cs="Times New Roman"/>
                <w:b/>
                <w:bCs/>
                <w:color w:val="000000"/>
              </w:rPr>
              <w:t>67.50%</w:t>
            </w:r>
          </w:p>
        </w:tc>
        <w:tc>
          <w:tcPr>
            <w:tcW w:w="1300" w:type="dxa"/>
            <w:tcBorders>
              <w:top w:val="nil"/>
              <w:left w:val="single" w:sz="18" w:space="0" w:color="auto"/>
              <w:bottom w:val="double" w:sz="6" w:space="0" w:color="auto"/>
              <w:right w:val="single" w:sz="8" w:space="0" w:color="auto"/>
            </w:tcBorders>
            <w:shd w:val="clear" w:color="auto" w:fill="auto"/>
            <w:vAlign w:val="center"/>
            <w:hideMark/>
          </w:tcPr>
          <w:p w14:paraId="27C675D7" w14:textId="77777777" w:rsidR="008C0B22" w:rsidRPr="008C0B22" w:rsidRDefault="008C0B22" w:rsidP="002E1632">
            <w:pPr>
              <w:keepNext/>
              <w:keepLines/>
              <w:jc w:val="right"/>
              <w:rPr>
                <w:rFonts w:ascii="Times New Roman" w:eastAsia="Times New Roman" w:hAnsi="Times New Roman" w:cs="Times New Roman"/>
                <w:b/>
                <w:bCs/>
                <w:color w:val="000000"/>
              </w:rPr>
            </w:pPr>
            <w:r w:rsidRPr="008C0B22">
              <w:rPr>
                <w:rFonts w:ascii="Times New Roman" w:eastAsia="Times New Roman" w:hAnsi="Times New Roman" w:cs="Times New Roman"/>
                <w:b/>
                <w:bCs/>
                <w:color w:val="000000"/>
              </w:rPr>
              <w:t>571%</w:t>
            </w:r>
          </w:p>
        </w:tc>
      </w:tr>
      <w:tr w:rsidR="008C0B22" w:rsidRPr="008C0B22" w14:paraId="6E0AAB42" w14:textId="77777777" w:rsidTr="00C110EB">
        <w:trPr>
          <w:trHeight w:val="340"/>
        </w:trPr>
        <w:tc>
          <w:tcPr>
            <w:tcW w:w="6160" w:type="dxa"/>
            <w:tcBorders>
              <w:top w:val="single" w:sz="18" w:space="0" w:color="auto"/>
              <w:left w:val="single" w:sz="8" w:space="0" w:color="auto"/>
              <w:bottom w:val="single" w:sz="8" w:space="0" w:color="auto"/>
              <w:right w:val="single" w:sz="18" w:space="0" w:color="auto"/>
            </w:tcBorders>
            <w:shd w:val="clear" w:color="auto" w:fill="auto"/>
            <w:vAlign w:val="center"/>
            <w:hideMark/>
          </w:tcPr>
          <w:p w14:paraId="32078517" w14:textId="77777777" w:rsidR="008C0B22" w:rsidRPr="008C0B22" w:rsidRDefault="008C0B22" w:rsidP="002E1632">
            <w:pPr>
              <w:keepNext/>
              <w:keepLines/>
              <w:rPr>
                <w:rFonts w:ascii="Times New Roman" w:eastAsia="Times New Roman" w:hAnsi="Times New Roman" w:cs="Times New Roman"/>
                <w:b/>
                <w:bCs/>
                <w:color w:val="000000"/>
              </w:rPr>
            </w:pPr>
            <w:r w:rsidRPr="008C0B22">
              <w:rPr>
                <w:rFonts w:ascii="Times New Roman" w:eastAsia="Times New Roman" w:hAnsi="Times New Roman" w:cs="Times New Roman"/>
                <w:b/>
                <w:bCs/>
                <w:color w:val="000000"/>
              </w:rPr>
              <w:t>Total Number</w:t>
            </w:r>
          </w:p>
        </w:tc>
        <w:tc>
          <w:tcPr>
            <w:tcW w:w="1300" w:type="dxa"/>
            <w:tcBorders>
              <w:top w:val="single" w:sz="18" w:space="0" w:color="auto"/>
              <w:left w:val="single" w:sz="18" w:space="0" w:color="auto"/>
              <w:bottom w:val="single" w:sz="8" w:space="0" w:color="auto"/>
              <w:right w:val="single" w:sz="18" w:space="0" w:color="auto"/>
            </w:tcBorders>
            <w:shd w:val="clear" w:color="auto" w:fill="auto"/>
            <w:noWrap/>
            <w:vAlign w:val="center"/>
            <w:hideMark/>
          </w:tcPr>
          <w:p w14:paraId="6589A296" w14:textId="77777777" w:rsidR="008C0B22" w:rsidRPr="008C0B22" w:rsidRDefault="008C0B22" w:rsidP="002E1632">
            <w:pPr>
              <w:keepNext/>
              <w:keepLines/>
              <w:jc w:val="right"/>
              <w:rPr>
                <w:rFonts w:ascii="Times New Roman" w:eastAsia="Times New Roman" w:hAnsi="Times New Roman" w:cs="Times New Roman"/>
                <w:b/>
                <w:bCs/>
                <w:color w:val="000000"/>
              </w:rPr>
            </w:pPr>
            <w:r w:rsidRPr="008C0B22">
              <w:rPr>
                <w:rFonts w:ascii="Times New Roman" w:eastAsia="Times New Roman" w:hAnsi="Times New Roman" w:cs="Times New Roman"/>
                <w:b/>
                <w:bCs/>
                <w:color w:val="000000"/>
              </w:rPr>
              <w:t>4,049</w:t>
            </w:r>
          </w:p>
        </w:tc>
        <w:tc>
          <w:tcPr>
            <w:tcW w:w="1300" w:type="dxa"/>
            <w:tcBorders>
              <w:top w:val="single" w:sz="18" w:space="0" w:color="auto"/>
              <w:left w:val="single" w:sz="18" w:space="0" w:color="auto"/>
              <w:bottom w:val="single" w:sz="8" w:space="0" w:color="auto"/>
              <w:right w:val="single" w:sz="8" w:space="0" w:color="auto"/>
            </w:tcBorders>
            <w:shd w:val="clear" w:color="auto" w:fill="auto"/>
            <w:noWrap/>
            <w:vAlign w:val="center"/>
            <w:hideMark/>
          </w:tcPr>
          <w:p w14:paraId="6C2F4F86" w14:textId="77777777" w:rsidR="008C0B22" w:rsidRPr="008C0B22" w:rsidRDefault="008C0B22" w:rsidP="002E1632">
            <w:pPr>
              <w:keepNext/>
              <w:keepLines/>
              <w:jc w:val="right"/>
              <w:rPr>
                <w:rFonts w:ascii="Times New Roman" w:eastAsia="Times New Roman" w:hAnsi="Times New Roman" w:cs="Times New Roman"/>
                <w:b/>
                <w:bCs/>
                <w:color w:val="000000"/>
              </w:rPr>
            </w:pPr>
            <w:r w:rsidRPr="008C0B22">
              <w:rPr>
                <w:rFonts w:ascii="Times New Roman" w:eastAsia="Times New Roman" w:hAnsi="Times New Roman" w:cs="Times New Roman"/>
                <w:b/>
                <w:bCs/>
                <w:color w:val="000000"/>
              </w:rPr>
              <w:t>2,617</w:t>
            </w:r>
          </w:p>
        </w:tc>
      </w:tr>
    </w:tbl>
    <w:p w14:paraId="08E94561" w14:textId="77777777" w:rsidR="00D85792" w:rsidRDefault="00D85792" w:rsidP="00B30C54">
      <w:pPr>
        <w:spacing w:line="480" w:lineRule="auto"/>
        <w:ind w:firstLine="720"/>
        <w:rPr>
          <w:rFonts w:ascii="Times New Roman" w:hAnsi="Times New Roman" w:cs="Times New Roman"/>
        </w:rPr>
      </w:pPr>
    </w:p>
    <w:p w14:paraId="3CC5C088" w14:textId="41E620F1" w:rsidR="0014635D" w:rsidRDefault="00EC343B" w:rsidP="00B30C54">
      <w:pPr>
        <w:spacing w:line="480" w:lineRule="auto"/>
        <w:ind w:firstLine="720"/>
        <w:rPr>
          <w:rFonts w:ascii="Times New Roman" w:hAnsi="Times New Roman" w:cs="Times New Roman"/>
        </w:rPr>
      </w:pPr>
      <w:r>
        <w:rPr>
          <w:rFonts w:ascii="Times New Roman" w:hAnsi="Times New Roman" w:cs="Times New Roman"/>
        </w:rPr>
        <w:t>We recognize the limitations of our definition of success</w:t>
      </w:r>
      <w:r w:rsidR="00391D25">
        <w:rPr>
          <w:rFonts w:ascii="Times New Roman" w:hAnsi="Times New Roman" w:cs="Times New Roman"/>
        </w:rPr>
        <w:t xml:space="preserve"> as survival</w:t>
      </w:r>
      <w:r w:rsidR="00B30C54">
        <w:rPr>
          <w:rFonts w:ascii="Times New Roman" w:hAnsi="Times New Roman" w:cs="Times New Roman"/>
        </w:rPr>
        <w:t>, but it</w:t>
      </w:r>
      <w:r w:rsidR="00DB4EAD">
        <w:rPr>
          <w:rFonts w:ascii="Times New Roman" w:hAnsi="Times New Roman" w:cs="Times New Roman"/>
        </w:rPr>
        <w:t xml:space="preserve"> i</w:t>
      </w:r>
      <w:r w:rsidR="00B30C54">
        <w:rPr>
          <w:rFonts w:ascii="Times New Roman" w:hAnsi="Times New Roman" w:cs="Times New Roman"/>
        </w:rPr>
        <w:t>s the best definition we could implement, given the limitations of the data</w:t>
      </w:r>
      <w:r>
        <w:rPr>
          <w:rFonts w:ascii="Times New Roman" w:hAnsi="Times New Roman" w:cs="Times New Roman"/>
        </w:rPr>
        <w:t>.</w:t>
      </w:r>
      <w:r w:rsidR="00B30C54">
        <w:rPr>
          <w:rFonts w:ascii="Times New Roman" w:hAnsi="Times New Roman" w:cs="Times New Roman"/>
        </w:rPr>
        <w:t xml:space="preserve"> </w:t>
      </w:r>
      <w:r w:rsidR="0014635D">
        <w:rPr>
          <w:rFonts w:ascii="Times New Roman" w:hAnsi="Times New Roman" w:cs="Times New Roman"/>
        </w:rPr>
        <w:t>For several reasons, w</w:t>
      </w:r>
      <w:r w:rsidR="00B30C54">
        <w:rPr>
          <w:rFonts w:ascii="Times New Roman" w:hAnsi="Times New Roman" w:cs="Times New Roman"/>
        </w:rPr>
        <w:t>e do</w:t>
      </w:r>
      <w:r w:rsidR="00D85792">
        <w:rPr>
          <w:rFonts w:ascii="Times New Roman" w:hAnsi="Times New Roman" w:cs="Times New Roman"/>
        </w:rPr>
        <w:t xml:space="preserve"> not</w:t>
      </w:r>
      <w:r w:rsidR="00B30C54">
        <w:rPr>
          <w:rFonts w:ascii="Times New Roman" w:hAnsi="Times New Roman" w:cs="Times New Roman"/>
        </w:rPr>
        <w:t xml:space="preserve"> want to focus exclusively on discharge</w:t>
      </w:r>
      <w:r w:rsidR="0014635D">
        <w:rPr>
          <w:rFonts w:ascii="Times New Roman" w:hAnsi="Times New Roman" w:cs="Times New Roman"/>
        </w:rPr>
        <w:t>. S</w:t>
      </w:r>
      <w:r w:rsidR="00B30C54">
        <w:rPr>
          <w:rFonts w:ascii="Times New Roman" w:hAnsi="Times New Roman" w:cs="Times New Roman"/>
        </w:rPr>
        <w:t>ome debtors do</w:t>
      </w:r>
      <w:r w:rsidR="00D85792">
        <w:rPr>
          <w:rFonts w:ascii="Times New Roman" w:hAnsi="Times New Roman" w:cs="Times New Roman"/>
        </w:rPr>
        <w:t xml:space="preserve"> not</w:t>
      </w:r>
      <w:r w:rsidR="00B30C54">
        <w:rPr>
          <w:rFonts w:ascii="Times New Roman" w:hAnsi="Times New Roman" w:cs="Times New Roman"/>
        </w:rPr>
        <w:t xml:space="preserve"> need a discharge for financial recovery</w:t>
      </w:r>
      <w:r w:rsidRPr="00B912DC">
        <w:rPr>
          <w:rFonts w:ascii="Times New Roman" w:hAnsi="Times New Roman" w:cs="Times New Roman"/>
        </w:rPr>
        <w:t>. For example, chapter 13 is often criticized for seldom leading to a discharge,</w:t>
      </w:r>
      <w:r w:rsidRPr="00B912DC">
        <w:rPr>
          <w:rStyle w:val="FootnoteReference"/>
          <w:rFonts w:ascii="Times New Roman" w:hAnsi="Times New Roman" w:cs="Times New Roman"/>
        </w:rPr>
        <w:footnoteReference w:id="184"/>
      </w:r>
      <w:r w:rsidRPr="00B912DC">
        <w:rPr>
          <w:rFonts w:ascii="Times New Roman" w:hAnsi="Times New Roman" w:cs="Times New Roman"/>
        </w:rPr>
        <w:t xml:space="preserve"> but relatively few chapter 13 debtors list the receipt of a discharge as their primary goal; most commonly, the primary goal is to save the debtor’s home.</w:t>
      </w:r>
      <w:r w:rsidRPr="00B912DC">
        <w:rPr>
          <w:rStyle w:val="FootnoteReference"/>
          <w:rFonts w:ascii="Times New Roman" w:hAnsi="Times New Roman" w:cs="Times New Roman"/>
        </w:rPr>
        <w:footnoteReference w:id="185"/>
      </w:r>
      <w:r w:rsidRPr="00B912DC">
        <w:rPr>
          <w:rFonts w:ascii="Times New Roman" w:hAnsi="Times New Roman" w:cs="Times New Roman"/>
        </w:rPr>
        <w:t xml:space="preserve"> </w:t>
      </w:r>
      <w:r w:rsidR="002E1632">
        <w:rPr>
          <w:rFonts w:ascii="Times New Roman" w:hAnsi="Times New Roman" w:cs="Times New Roman"/>
        </w:rPr>
        <w:t>Whether</w:t>
      </w:r>
      <w:r w:rsidRPr="00B912DC">
        <w:rPr>
          <w:rFonts w:ascii="Times New Roman" w:hAnsi="Times New Roman" w:cs="Times New Roman"/>
        </w:rPr>
        <w:t xml:space="preserve"> bankruptcy can successfully serve </w:t>
      </w:r>
      <w:r w:rsidR="002E1632">
        <w:rPr>
          <w:rFonts w:ascii="Times New Roman" w:hAnsi="Times New Roman" w:cs="Times New Roman"/>
        </w:rPr>
        <w:t>debtor</w:t>
      </w:r>
      <w:r w:rsidRPr="00B912DC">
        <w:rPr>
          <w:rFonts w:ascii="Times New Roman" w:hAnsi="Times New Roman" w:cs="Times New Roman"/>
        </w:rPr>
        <w:t>s</w:t>
      </w:r>
      <w:r w:rsidR="002E1632">
        <w:rPr>
          <w:rFonts w:ascii="Times New Roman" w:hAnsi="Times New Roman" w:cs="Times New Roman"/>
        </w:rPr>
        <w:t>’</w:t>
      </w:r>
      <w:r w:rsidRPr="00B912DC">
        <w:rPr>
          <w:rFonts w:ascii="Times New Roman" w:hAnsi="Times New Roman" w:cs="Times New Roman"/>
        </w:rPr>
        <w:t xml:space="preserve"> interests without leading to a discharge</w:t>
      </w:r>
      <w:r w:rsidR="002E1632">
        <w:rPr>
          <w:rFonts w:ascii="Times New Roman" w:hAnsi="Times New Roman" w:cs="Times New Roman"/>
        </w:rPr>
        <w:t xml:space="preserve"> is a matter of scholarly debate</w:t>
      </w:r>
      <w:r w:rsidRPr="00B912DC">
        <w:rPr>
          <w:rFonts w:ascii="Times New Roman" w:hAnsi="Times New Roman" w:cs="Times New Roman"/>
        </w:rPr>
        <w:t>.</w:t>
      </w:r>
      <w:r w:rsidRPr="00B912DC">
        <w:rPr>
          <w:rStyle w:val="FootnoteReference"/>
          <w:rFonts w:ascii="Times New Roman" w:hAnsi="Times New Roman" w:cs="Times New Roman"/>
        </w:rPr>
        <w:footnoteReference w:id="186"/>
      </w:r>
      <w:r w:rsidRPr="00B912DC">
        <w:rPr>
          <w:rFonts w:ascii="Times New Roman" w:hAnsi="Times New Roman" w:cs="Times New Roman"/>
        </w:rPr>
        <w:t xml:space="preserve"> </w:t>
      </w:r>
      <w:r w:rsidR="0014635D">
        <w:rPr>
          <w:rFonts w:ascii="Times New Roman" w:hAnsi="Times New Roman" w:cs="Times New Roman"/>
        </w:rPr>
        <w:t>Moreover,</w:t>
      </w:r>
      <w:r>
        <w:rPr>
          <w:rFonts w:ascii="Times New Roman" w:hAnsi="Times New Roman" w:cs="Times New Roman"/>
        </w:rPr>
        <w:t xml:space="preserve"> our findings rely on the PACER case reports’ “standard discharge” designation, which may not always be accurate.</w:t>
      </w:r>
      <w:r>
        <w:rPr>
          <w:rStyle w:val="FootnoteReference"/>
          <w:rFonts w:ascii="Times New Roman" w:hAnsi="Times New Roman" w:cs="Times New Roman"/>
        </w:rPr>
        <w:footnoteReference w:id="187"/>
      </w:r>
      <w:r>
        <w:rPr>
          <w:rFonts w:ascii="Times New Roman" w:hAnsi="Times New Roman" w:cs="Times New Roman"/>
        </w:rPr>
        <w:t xml:space="preserve"> </w:t>
      </w:r>
    </w:p>
    <w:p w14:paraId="7DFDD8AD" w14:textId="70E66D85" w:rsidR="00FC38D9" w:rsidRPr="00B912DC" w:rsidRDefault="0014635D" w:rsidP="00B30C54">
      <w:pPr>
        <w:spacing w:line="480" w:lineRule="auto"/>
        <w:ind w:firstLine="720"/>
        <w:rPr>
          <w:rFonts w:ascii="Times New Roman" w:hAnsi="Times New Roman" w:cs="Times New Roman"/>
        </w:rPr>
      </w:pPr>
      <w:r>
        <w:rPr>
          <w:rFonts w:ascii="Times New Roman" w:hAnsi="Times New Roman" w:cs="Times New Roman"/>
        </w:rPr>
        <w:t>Timing, however,</w:t>
      </w:r>
      <w:r w:rsidR="00B30C54">
        <w:rPr>
          <w:rFonts w:ascii="Times New Roman" w:hAnsi="Times New Roman" w:cs="Times New Roman"/>
        </w:rPr>
        <w:t xml:space="preserve"> </w:t>
      </w:r>
      <w:r>
        <w:rPr>
          <w:rFonts w:ascii="Times New Roman" w:hAnsi="Times New Roman" w:cs="Times New Roman"/>
        </w:rPr>
        <w:t xml:space="preserve">is the biggest problem </w:t>
      </w:r>
      <w:r w:rsidR="00B30C54">
        <w:rPr>
          <w:rFonts w:ascii="Times New Roman" w:hAnsi="Times New Roman" w:cs="Times New Roman"/>
        </w:rPr>
        <w:t>with using discharge as the exclusive measure of success</w:t>
      </w:r>
      <w:r>
        <w:rPr>
          <w:rFonts w:ascii="Times New Roman" w:hAnsi="Times New Roman" w:cs="Times New Roman"/>
        </w:rPr>
        <w:t>.</w:t>
      </w:r>
      <w:r w:rsidR="00B30C54">
        <w:rPr>
          <w:rFonts w:ascii="Times New Roman" w:hAnsi="Times New Roman" w:cs="Times New Roman"/>
        </w:rPr>
        <w:t xml:space="preserve"> </w:t>
      </w:r>
      <w:r w:rsidR="00FC38D9" w:rsidRPr="00B912DC">
        <w:rPr>
          <w:rFonts w:ascii="Times New Roman" w:hAnsi="Times New Roman" w:cs="Times New Roman"/>
        </w:rPr>
        <w:t>Corporations receive a discharge upon confirmation of a chapter 11 plan of reorganization, unless they are using chapter 11 to liquidate.</w:t>
      </w:r>
      <w:r w:rsidR="00FC38D9" w:rsidRPr="00B912DC">
        <w:rPr>
          <w:rStyle w:val="FootnoteReference"/>
          <w:rFonts w:ascii="Times New Roman" w:hAnsi="Times New Roman" w:cs="Times New Roman"/>
        </w:rPr>
        <w:footnoteReference w:id="188"/>
      </w:r>
      <w:r w:rsidR="00FC38D9" w:rsidRPr="00B912DC">
        <w:rPr>
          <w:rFonts w:ascii="Times New Roman" w:hAnsi="Times New Roman" w:cs="Times New Roman"/>
        </w:rPr>
        <w:t xml:space="preserve"> By contrast, individuals do not receive a discharge in chapter 11 until they complete their plan</w:t>
      </w:r>
      <w:r w:rsidR="00B30C54">
        <w:rPr>
          <w:rFonts w:ascii="Times New Roman" w:hAnsi="Times New Roman" w:cs="Times New Roman"/>
        </w:rPr>
        <w:t>,</w:t>
      </w:r>
      <w:r w:rsidR="00FC38D9" w:rsidRPr="00B912DC">
        <w:rPr>
          <w:rStyle w:val="FootnoteReference"/>
          <w:rFonts w:ascii="Times New Roman" w:hAnsi="Times New Roman" w:cs="Times New Roman"/>
        </w:rPr>
        <w:footnoteReference w:id="189"/>
      </w:r>
      <w:r w:rsidR="00B30C54">
        <w:rPr>
          <w:rFonts w:ascii="Times New Roman" w:hAnsi="Times New Roman" w:cs="Times New Roman"/>
        </w:rPr>
        <w:t xml:space="preserve"> and many chapter 11 plans call for payments over thirty years.</w:t>
      </w:r>
      <w:r w:rsidR="00B30C54">
        <w:rPr>
          <w:rStyle w:val="FootnoteReference"/>
          <w:rFonts w:ascii="Times New Roman" w:hAnsi="Times New Roman" w:cs="Times New Roman"/>
        </w:rPr>
        <w:footnoteReference w:id="190"/>
      </w:r>
      <w:r w:rsidR="00FC38D9" w:rsidRPr="00B912DC">
        <w:rPr>
          <w:rFonts w:ascii="Times New Roman" w:hAnsi="Times New Roman" w:cs="Times New Roman"/>
        </w:rPr>
        <w:t xml:space="preserve"> </w:t>
      </w:r>
      <w:r>
        <w:rPr>
          <w:rFonts w:ascii="Times New Roman" w:hAnsi="Times New Roman" w:cs="Times New Roman"/>
        </w:rPr>
        <w:t xml:space="preserve">While the Code allows </w:t>
      </w:r>
      <w:r w:rsidR="00B30C54">
        <w:rPr>
          <w:rFonts w:ascii="Times New Roman" w:hAnsi="Times New Roman" w:cs="Times New Roman"/>
        </w:rPr>
        <w:t xml:space="preserve">a court to grant a discharge early if </w:t>
      </w:r>
      <w:r w:rsidR="00FC38D9">
        <w:rPr>
          <w:rFonts w:ascii="Times New Roman" w:hAnsi="Times New Roman" w:cs="Times New Roman"/>
        </w:rPr>
        <w:t>modification of the plan is not feasible</w:t>
      </w:r>
      <w:bookmarkStart w:id="26" w:name="_Ref333755759"/>
      <w:r w:rsidR="00FC38D9" w:rsidRPr="00B912DC">
        <w:rPr>
          <w:rStyle w:val="FootnoteReference"/>
          <w:rFonts w:ascii="Times New Roman" w:hAnsi="Times New Roman" w:cs="Times New Roman"/>
        </w:rPr>
        <w:footnoteReference w:id="191"/>
      </w:r>
      <w:bookmarkEnd w:id="26"/>
      <w:r w:rsidR="00FC38D9">
        <w:rPr>
          <w:rFonts w:ascii="Times New Roman" w:hAnsi="Times New Roman" w:cs="Times New Roman"/>
        </w:rPr>
        <w:t xml:space="preserve"> or</w:t>
      </w:r>
      <w:r w:rsidR="00B30C54">
        <w:rPr>
          <w:rFonts w:ascii="Times New Roman" w:hAnsi="Times New Roman" w:cs="Times New Roman"/>
        </w:rPr>
        <w:t xml:space="preserve"> if the court finds cause</w:t>
      </w:r>
      <w:r>
        <w:rPr>
          <w:rFonts w:ascii="Times New Roman" w:hAnsi="Times New Roman" w:cs="Times New Roman"/>
        </w:rPr>
        <w:t>,</w:t>
      </w:r>
      <w:r w:rsidR="00FC38D9" w:rsidRPr="00B912DC">
        <w:rPr>
          <w:rStyle w:val="FootnoteReference"/>
          <w:rFonts w:ascii="Times New Roman" w:hAnsi="Times New Roman" w:cs="Times New Roman"/>
        </w:rPr>
        <w:footnoteReference w:id="192"/>
      </w:r>
      <w:r>
        <w:rPr>
          <w:rFonts w:ascii="Times New Roman" w:hAnsi="Times New Roman" w:cs="Times New Roman"/>
        </w:rPr>
        <w:t xml:space="preserve"> these provisions are exceptions to the general rule</w:t>
      </w:r>
      <w:r w:rsidR="000806ED">
        <w:rPr>
          <w:rFonts w:ascii="Times New Roman" w:hAnsi="Times New Roman" w:cs="Times New Roman"/>
        </w:rPr>
        <w:t>.</w:t>
      </w:r>
      <w:r w:rsidR="00FC38D9">
        <w:rPr>
          <w:rFonts w:ascii="Times New Roman" w:hAnsi="Times New Roman" w:cs="Times New Roman"/>
        </w:rPr>
        <w:t xml:space="preserve"> </w:t>
      </w:r>
    </w:p>
    <w:p w14:paraId="0E6E5ADD" w14:textId="499C52F9" w:rsidR="00FC38D9" w:rsidRPr="00B912DC"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 xml:space="preserve">Because we examined the cases during the summers of 2014 and 2015, many cases were not yet completed, particularly those filed in 2013. We counted open cases as successes because the debtor had avoided conversion or dismissal. Some debtors could still </w:t>
      </w:r>
      <w:r w:rsidR="0014635D">
        <w:rPr>
          <w:rFonts w:ascii="Times New Roman" w:hAnsi="Times New Roman" w:cs="Times New Roman"/>
        </w:rPr>
        <w:t xml:space="preserve">have been </w:t>
      </w:r>
      <w:r w:rsidRPr="00B912DC">
        <w:rPr>
          <w:rFonts w:ascii="Times New Roman" w:hAnsi="Times New Roman" w:cs="Times New Roman"/>
        </w:rPr>
        <w:t xml:space="preserve">trying </w:t>
      </w:r>
      <w:r w:rsidR="0014635D">
        <w:rPr>
          <w:rFonts w:ascii="Times New Roman" w:hAnsi="Times New Roman" w:cs="Times New Roman"/>
        </w:rPr>
        <w:t>for plan</w:t>
      </w:r>
      <w:r w:rsidR="00E75572">
        <w:rPr>
          <w:rFonts w:ascii="Times New Roman" w:hAnsi="Times New Roman" w:cs="Times New Roman"/>
        </w:rPr>
        <w:t xml:space="preserve"> </w:t>
      </w:r>
      <w:r w:rsidR="0014635D">
        <w:rPr>
          <w:rFonts w:ascii="Times New Roman" w:hAnsi="Times New Roman" w:cs="Times New Roman"/>
        </w:rPr>
        <w:t>confirmation</w:t>
      </w:r>
      <w:r w:rsidRPr="00B912DC">
        <w:rPr>
          <w:rFonts w:ascii="Times New Roman" w:hAnsi="Times New Roman" w:cs="Times New Roman"/>
        </w:rPr>
        <w:t>, but our search of the individual records sugges</w:t>
      </w:r>
      <w:r w:rsidR="002E1632">
        <w:rPr>
          <w:rFonts w:ascii="Times New Roman" w:hAnsi="Times New Roman" w:cs="Times New Roman"/>
        </w:rPr>
        <w:t>ted</w:t>
      </w:r>
      <w:r w:rsidRPr="00B912DC">
        <w:rPr>
          <w:rFonts w:ascii="Times New Roman" w:hAnsi="Times New Roman" w:cs="Times New Roman"/>
        </w:rPr>
        <w:t xml:space="preserve"> that </w:t>
      </w:r>
      <w:r w:rsidR="006D2A6C">
        <w:rPr>
          <w:rFonts w:ascii="Times New Roman" w:hAnsi="Times New Roman" w:cs="Times New Roman"/>
        </w:rPr>
        <w:t xml:space="preserve">in </w:t>
      </w:r>
      <w:r w:rsidR="006D2A6C" w:rsidRPr="00B912DC">
        <w:rPr>
          <w:rFonts w:ascii="Times New Roman" w:hAnsi="Times New Roman" w:cs="Times New Roman"/>
        </w:rPr>
        <w:t>most of the open cases</w:t>
      </w:r>
      <w:r w:rsidR="006D2A6C">
        <w:rPr>
          <w:rFonts w:ascii="Times New Roman" w:hAnsi="Times New Roman" w:cs="Times New Roman"/>
        </w:rPr>
        <w:t>,</w:t>
      </w:r>
      <w:r w:rsidR="006D2A6C" w:rsidRPr="00B912DC">
        <w:rPr>
          <w:rFonts w:ascii="Times New Roman" w:hAnsi="Times New Roman" w:cs="Times New Roman"/>
        </w:rPr>
        <w:t xml:space="preserve"> </w:t>
      </w:r>
      <w:r w:rsidR="009E65CD">
        <w:rPr>
          <w:rFonts w:ascii="Times New Roman" w:hAnsi="Times New Roman" w:cs="Times New Roman"/>
        </w:rPr>
        <w:t xml:space="preserve">at least for 2010, </w:t>
      </w:r>
      <w:r w:rsidRPr="00B912DC">
        <w:rPr>
          <w:rFonts w:ascii="Times New Roman" w:hAnsi="Times New Roman" w:cs="Times New Roman"/>
        </w:rPr>
        <w:t xml:space="preserve">the debtor </w:t>
      </w:r>
      <w:r>
        <w:rPr>
          <w:rFonts w:ascii="Times New Roman" w:hAnsi="Times New Roman" w:cs="Times New Roman"/>
        </w:rPr>
        <w:t>ha</w:t>
      </w:r>
      <w:r w:rsidR="002E1632">
        <w:rPr>
          <w:rFonts w:ascii="Times New Roman" w:hAnsi="Times New Roman" w:cs="Times New Roman"/>
        </w:rPr>
        <w:t>d</w:t>
      </w:r>
      <w:r>
        <w:rPr>
          <w:rFonts w:ascii="Times New Roman" w:hAnsi="Times New Roman" w:cs="Times New Roman"/>
        </w:rPr>
        <w:t xml:space="preserve"> obtained confirmation of a plan and </w:t>
      </w:r>
      <w:r w:rsidR="002E1632">
        <w:rPr>
          <w:rFonts w:ascii="Times New Roman" w:hAnsi="Times New Roman" w:cs="Times New Roman"/>
        </w:rPr>
        <w:t>wa</w:t>
      </w:r>
      <w:r w:rsidRPr="00B912DC">
        <w:rPr>
          <w:rFonts w:ascii="Times New Roman" w:hAnsi="Times New Roman" w:cs="Times New Roman"/>
        </w:rPr>
        <w:t xml:space="preserve">s still making the payments required by </w:t>
      </w:r>
      <w:r>
        <w:rPr>
          <w:rFonts w:ascii="Times New Roman" w:hAnsi="Times New Roman" w:cs="Times New Roman"/>
        </w:rPr>
        <w:t>that plan</w:t>
      </w:r>
      <w:r w:rsidRPr="00B912DC">
        <w:rPr>
          <w:rFonts w:ascii="Times New Roman" w:hAnsi="Times New Roman" w:cs="Times New Roman"/>
        </w:rPr>
        <w:t>.</w:t>
      </w:r>
      <w:r w:rsidRPr="00B912DC">
        <w:rPr>
          <w:rStyle w:val="FootnoteReference"/>
          <w:rFonts w:ascii="Times New Roman" w:hAnsi="Times New Roman" w:cs="Times New Roman"/>
        </w:rPr>
        <w:footnoteReference w:id="193"/>
      </w:r>
      <w:r w:rsidRPr="00B912DC">
        <w:rPr>
          <w:rFonts w:ascii="Times New Roman" w:hAnsi="Times New Roman" w:cs="Times New Roman"/>
        </w:rPr>
        <w:t xml:space="preserve"> We suspect that cases in which the disposition code was blank were likely </w:t>
      </w:r>
      <w:r w:rsidR="002E1632">
        <w:rPr>
          <w:rFonts w:ascii="Times New Roman" w:hAnsi="Times New Roman" w:cs="Times New Roman"/>
        </w:rPr>
        <w:t xml:space="preserve">still </w:t>
      </w:r>
      <w:r w:rsidRPr="00B912DC">
        <w:rPr>
          <w:rFonts w:ascii="Times New Roman" w:hAnsi="Times New Roman" w:cs="Times New Roman"/>
        </w:rPr>
        <w:t>open. During our pilot project</w:t>
      </w:r>
      <w:r>
        <w:rPr>
          <w:rFonts w:ascii="Times New Roman" w:hAnsi="Times New Roman" w:cs="Times New Roman"/>
        </w:rPr>
        <w:t>,</w:t>
      </w:r>
      <w:r w:rsidRPr="00B912DC">
        <w:rPr>
          <w:rFonts w:ascii="Times New Roman" w:hAnsi="Times New Roman" w:cs="Times New Roman"/>
        </w:rPr>
        <w:t xml:space="preserve"> we checked fifty randomly selected individual chapter 11 cases with a blank disposition field. Forty-seven of the fifty were indeed live cases as of June 1, 2014. We could not determine the status of one of the remaining three because the docket was not available electronically. The last two cases had been administratively closed.</w:t>
      </w:r>
      <w:r w:rsidRPr="00B912DC">
        <w:rPr>
          <w:rStyle w:val="FootnoteReference"/>
          <w:rFonts w:ascii="Times New Roman" w:hAnsi="Times New Roman" w:cs="Times New Roman"/>
        </w:rPr>
        <w:footnoteReference w:id="194"/>
      </w:r>
      <w:r w:rsidRPr="00B912DC">
        <w:rPr>
          <w:rFonts w:ascii="Times New Roman" w:hAnsi="Times New Roman" w:cs="Times New Roman"/>
        </w:rPr>
        <w:t xml:space="preserve"> Courts that administratively close a case more typically code the disposition as “discharge not applicable,”</w:t>
      </w:r>
      <w:r w:rsidRPr="00B912DC">
        <w:rPr>
          <w:rStyle w:val="FootnoteReference"/>
          <w:rFonts w:ascii="Times New Roman" w:hAnsi="Times New Roman" w:cs="Times New Roman"/>
        </w:rPr>
        <w:footnoteReference w:id="195"/>
      </w:r>
      <w:r w:rsidRPr="00B912DC">
        <w:rPr>
          <w:rFonts w:ascii="Times New Roman" w:hAnsi="Times New Roman" w:cs="Times New Roman"/>
        </w:rPr>
        <w:t xml:space="preserve"> and we count</w:t>
      </w:r>
      <w:r w:rsidR="0014635D">
        <w:rPr>
          <w:rFonts w:ascii="Times New Roman" w:hAnsi="Times New Roman" w:cs="Times New Roman"/>
        </w:rPr>
        <w:t>ed</w:t>
      </w:r>
      <w:r w:rsidRPr="00B912DC">
        <w:rPr>
          <w:rFonts w:ascii="Times New Roman" w:hAnsi="Times New Roman" w:cs="Times New Roman"/>
        </w:rPr>
        <w:t xml:space="preserve"> this disposition as a success</w:t>
      </w:r>
      <w:r>
        <w:rPr>
          <w:rFonts w:ascii="Times New Roman" w:hAnsi="Times New Roman" w:cs="Times New Roman"/>
        </w:rPr>
        <w:t>,</w:t>
      </w:r>
      <w:r w:rsidRPr="00B912DC">
        <w:rPr>
          <w:rFonts w:ascii="Times New Roman" w:hAnsi="Times New Roman" w:cs="Times New Roman"/>
        </w:rPr>
        <w:t xml:space="preserve"> as well.</w:t>
      </w:r>
    </w:p>
    <w:p w14:paraId="3AA0870F" w14:textId="080EAE07" w:rsidR="00FC38D9" w:rsidRPr="00B912DC"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 xml:space="preserve">One of the most striking statistics from Table </w:t>
      </w:r>
      <w:r w:rsidR="00FA3A2A">
        <w:rPr>
          <w:rFonts w:ascii="Times New Roman" w:hAnsi="Times New Roman" w:cs="Times New Roman"/>
        </w:rPr>
        <w:t>3</w:t>
      </w:r>
      <w:r w:rsidR="00DB4EAD">
        <w:rPr>
          <w:rFonts w:ascii="Times New Roman" w:hAnsi="Times New Roman" w:cs="Times New Roman"/>
        </w:rPr>
        <w:t>9</w:t>
      </w:r>
      <w:r w:rsidRPr="00B912DC">
        <w:rPr>
          <w:rFonts w:ascii="Times New Roman" w:hAnsi="Times New Roman" w:cs="Times New Roman"/>
        </w:rPr>
        <w:t xml:space="preserve"> is that almost a third of all individual chapter 11 cases from 2010 appear to be succe</w:t>
      </w:r>
      <w:r w:rsidR="00391D25">
        <w:rPr>
          <w:rFonts w:ascii="Times New Roman" w:hAnsi="Times New Roman" w:cs="Times New Roman"/>
        </w:rPr>
        <w:t>ed by avoiding discharge and conversion.</w:t>
      </w:r>
      <w:r w:rsidRPr="00B912DC">
        <w:rPr>
          <w:rFonts w:ascii="Times New Roman" w:hAnsi="Times New Roman" w:cs="Times New Roman"/>
        </w:rPr>
        <w:t xml:space="preserve"> The rate is even higher for cases filed in 2013, but this figure is misleading</w:t>
      </w:r>
      <w:r>
        <w:rPr>
          <w:rFonts w:ascii="Times New Roman" w:hAnsi="Times New Roman" w:cs="Times New Roman"/>
        </w:rPr>
        <w:t>, as we explain below</w:t>
      </w:r>
      <w:r w:rsidRPr="00B912DC">
        <w:rPr>
          <w:rFonts w:ascii="Times New Roman" w:hAnsi="Times New Roman" w:cs="Times New Roman"/>
        </w:rPr>
        <w:t xml:space="preserve">. In addition, </w:t>
      </w:r>
      <w:r>
        <w:rPr>
          <w:rFonts w:ascii="Times New Roman" w:hAnsi="Times New Roman" w:cs="Times New Roman"/>
        </w:rPr>
        <w:t>our</w:t>
      </w:r>
      <w:r w:rsidRPr="00B912DC">
        <w:rPr>
          <w:rFonts w:ascii="Times New Roman" w:hAnsi="Times New Roman" w:cs="Times New Roman"/>
        </w:rPr>
        <w:t xml:space="preserve"> one-third “success” rate is not directly comparable to the roughly </w:t>
      </w:r>
      <w:r w:rsidR="00183D07">
        <w:rPr>
          <w:rFonts w:ascii="Times New Roman" w:hAnsi="Times New Roman" w:cs="Times New Roman"/>
        </w:rPr>
        <w:t>36%</w:t>
      </w:r>
      <w:r w:rsidR="00D85792">
        <w:rPr>
          <w:rFonts w:ascii="Times New Roman" w:hAnsi="Times New Roman" w:cs="Times New Roman"/>
        </w:rPr>
        <w:t xml:space="preserve"> </w:t>
      </w:r>
      <w:r w:rsidRPr="00B912DC">
        <w:rPr>
          <w:rFonts w:ascii="Times New Roman" w:hAnsi="Times New Roman" w:cs="Times New Roman"/>
        </w:rPr>
        <w:t>success rate typically found in studies of chapter 13</w:t>
      </w:r>
      <w:r>
        <w:rPr>
          <w:rFonts w:ascii="Times New Roman" w:hAnsi="Times New Roman" w:cs="Times New Roman"/>
        </w:rPr>
        <w:t>,</w:t>
      </w:r>
      <w:r w:rsidRPr="00B912DC">
        <w:rPr>
          <w:rStyle w:val="FootnoteReference"/>
          <w:rFonts w:ascii="Times New Roman" w:hAnsi="Times New Roman" w:cs="Times New Roman"/>
        </w:rPr>
        <w:footnoteReference w:id="196"/>
      </w:r>
      <w:r w:rsidRPr="00B912DC">
        <w:rPr>
          <w:rFonts w:ascii="Times New Roman" w:hAnsi="Times New Roman" w:cs="Times New Roman"/>
        </w:rPr>
        <w:t xml:space="preserve"> because we </w:t>
      </w:r>
      <w:r>
        <w:rPr>
          <w:rFonts w:ascii="Times New Roman" w:hAnsi="Times New Roman" w:cs="Times New Roman"/>
        </w:rPr>
        <w:t>use</w:t>
      </w:r>
      <w:r w:rsidR="002E1632">
        <w:rPr>
          <w:rFonts w:ascii="Times New Roman" w:hAnsi="Times New Roman" w:cs="Times New Roman"/>
        </w:rPr>
        <w:t>d</w:t>
      </w:r>
      <w:r w:rsidRPr="00B912DC">
        <w:rPr>
          <w:rFonts w:ascii="Times New Roman" w:hAnsi="Times New Roman" w:cs="Times New Roman"/>
        </w:rPr>
        <w:t xml:space="preserve"> </w:t>
      </w:r>
      <w:r>
        <w:rPr>
          <w:rFonts w:ascii="Times New Roman" w:hAnsi="Times New Roman" w:cs="Times New Roman"/>
        </w:rPr>
        <w:t>a</w:t>
      </w:r>
      <w:r w:rsidRPr="00B912DC">
        <w:rPr>
          <w:rFonts w:ascii="Times New Roman" w:hAnsi="Times New Roman" w:cs="Times New Roman"/>
        </w:rPr>
        <w:t xml:space="preserve"> </w:t>
      </w:r>
      <w:r w:rsidR="00D85792">
        <w:rPr>
          <w:rFonts w:ascii="Times New Roman" w:hAnsi="Times New Roman" w:cs="Times New Roman"/>
        </w:rPr>
        <w:t xml:space="preserve">different </w:t>
      </w:r>
      <w:r w:rsidRPr="00B912DC">
        <w:rPr>
          <w:rFonts w:ascii="Times New Roman" w:hAnsi="Times New Roman" w:cs="Times New Roman"/>
        </w:rPr>
        <w:t>definition of success. We count</w:t>
      </w:r>
      <w:r w:rsidR="002E1632">
        <w:rPr>
          <w:rFonts w:ascii="Times New Roman" w:hAnsi="Times New Roman" w:cs="Times New Roman"/>
        </w:rPr>
        <w:t>ed</w:t>
      </w:r>
      <w:r w:rsidRPr="00B912DC">
        <w:rPr>
          <w:rFonts w:ascii="Times New Roman" w:hAnsi="Times New Roman" w:cs="Times New Roman"/>
        </w:rPr>
        <w:t xml:space="preserve"> cases as successes even if the debtor ha</w:t>
      </w:r>
      <w:r w:rsidR="002E1632">
        <w:rPr>
          <w:rFonts w:ascii="Times New Roman" w:hAnsi="Times New Roman" w:cs="Times New Roman"/>
        </w:rPr>
        <w:t>d</w:t>
      </w:r>
      <w:r w:rsidRPr="00B912DC">
        <w:rPr>
          <w:rFonts w:ascii="Times New Roman" w:hAnsi="Times New Roman" w:cs="Times New Roman"/>
        </w:rPr>
        <w:t xml:space="preserve"> not yet received a discharge. To see the consequence of this definition, we appl</w:t>
      </w:r>
      <w:r w:rsidR="002E1632">
        <w:rPr>
          <w:rFonts w:ascii="Times New Roman" w:hAnsi="Times New Roman" w:cs="Times New Roman"/>
        </w:rPr>
        <w:t>ied</w:t>
      </w:r>
      <w:r w:rsidRPr="00B912DC">
        <w:rPr>
          <w:rFonts w:ascii="Times New Roman" w:hAnsi="Times New Roman" w:cs="Times New Roman"/>
        </w:rPr>
        <w:t xml:space="preserve"> </w:t>
      </w:r>
      <w:r>
        <w:rPr>
          <w:rFonts w:ascii="Times New Roman" w:hAnsi="Times New Roman" w:cs="Times New Roman"/>
        </w:rPr>
        <w:t xml:space="preserve">our definition </w:t>
      </w:r>
      <w:r w:rsidRPr="00B912DC">
        <w:rPr>
          <w:rFonts w:ascii="Times New Roman" w:hAnsi="Times New Roman" w:cs="Times New Roman"/>
        </w:rPr>
        <w:t xml:space="preserve">to the chapter 13 cases in </w:t>
      </w:r>
      <w:r>
        <w:rPr>
          <w:rFonts w:ascii="Times New Roman" w:hAnsi="Times New Roman" w:cs="Times New Roman"/>
        </w:rPr>
        <w:t>the PACER dataset</w:t>
      </w:r>
      <w:r w:rsidR="00763F31">
        <w:rPr>
          <w:rFonts w:ascii="Times New Roman" w:hAnsi="Times New Roman" w:cs="Times New Roman"/>
        </w:rPr>
        <w:t>.</w:t>
      </w:r>
      <w:r w:rsidR="0014635D">
        <w:rPr>
          <w:rFonts w:ascii="Times New Roman" w:hAnsi="Times New Roman" w:cs="Times New Roman"/>
        </w:rPr>
        <w:t xml:space="preserve"> We provide the results in Table 40. </w:t>
      </w:r>
      <w:r w:rsidRPr="00B912DC">
        <w:rPr>
          <w:rFonts w:ascii="Times New Roman" w:hAnsi="Times New Roman" w:cs="Times New Roman"/>
        </w:rPr>
        <w:t xml:space="preserve"> </w:t>
      </w:r>
    </w:p>
    <w:p w14:paraId="711C3DFD" w14:textId="320A7189" w:rsidR="00DB4EAD" w:rsidRDefault="00FC38D9" w:rsidP="00FC38D9">
      <w:pPr>
        <w:spacing w:line="480" w:lineRule="auto"/>
        <w:ind w:firstLine="720"/>
        <w:rPr>
          <w:rFonts w:ascii="Times New Roman" w:hAnsi="Times New Roman" w:cs="Times New Roman"/>
          <w:b/>
        </w:rPr>
      </w:pPr>
      <w:r>
        <w:rPr>
          <w:rFonts w:ascii="Times New Roman" w:hAnsi="Times New Roman" w:cs="Times New Roman"/>
        </w:rPr>
        <w:t xml:space="preserve">The chapter 13 </w:t>
      </w:r>
      <w:r w:rsidRPr="00B912DC">
        <w:rPr>
          <w:rFonts w:ascii="Times New Roman" w:hAnsi="Times New Roman" w:cs="Times New Roman"/>
        </w:rPr>
        <w:t xml:space="preserve">success rate </w:t>
      </w:r>
      <w:r>
        <w:rPr>
          <w:rFonts w:ascii="Times New Roman" w:hAnsi="Times New Roman" w:cs="Times New Roman"/>
        </w:rPr>
        <w:t>exceeds</w:t>
      </w:r>
      <w:r w:rsidRPr="00B912DC">
        <w:rPr>
          <w:rFonts w:ascii="Times New Roman" w:hAnsi="Times New Roman" w:cs="Times New Roman"/>
        </w:rPr>
        <w:t xml:space="preserve"> 40% in 2010</w:t>
      </w:r>
      <w:r w:rsidR="00DB4EAD">
        <w:rPr>
          <w:rFonts w:ascii="Times New Roman" w:hAnsi="Times New Roman" w:cs="Times New Roman"/>
        </w:rPr>
        <w:t>.</w:t>
      </w:r>
      <w:r w:rsidRPr="00B912DC">
        <w:rPr>
          <w:rFonts w:ascii="Times New Roman" w:hAnsi="Times New Roman" w:cs="Times New Roman"/>
        </w:rPr>
        <w:t xml:space="preserve">  Note, however,</w:t>
      </w:r>
      <w:r w:rsidR="000806ED">
        <w:rPr>
          <w:rFonts w:ascii="Times New Roman" w:hAnsi="Times New Roman" w:cs="Times New Roman"/>
        </w:rPr>
        <w:t xml:space="preserve"> that cases in which the debtor</w:t>
      </w:r>
      <w:r w:rsidRPr="00B912DC">
        <w:rPr>
          <w:rFonts w:ascii="Times New Roman" w:hAnsi="Times New Roman" w:cs="Times New Roman"/>
        </w:rPr>
        <w:t xml:space="preserve"> actually received </w:t>
      </w:r>
      <w:r>
        <w:rPr>
          <w:rFonts w:ascii="Times New Roman" w:hAnsi="Times New Roman" w:cs="Times New Roman"/>
        </w:rPr>
        <w:t>a discharge account for only 18</w:t>
      </w:r>
      <w:r w:rsidRPr="00B912DC">
        <w:rPr>
          <w:rFonts w:ascii="Times New Roman" w:hAnsi="Times New Roman" w:cs="Times New Roman"/>
        </w:rPr>
        <w:t xml:space="preserve">% of our cases; most of our “successes” are cases for which the PACER case reports left the disposition field blank.   </w:t>
      </w:r>
    </w:p>
    <w:p w14:paraId="70BA2B2A" w14:textId="6DEBEE5A" w:rsidR="00FC38D9" w:rsidRPr="00B912DC" w:rsidRDefault="00FC38D9" w:rsidP="00416B60">
      <w:pPr>
        <w:keepNext/>
        <w:keepLines/>
        <w:spacing w:line="480" w:lineRule="auto"/>
        <w:jc w:val="center"/>
        <w:rPr>
          <w:rFonts w:ascii="Times New Roman" w:hAnsi="Times New Roman" w:cs="Times New Roman"/>
          <w:b/>
        </w:rPr>
      </w:pPr>
      <w:r w:rsidRPr="00B912DC">
        <w:rPr>
          <w:rFonts w:ascii="Times New Roman" w:hAnsi="Times New Roman" w:cs="Times New Roman"/>
          <w:b/>
        </w:rPr>
        <w:t xml:space="preserve">Table </w:t>
      </w:r>
      <w:r w:rsidR="00DB4EAD">
        <w:rPr>
          <w:rFonts w:ascii="Times New Roman" w:hAnsi="Times New Roman" w:cs="Times New Roman"/>
          <w:b/>
        </w:rPr>
        <w:t>40</w:t>
      </w:r>
      <w:r w:rsidRPr="00B912DC">
        <w:rPr>
          <w:rFonts w:ascii="Times New Roman" w:hAnsi="Times New Roman" w:cs="Times New Roman"/>
          <w:b/>
        </w:rPr>
        <w:t>: Chapter 13 Outcomes</w:t>
      </w:r>
    </w:p>
    <w:tbl>
      <w:tblPr>
        <w:tblW w:w="8385" w:type="dxa"/>
        <w:tblInd w:w="93" w:type="dxa"/>
        <w:tblLook w:val="04A0" w:firstRow="1" w:lastRow="0" w:firstColumn="1" w:lastColumn="0" w:noHBand="0" w:noVBand="1"/>
      </w:tblPr>
      <w:tblGrid>
        <w:gridCol w:w="5235"/>
        <w:gridCol w:w="1530"/>
        <w:gridCol w:w="1620"/>
      </w:tblGrid>
      <w:tr w:rsidR="00FC38D9" w:rsidRPr="00B912DC" w14:paraId="34F5E205" w14:textId="77777777" w:rsidTr="00DB4EAD">
        <w:trPr>
          <w:trHeight w:val="320"/>
        </w:trPr>
        <w:tc>
          <w:tcPr>
            <w:tcW w:w="5235" w:type="dxa"/>
            <w:tcBorders>
              <w:top w:val="nil"/>
              <w:right w:val="single" w:sz="18" w:space="0" w:color="auto"/>
            </w:tcBorders>
            <w:shd w:val="clear" w:color="auto" w:fill="auto"/>
            <w:vAlign w:val="center"/>
            <w:hideMark/>
          </w:tcPr>
          <w:p w14:paraId="3116EF55" w14:textId="77777777" w:rsidR="00FC38D9" w:rsidRPr="00B912DC" w:rsidRDefault="00FC38D9"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 </w:t>
            </w:r>
          </w:p>
          <w:p w14:paraId="57E85A22" w14:textId="77777777" w:rsidR="00FC38D9" w:rsidRPr="00B912DC" w:rsidRDefault="00FC38D9"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 </w:t>
            </w:r>
          </w:p>
        </w:tc>
        <w:tc>
          <w:tcPr>
            <w:tcW w:w="1530" w:type="dxa"/>
            <w:tcBorders>
              <w:top w:val="single" w:sz="18" w:space="0" w:color="auto"/>
              <w:left w:val="single" w:sz="18" w:space="0" w:color="auto"/>
              <w:bottom w:val="single" w:sz="8" w:space="0" w:color="auto"/>
              <w:right w:val="single" w:sz="18" w:space="0" w:color="auto"/>
            </w:tcBorders>
            <w:shd w:val="clear" w:color="auto" w:fill="auto"/>
            <w:noWrap/>
            <w:vAlign w:val="center"/>
          </w:tcPr>
          <w:p w14:paraId="07D6A46B" w14:textId="77777777" w:rsidR="00FC38D9" w:rsidRPr="00B912DC" w:rsidRDefault="00FC38D9" w:rsidP="00416B60">
            <w:pPr>
              <w:keepNext/>
              <w:keepLines/>
              <w:jc w:val="center"/>
              <w:rPr>
                <w:rFonts w:ascii="Times New Roman" w:eastAsia="Times New Roman" w:hAnsi="Times New Roman" w:cs="Times New Roman"/>
                <w:b/>
                <w:bCs/>
                <w:color w:val="000000"/>
              </w:rPr>
            </w:pPr>
            <w:r w:rsidRPr="00B912DC">
              <w:rPr>
                <w:rFonts w:ascii="Times New Roman" w:eastAsia="Times New Roman" w:hAnsi="Times New Roman" w:cs="Times New Roman"/>
                <w:b/>
                <w:bCs/>
                <w:color w:val="000000"/>
              </w:rPr>
              <w:t>2010</w:t>
            </w:r>
          </w:p>
        </w:tc>
        <w:tc>
          <w:tcPr>
            <w:tcW w:w="1620" w:type="dxa"/>
            <w:tcBorders>
              <w:top w:val="single" w:sz="18" w:space="0" w:color="auto"/>
              <w:left w:val="single" w:sz="18" w:space="0" w:color="auto"/>
              <w:bottom w:val="single" w:sz="8" w:space="0" w:color="auto"/>
              <w:right w:val="single" w:sz="18" w:space="0" w:color="auto"/>
            </w:tcBorders>
            <w:shd w:val="clear" w:color="auto" w:fill="auto"/>
            <w:noWrap/>
            <w:vAlign w:val="center"/>
          </w:tcPr>
          <w:p w14:paraId="506E5D15" w14:textId="77777777" w:rsidR="00FC38D9" w:rsidRPr="00B912DC" w:rsidRDefault="00FC38D9" w:rsidP="00416B60">
            <w:pPr>
              <w:keepNext/>
              <w:keepLines/>
              <w:jc w:val="center"/>
              <w:rPr>
                <w:rFonts w:ascii="Times New Roman" w:eastAsia="Times New Roman" w:hAnsi="Times New Roman" w:cs="Times New Roman"/>
                <w:b/>
                <w:bCs/>
                <w:color w:val="000000"/>
              </w:rPr>
            </w:pPr>
            <w:r w:rsidRPr="00B912DC">
              <w:rPr>
                <w:rFonts w:ascii="Times New Roman" w:eastAsia="Times New Roman" w:hAnsi="Times New Roman" w:cs="Times New Roman"/>
                <w:b/>
                <w:bCs/>
                <w:color w:val="000000"/>
              </w:rPr>
              <w:t>2013</w:t>
            </w:r>
          </w:p>
        </w:tc>
      </w:tr>
      <w:tr w:rsidR="00FA3A2A" w:rsidRPr="00B912DC" w14:paraId="0C7609F6" w14:textId="77777777" w:rsidTr="00DB4EAD">
        <w:trPr>
          <w:trHeight w:val="288"/>
        </w:trPr>
        <w:tc>
          <w:tcPr>
            <w:tcW w:w="5235" w:type="dxa"/>
            <w:tcBorders>
              <w:top w:val="single" w:sz="12" w:space="0" w:color="auto"/>
              <w:left w:val="single" w:sz="8" w:space="0" w:color="auto"/>
              <w:bottom w:val="single" w:sz="8" w:space="0" w:color="auto"/>
              <w:right w:val="single" w:sz="18" w:space="0" w:color="auto"/>
            </w:tcBorders>
            <w:shd w:val="clear" w:color="auto" w:fill="auto"/>
            <w:vAlign w:val="center"/>
            <w:hideMark/>
          </w:tcPr>
          <w:p w14:paraId="7AD7FE06" w14:textId="77777777" w:rsidR="00FA3A2A" w:rsidRPr="00B912DC" w:rsidRDefault="00FA3A2A" w:rsidP="00416B60">
            <w:pPr>
              <w:keepNext/>
              <w:keepLines/>
              <w:rPr>
                <w:rFonts w:ascii="Times New Roman" w:eastAsia="Times New Roman" w:hAnsi="Times New Roman" w:cs="Times New Roman"/>
                <w:i/>
                <w:iCs/>
                <w:color w:val="000000"/>
              </w:rPr>
            </w:pPr>
            <w:r w:rsidRPr="00B912DC">
              <w:rPr>
                <w:rFonts w:ascii="Times New Roman" w:eastAsia="Times New Roman" w:hAnsi="Times New Roman" w:cs="Times New Roman"/>
                <w:color w:val="000000"/>
              </w:rPr>
              <w:t>Standard Discharge</w:t>
            </w:r>
          </w:p>
        </w:tc>
        <w:tc>
          <w:tcPr>
            <w:tcW w:w="1530" w:type="dxa"/>
            <w:tcBorders>
              <w:top w:val="single" w:sz="12" w:space="0" w:color="auto"/>
              <w:left w:val="single" w:sz="18" w:space="0" w:color="auto"/>
              <w:bottom w:val="single" w:sz="8" w:space="0" w:color="auto"/>
              <w:right w:val="single" w:sz="18" w:space="0" w:color="auto"/>
            </w:tcBorders>
            <w:shd w:val="clear" w:color="auto" w:fill="auto"/>
            <w:noWrap/>
            <w:hideMark/>
          </w:tcPr>
          <w:p w14:paraId="6C17D562" w14:textId="4F7FA7D6" w:rsidR="00FA3A2A" w:rsidRPr="00B912DC" w:rsidRDefault="00FA3A2A"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17.7%</w:t>
            </w:r>
          </w:p>
        </w:tc>
        <w:tc>
          <w:tcPr>
            <w:tcW w:w="1620" w:type="dxa"/>
            <w:tcBorders>
              <w:top w:val="single" w:sz="12" w:space="0" w:color="auto"/>
              <w:left w:val="single" w:sz="18" w:space="0" w:color="auto"/>
              <w:bottom w:val="nil"/>
              <w:right w:val="single" w:sz="18" w:space="0" w:color="auto"/>
            </w:tcBorders>
            <w:shd w:val="clear" w:color="auto" w:fill="auto"/>
            <w:noWrap/>
          </w:tcPr>
          <w:p w14:paraId="6EECC608" w14:textId="132191AD" w:rsidR="00FA3A2A" w:rsidRPr="00B912DC" w:rsidRDefault="00FA3A2A" w:rsidP="00416B60">
            <w:pPr>
              <w:keepNext/>
              <w:keepLines/>
              <w:jc w:val="right"/>
              <w:rPr>
                <w:rFonts w:ascii="Times New Roman" w:eastAsia="Times New Roman" w:hAnsi="Times New Roman" w:cs="Times New Roman"/>
                <w:i/>
                <w:iCs/>
                <w:color w:val="000000"/>
              </w:rPr>
            </w:pPr>
            <w:r w:rsidRPr="00B912DC">
              <w:rPr>
                <w:rFonts w:ascii="Times New Roman" w:eastAsia="Times New Roman" w:hAnsi="Times New Roman" w:cs="Times New Roman"/>
                <w:color w:val="000000"/>
              </w:rPr>
              <w:t>1.2%</w:t>
            </w:r>
          </w:p>
        </w:tc>
      </w:tr>
      <w:tr w:rsidR="00FA3A2A" w:rsidRPr="00B912DC" w14:paraId="50D603F5" w14:textId="77777777" w:rsidTr="00DB4EAD">
        <w:trPr>
          <w:trHeight w:val="288"/>
        </w:trPr>
        <w:tc>
          <w:tcPr>
            <w:tcW w:w="5235" w:type="dxa"/>
            <w:tcBorders>
              <w:top w:val="nil"/>
              <w:left w:val="single" w:sz="8" w:space="0" w:color="auto"/>
              <w:bottom w:val="single" w:sz="8" w:space="0" w:color="auto"/>
              <w:right w:val="single" w:sz="18" w:space="0" w:color="auto"/>
            </w:tcBorders>
            <w:shd w:val="clear" w:color="auto" w:fill="auto"/>
            <w:vAlign w:val="center"/>
            <w:hideMark/>
          </w:tcPr>
          <w:p w14:paraId="2768C8F5" w14:textId="77777777" w:rsidR="00FA3A2A" w:rsidRPr="00B912DC" w:rsidRDefault="00FA3A2A" w:rsidP="00416B60">
            <w:pPr>
              <w:keepNext/>
              <w:keepLines/>
              <w:rPr>
                <w:rFonts w:ascii="Times New Roman" w:eastAsia="Times New Roman" w:hAnsi="Times New Roman" w:cs="Times New Roman"/>
                <w:i/>
                <w:iCs/>
                <w:color w:val="000000"/>
              </w:rPr>
            </w:pPr>
            <w:r w:rsidRPr="00B912DC">
              <w:rPr>
                <w:rFonts w:ascii="Times New Roman" w:eastAsia="Times New Roman" w:hAnsi="Times New Roman" w:cs="Times New Roman"/>
                <w:color w:val="000000"/>
              </w:rPr>
              <w:t>Hardship Discharge</w:t>
            </w:r>
          </w:p>
        </w:tc>
        <w:tc>
          <w:tcPr>
            <w:tcW w:w="1530" w:type="dxa"/>
            <w:tcBorders>
              <w:top w:val="nil"/>
              <w:left w:val="single" w:sz="18" w:space="0" w:color="auto"/>
              <w:bottom w:val="single" w:sz="8" w:space="0" w:color="auto"/>
              <w:right w:val="single" w:sz="18" w:space="0" w:color="auto"/>
            </w:tcBorders>
            <w:shd w:val="clear" w:color="auto" w:fill="auto"/>
            <w:noWrap/>
            <w:hideMark/>
          </w:tcPr>
          <w:p w14:paraId="59DDC646" w14:textId="1167B7A1" w:rsidR="00FA3A2A" w:rsidRPr="00B912DC" w:rsidRDefault="00FA3A2A"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0.1%</w:t>
            </w:r>
          </w:p>
        </w:tc>
        <w:tc>
          <w:tcPr>
            <w:tcW w:w="1620" w:type="dxa"/>
            <w:tcBorders>
              <w:top w:val="single" w:sz="6" w:space="0" w:color="auto"/>
              <w:left w:val="single" w:sz="18" w:space="0" w:color="auto"/>
              <w:bottom w:val="nil"/>
              <w:right w:val="single" w:sz="18" w:space="0" w:color="auto"/>
            </w:tcBorders>
            <w:shd w:val="clear" w:color="auto" w:fill="auto"/>
            <w:noWrap/>
          </w:tcPr>
          <w:p w14:paraId="6DE6F871" w14:textId="0B159B90" w:rsidR="00FA3A2A" w:rsidRPr="00B912DC" w:rsidRDefault="00FA3A2A" w:rsidP="00416B60">
            <w:pPr>
              <w:keepNext/>
              <w:keepLines/>
              <w:jc w:val="right"/>
              <w:rPr>
                <w:rFonts w:ascii="Times New Roman" w:eastAsia="Times New Roman" w:hAnsi="Times New Roman" w:cs="Times New Roman"/>
                <w:i/>
                <w:iCs/>
                <w:color w:val="000000"/>
              </w:rPr>
            </w:pPr>
            <w:r w:rsidRPr="00B912DC">
              <w:rPr>
                <w:rFonts w:ascii="Times New Roman" w:eastAsia="Times New Roman" w:hAnsi="Times New Roman" w:cs="Times New Roman"/>
                <w:color w:val="000000"/>
              </w:rPr>
              <w:t>0.0%</w:t>
            </w:r>
          </w:p>
        </w:tc>
      </w:tr>
      <w:tr w:rsidR="00FA3A2A" w:rsidRPr="00B912DC" w14:paraId="2838C9B5" w14:textId="77777777" w:rsidTr="00DB4EAD">
        <w:trPr>
          <w:trHeight w:val="320"/>
        </w:trPr>
        <w:tc>
          <w:tcPr>
            <w:tcW w:w="5235" w:type="dxa"/>
            <w:tcBorders>
              <w:top w:val="nil"/>
              <w:left w:val="single" w:sz="8" w:space="0" w:color="auto"/>
              <w:bottom w:val="single" w:sz="8" w:space="0" w:color="auto"/>
              <w:right w:val="single" w:sz="18" w:space="0" w:color="auto"/>
            </w:tcBorders>
            <w:shd w:val="clear" w:color="auto" w:fill="auto"/>
            <w:vAlign w:val="center"/>
            <w:hideMark/>
          </w:tcPr>
          <w:p w14:paraId="3D62A00D" w14:textId="77777777" w:rsidR="00FA3A2A" w:rsidRPr="00B912DC" w:rsidRDefault="00FA3A2A" w:rsidP="00416B60">
            <w:pPr>
              <w:keepNext/>
              <w:keepLines/>
              <w:rPr>
                <w:rFonts w:ascii="Times New Roman" w:eastAsia="Times New Roman" w:hAnsi="Times New Roman" w:cs="Times New Roman"/>
                <w:i/>
                <w:iCs/>
                <w:color w:val="000000"/>
              </w:rPr>
            </w:pPr>
            <w:r w:rsidRPr="00B912DC">
              <w:rPr>
                <w:rFonts w:ascii="Times New Roman" w:eastAsia="Times New Roman" w:hAnsi="Times New Roman" w:cs="Times New Roman"/>
                <w:color w:val="000000"/>
              </w:rPr>
              <w:t>Blank</w:t>
            </w:r>
          </w:p>
        </w:tc>
        <w:tc>
          <w:tcPr>
            <w:tcW w:w="1530" w:type="dxa"/>
            <w:tcBorders>
              <w:top w:val="nil"/>
              <w:left w:val="single" w:sz="18" w:space="0" w:color="auto"/>
              <w:bottom w:val="single" w:sz="8" w:space="0" w:color="auto"/>
              <w:right w:val="single" w:sz="18" w:space="0" w:color="auto"/>
            </w:tcBorders>
            <w:shd w:val="clear" w:color="auto" w:fill="auto"/>
            <w:noWrap/>
            <w:hideMark/>
          </w:tcPr>
          <w:p w14:paraId="03C1C8D8" w14:textId="0915F407" w:rsidR="00FA3A2A" w:rsidRPr="00B912DC" w:rsidRDefault="00FA3A2A"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27.9%</w:t>
            </w:r>
          </w:p>
        </w:tc>
        <w:tc>
          <w:tcPr>
            <w:tcW w:w="1620" w:type="dxa"/>
            <w:tcBorders>
              <w:top w:val="single" w:sz="6" w:space="0" w:color="auto"/>
              <w:left w:val="single" w:sz="18" w:space="0" w:color="auto"/>
              <w:bottom w:val="nil"/>
              <w:right w:val="single" w:sz="18" w:space="0" w:color="auto"/>
            </w:tcBorders>
            <w:shd w:val="clear" w:color="auto" w:fill="auto"/>
            <w:noWrap/>
          </w:tcPr>
          <w:p w14:paraId="650FBFAA" w14:textId="60209466" w:rsidR="00FA3A2A" w:rsidRPr="00B912DC" w:rsidRDefault="00FA3A2A" w:rsidP="00416B60">
            <w:pPr>
              <w:keepNext/>
              <w:keepLines/>
              <w:jc w:val="right"/>
              <w:rPr>
                <w:rFonts w:ascii="Times New Roman" w:eastAsia="Times New Roman" w:hAnsi="Times New Roman" w:cs="Times New Roman"/>
                <w:i/>
                <w:iCs/>
                <w:color w:val="000000"/>
              </w:rPr>
            </w:pPr>
            <w:r w:rsidRPr="00B912DC">
              <w:rPr>
                <w:rFonts w:ascii="Times New Roman" w:eastAsia="Times New Roman" w:hAnsi="Times New Roman" w:cs="Times New Roman"/>
                <w:color w:val="000000"/>
              </w:rPr>
              <w:t>52.5%</w:t>
            </w:r>
          </w:p>
        </w:tc>
      </w:tr>
      <w:tr w:rsidR="00FA3A2A" w:rsidRPr="00B912DC" w14:paraId="10E19494" w14:textId="77777777" w:rsidTr="00DB4EAD">
        <w:trPr>
          <w:trHeight w:val="288"/>
        </w:trPr>
        <w:tc>
          <w:tcPr>
            <w:tcW w:w="5235" w:type="dxa"/>
            <w:tcBorders>
              <w:top w:val="nil"/>
              <w:left w:val="single" w:sz="8" w:space="0" w:color="auto"/>
              <w:bottom w:val="thinThickSmallGap" w:sz="12" w:space="0" w:color="auto"/>
              <w:right w:val="single" w:sz="18" w:space="0" w:color="auto"/>
            </w:tcBorders>
            <w:shd w:val="clear" w:color="auto" w:fill="auto"/>
            <w:vAlign w:val="center"/>
            <w:hideMark/>
          </w:tcPr>
          <w:p w14:paraId="259EDC47" w14:textId="77777777" w:rsidR="00FA3A2A" w:rsidRPr="00B912DC" w:rsidRDefault="00FA3A2A" w:rsidP="00416B60">
            <w:pPr>
              <w:keepNext/>
              <w:keepLines/>
              <w:rPr>
                <w:rFonts w:ascii="Times New Roman" w:eastAsia="Times New Roman" w:hAnsi="Times New Roman" w:cs="Times New Roman"/>
                <w:i/>
                <w:iCs/>
                <w:color w:val="000000"/>
              </w:rPr>
            </w:pPr>
            <w:r w:rsidRPr="00B912DC">
              <w:rPr>
                <w:rFonts w:ascii="Times New Roman" w:eastAsia="Times New Roman" w:hAnsi="Times New Roman" w:cs="Times New Roman"/>
                <w:color w:val="000000"/>
              </w:rPr>
              <w:t>Discharge Not Applicable</w:t>
            </w:r>
          </w:p>
        </w:tc>
        <w:tc>
          <w:tcPr>
            <w:tcW w:w="1530" w:type="dxa"/>
            <w:tcBorders>
              <w:top w:val="nil"/>
              <w:left w:val="single" w:sz="18" w:space="0" w:color="auto"/>
              <w:bottom w:val="thinThickSmallGap" w:sz="12" w:space="0" w:color="auto"/>
              <w:right w:val="single" w:sz="18" w:space="0" w:color="auto"/>
            </w:tcBorders>
            <w:shd w:val="clear" w:color="auto" w:fill="auto"/>
            <w:noWrap/>
            <w:hideMark/>
          </w:tcPr>
          <w:p w14:paraId="630F384B" w14:textId="732AB9FB" w:rsidR="00FA3A2A" w:rsidRPr="00B912DC" w:rsidRDefault="00FA3A2A"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0.1%</w:t>
            </w:r>
          </w:p>
        </w:tc>
        <w:tc>
          <w:tcPr>
            <w:tcW w:w="1620" w:type="dxa"/>
            <w:tcBorders>
              <w:top w:val="single" w:sz="6" w:space="0" w:color="auto"/>
              <w:left w:val="single" w:sz="18" w:space="0" w:color="auto"/>
              <w:bottom w:val="thinThickSmallGap" w:sz="12" w:space="0" w:color="auto"/>
              <w:right w:val="single" w:sz="18" w:space="0" w:color="auto"/>
            </w:tcBorders>
            <w:shd w:val="clear" w:color="auto" w:fill="auto"/>
            <w:noWrap/>
          </w:tcPr>
          <w:p w14:paraId="52D001CA" w14:textId="23480B96" w:rsidR="00FA3A2A" w:rsidRPr="00B912DC" w:rsidRDefault="00FA3A2A" w:rsidP="00416B60">
            <w:pPr>
              <w:keepNext/>
              <w:keepLines/>
              <w:jc w:val="right"/>
              <w:rPr>
                <w:rFonts w:ascii="Times New Roman" w:eastAsia="Times New Roman" w:hAnsi="Times New Roman" w:cs="Times New Roman"/>
                <w:i/>
                <w:iCs/>
                <w:color w:val="000000"/>
              </w:rPr>
            </w:pPr>
            <w:r w:rsidRPr="00B912DC">
              <w:rPr>
                <w:rFonts w:ascii="Times New Roman" w:eastAsia="Times New Roman" w:hAnsi="Times New Roman" w:cs="Times New Roman"/>
                <w:color w:val="000000"/>
              </w:rPr>
              <w:t>0.0%</w:t>
            </w:r>
          </w:p>
        </w:tc>
      </w:tr>
      <w:tr w:rsidR="00FA3A2A" w:rsidRPr="00B912DC" w14:paraId="3DBB6C03" w14:textId="77777777" w:rsidTr="00DB4EAD">
        <w:trPr>
          <w:trHeight w:val="432"/>
        </w:trPr>
        <w:tc>
          <w:tcPr>
            <w:tcW w:w="5235" w:type="dxa"/>
            <w:tcBorders>
              <w:top w:val="thinThickSmallGap" w:sz="12" w:space="0" w:color="auto"/>
              <w:left w:val="thinThickSmallGap" w:sz="12" w:space="0" w:color="auto"/>
              <w:bottom w:val="thinThickSmallGap" w:sz="12" w:space="0" w:color="auto"/>
              <w:right w:val="single" w:sz="18" w:space="0" w:color="auto"/>
            </w:tcBorders>
            <w:shd w:val="clear" w:color="auto" w:fill="auto"/>
            <w:vAlign w:val="center"/>
            <w:hideMark/>
          </w:tcPr>
          <w:p w14:paraId="390D9E59" w14:textId="36B50617" w:rsidR="00FA3A2A" w:rsidRPr="00B912DC" w:rsidRDefault="00FA3A2A" w:rsidP="00416B60">
            <w:pPr>
              <w:keepNext/>
              <w:keepLines/>
              <w:rPr>
                <w:rFonts w:ascii="Times New Roman" w:eastAsia="Times New Roman" w:hAnsi="Times New Roman" w:cs="Times New Roman"/>
                <w:b/>
                <w:bCs/>
                <w:i/>
                <w:iCs/>
                <w:color w:val="000000"/>
              </w:rPr>
            </w:pPr>
            <w:r w:rsidRPr="00B912DC">
              <w:rPr>
                <w:rFonts w:ascii="Times New Roman" w:eastAsia="Times New Roman" w:hAnsi="Times New Roman" w:cs="Times New Roman"/>
                <w:b/>
                <w:bCs/>
                <w:color w:val="000000"/>
              </w:rPr>
              <w:t>Total "Su</w:t>
            </w:r>
            <w:r w:rsidR="00D53EAA">
              <w:rPr>
                <w:rFonts w:ascii="Times New Roman" w:eastAsia="Times New Roman" w:hAnsi="Times New Roman" w:cs="Times New Roman"/>
                <w:b/>
                <w:bCs/>
                <w:color w:val="000000"/>
              </w:rPr>
              <w:t>rvive</w:t>
            </w:r>
            <w:r w:rsidRPr="00B912DC">
              <w:rPr>
                <w:rFonts w:ascii="Times New Roman" w:eastAsia="Times New Roman" w:hAnsi="Times New Roman" w:cs="Times New Roman"/>
                <w:b/>
                <w:bCs/>
                <w:color w:val="000000"/>
              </w:rPr>
              <w:t>"</w:t>
            </w:r>
          </w:p>
        </w:tc>
        <w:tc>
          <w:tcPr>
            <w:tcW w:w="1530" w:type="dxa"/>
            <w:tcBorders>
              <w:top w:val="thinThickSmallGap" w:sz="12" w:space="0" w:color="auto"/>
              <w:left w:val="single" w:sz="18" w:space="0" w:color="auto"/>
              <w:bottom w:val="thinThickSmallGap" w:sz="12" w:space="0" w:color="auto"/>
              <w:right w:val="single" w:sz="18" w:space="0" w:color="auto"/>
            </w:tcBorders>
            <w:shd w:val="clear" w:color="auto" w:fill="auto"/>
            <w:noWrap/>
            <w:hideMark/>
          </w:tcPr>
          <w:p w14:paraId="127E029E" w14:textId="06AC4091" w:rsidR="00FA3A2A" w:rsidRPr="00B912DC" w:rsidRDefault="00FA3A2A" w:rsidP="00416B60">
            <w:pPr>
              <w:keepNext/>
              <w:keepLines/>
              <w:jc w:val="right"/>
              <w:rPr>
                <w:rFonts w:ascii="Times New Roman" w:eastAsia="Times New Roman" w:hAnsi="Times New Roman" w:cs="Times New Roman"/>
                <w:b/>
                <w:bCs/>
                <w:color w:val="000000"/>
              </w:rPr>
            </w:pPr>
            <w:r w:rsidRPr="00B912DC">
              <w:rPr>
                <w:rFonts w:ascii="Times New Roman" w:eastAsia="Times New Roman" w:hAnsi="Times New Roman" w:cs="Times New Roman"/>
                <w:color w:val="000000"/>
              </w:rPr>
              <w:t>45.8%</w:t>
            </w:r>
          </w:p>
        </w:tc>
        <w:tc>
          <w:tcPr>
            <w:tcW w:w="1620" w:type="dxa"/>
            <w:tcBorders>
              <w:top w:val="thinThickSmallGap" w:sz="12" w:space="0" w:color="auto"/>
              <w:left w:val="single" w:sz="18" w:space="0" w:color="auto"/>
              <w:bottom w:val="thinThickSmallGap" w:sz="12" w:space="0" w:color="auto"/>
              <w:right w:val="single" w:sz="18" w:space="0" w:color="auto"/>
            </w:tcBorders>
            <w:shd w:val="clear" w:color="auto" w:fill="auto"/>
            <w:noWrap/>
          </w:tcPr>
          <w:p w14:paraId="66E6C25E" w14:textId="7E6ACDD9" w:rsidR="00FA3A2A" w:rsidRPr="00B912DC" w:rsidRDefault="00FA3A2A" w:rsidP="00416B60">
            <w:pPr>
              <w:keepNext/>
              <w:keepLines/>
              <w:jc w:val="right"/>
              <w:rPr>
                <w:rFonts w:ascii="Times New Roman" w:eastAsia="Times New Roman" w:hAnsi="Times New Roman" w:cs="Times New Roman"/>
                <w:i/>
                <w:iCs/>
                <w:color w:val="000000"/>
              </w:rPr>
            </w:pPr>
            <w:r w:rsidRPr="00B912DC">
              <w:rPr>
                <w:rFonts w:ascii="Times New Roman" w:eastAsia="Times New Roman" w:hAnsi="Times New Roman" w:cs="Times New Roman"/>
                <w:color w:val="000000"/>
              </w:rPr>
              <w:t>53.8%</w:t>
            </w:r>
          </w:p>
        </w:tc>
      </w:tr>
      <w:tr w:rsidR="00FA3A2A" w:rsidRPr="00B912DC" w14:paraId="20DF3620" w14:textId="77777777" w:rsidTr="00DB4EAD">
        <w:trPr>
          <w:trHeight w:val="288"/>
        </w:trPr>
        <w:tc>
          <w:tcPr>
            <w:tcW w:w="5235" w:type="dxa"/>
            <w:tcBorders>
              <w:top w:val="thinThickSmallGap" w:sz="12" w:space="0" w:color="auto"/>
              <w:left w:val="single" w:sz="8" w:space="0" w:color="auto"/>
              <w:bottom w:val="single" w:sz="8" w:space="0" w:color="auto"/>
              <w:right w:val="single" w:sz="18" w:space="0" w:color="auto"/>
            </w:tcBorders>
            <w:shd w:val="clear" w:color="auto" w:fill="auto"/>
            <w:vAlign w:val="center"/>
            <w:hideMark/>
          </w:tcPr>
          <w:p w14:paraId="5A2B7D17" w14:textId="77777777" w:rsidR="00FA3A2A" w:rsidRPr="00B912DC" w:rsidRDefault="00FA3A2A" w:rsidP="00416B60">
            <w:pPr>
              <w:keepNext/>
              <w:keepLines/>
              <w:rPr>
                <w:rFonts w:ascii="Times New Roman" w:eastAsia="Times New Roman" w:hAnsi="Times New Roman" w:cs="Times New Roman"/>
                <w:i/>
                <w:iCs/>
                <w:color w:val="000000"/>
              </w:rPr>
            </w:pPr>
            <w:r w:rsidRPr="00B912DC">
              <w:rPr>
                <w:rFonts w:ascii="Times New Roman" w:eastAsia="Times New Roman" w:hAnsi="Times New Roman" w:cs="Times New Roman"/>
                <w:color w:val="000000"/>
              </w:rPr>
              <w:t>Converted to Chapter 7</w:t>
            </w:r>
          </w:p>
        </w:tc>
        <w:tc>
          <w:tcPr>
            <w:tcW w:w="1530" w:type="dxa"/>
            <w:tcBorders>
              <w:top w:val="thinThickSmallGap" w:sz="12" w:space="0" w:color="auto"/>
              <w:left w:val="single" w:sz="18" w:space="0" w:color="auto"/>
              <w:bottom w:val="single" w:sz="8" w:space="0" w:color="auto"/>
              <w:right w:val="single" w:sz="18" w:space="0" w:color="auto"/>
            </w:tcBorders>
            <w:shd w:val="clear" w:color="auto" w:fill="auto"/>
            <w:noWrap/>
            <w:hideMark/>
          </w:tcPr>
          <w:p w14:paraId="06376B05" w14:textId="62A0AD26" w:rsidR="00FA3A2A" w:rsidRPr="00B912DC" w:rsidRDefault="00FA3A2A"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10.6%</w:t>
            </w:r>
          </w:p>
        </w:tc>
        <w:tc>
          <w:tcPr>
            <w:tcW w:w="1620" w:type="dxa"/>
            <w:tcBorders>
              <w:top w:val="thinThickSmallGap" w:sz="12" w:space="0" w:color="auto"/>
              <w:left w:val="single" w:sz="18" w:space="0" w:color="auto"/>
              <w:bottom w:val="nil"/>
              <w:right w:val="single" w:sz="18" w:space="0" w:color="auto"/>
            </w:tcBorders>
            <w:shd w:val="clear" w:color="auto" w:fill="auto"/>
            <w:noWrap/>
          </w:tcPr>
          <w:p w14:paraId="0F71EEB4" w14:textId="28DA9D41" w:rsidR="00FA3A2A" w:rsidRPr="00B912DC" w:rsidRDefault="00FA3A2A" w:rsidP="00416B60">
            <w:pPr>
              <w:keepNext/>
              <w:keepLines/>
              <w:jc w:val="right"/>
              <w:rPr>
                <w:rFonts w:ascii="Times New Roman" w:eastAsia="Times New Roman" w:hAnsi="Times New Roman" w:cs="Times New Roman"/>
                <w:i/>
                <w:iCs/>
                <w:color w:val="000000"/>
              </w:rPr>
            </w:pPr>
            <w:r w:rsidRPr="00B912DC">
              <w:rPr>
                <w:rFonts w:ascii="Times New Roman" w:eastAsia="Times New Roman" w:hAnsi="Times New Roman" w:cs="Times New Roman"/>
                <w:color w:val="000000"/>
              </w:rPr>
              <w:t>6.7%</w:t>
            </w:r>
          </w:p>
        </w:tc>
      </w:tr>
      <w:tr w:rsidR="00FA3A2A" w:rsidRPr="00B912DC" w14:paraId="31632183" w14:textId="77777777" w:rsidTr="00DB4EAD">
        <w:trPr>
          <w:trHeight w:val="320"/>
        </w:trPr>
        <w:tc>
          <w:tcPr>
            <w:tcW w:w="5235" w:type="dxa"/>
            <w:tcBorders>
              <w:top w:val="nil"/>
              <w:left w:val="single" w:sz="8" w:space="0" w:color="auto"/>
              <w:bottom w:val="single" w:sz="8" w:space="0" w:color="auto"/>
              <w:right w:val="single" w:sz="18" w:space="0" w:color="auto"/>
            </w:tcBorders>
            <w:shd w:val="clear" w:color="auto" w:fill="auto"/>
            <w:vAlign w:val="center"/>
            <w:hideMark/>
          </w:tcPr>
          <w:p w14:paraId="2E2C2F16" w14:textId="77777777" w:rsidR="00FA3A2A" w:rsidRPr="00B912DC" w:rsidRDefault="00FA3A2A" w:rsidP="00416B60">
            <w:pPr>
              <w:keepNext/>
              <w:keepLines/>
              <w:rPr>
                <w:rFonts w:ascii="Times New Roman" w:eastAsia="Times New Roman" w:hAnsi="Times New Roman" w:cs="Times New Roman"/>
                <w:i/>
                <w:iCs/>
                <w:color w:val="000000"/>
              </w:rPr>
            </w:pPr>
            <w:r w:rsidRPr="00B912DC">
              <w:rPr>
                <w:rFonts w:ascii="Times New Roman" w:eastAsia="Times New Roman" w:hAnsi="Times New Roman" w:cs="Times New Roman"/>
                <w:color w:val="000000"/>
              </w:rPr>
              <w:t>Dismissed</w:t>
            </w:r>
          </w:p>
        </w:tc>
        <w:tc>
          <w:tcPr>
            <w:tcW w:w="1530" w:type="dxa"/>
            <w:tcBorders>
              <w:top w:val="nil"/>
              <w:left w:val="single" w:sz="18" w:space="0" w:color="auto"/>
              <w:bottom w:val="single" w:sz="8" w:space="0" w:color="auto"/>
              <w:right w:val="single" w:sz="18" w:space="0" w:color="auto"/>
            </w:tcBorders>
            <w:shd w:val="clear" w:color="auto" w:fill="auto"/>
            <w:noWrap/>
            <w:hideMark/>
          </w:tcPr>
          <w:p w14:paraId="425CDE0C" w14:textId="204489CE" w:rsidR="00FA3A2A" w:rsidRPr="00B912DC" w:rsidRDefault="00FA3A2A"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42.8%</w:t>
            </w:r>
          </w:p>
        </w:tc>
        <w:tc>
          <w:tcPr>
            <w:tcW w:w="1620" w:type="dxa"/>
            <w:tcBorders>
              <w:top w:val="single" w:sz="6" w:space="0" w:color="auto"/>
              <w:left w:val="single" w:sz="18" w:space="0" w:color="auto"/>
              <w:bottom w:val="nil"/>
              <w:right w:val="single" w:sz="18" w:space="0" w:color="auto"/>
            </w:tcBorders>
            <w:shd w:val="clear" w:color="auto" w:fill="auto"/>
            <w:noWrap/>
          </w:tcPr>
          <w:p w14:paraId="691A4F5A" w14:textId="316DBFCE" w:rsidR="00FA3A2A" w:rsidRPr="00B912DC" w:rsidRDefault="00FA3A2A" w:rsidP="00416B60">
            <w:pPr>
              <w:keepNext/>
              <w:keepLines/>
              <w:jc w:val="right"/>
              <w:rPr>
                <w:rFonts w:ascii="Times New Roman" w:eastAsia="Times New Roman" w:hAnsi="Times New Roman" w:cs="Times New Roman"/>
                <w:i/>
                <w:iCs/>
                <w:color w:val="000000"/>
              </w:rPr>
            </w:pPr>
            <w:r w:rsidRPr="00B912DC">
              <w:rPr>
                <w:rFonts w:ascii="Times New Roman" w:eastAsia="Times New Roman" w:hAnsi="Times New Roman" w:cs="Times New Roman"/>
                <w:color w:val="000000"/>
              </w:rPr>
              <w:t>39.0%</w:t>
            </w:r>
          </w:p>
        </w:tc>
      </w:tr>
      <w:tr w:rsidR="00FA3A2A" w:rsidRPr="00B912DC" w14:paraId="705B780C" w14:textId="77777777" w:rsidTr="00DB4EAD">
        <w:trPr>
          <w:trHeight w:val="576"/>
        </w:trPr>
        <w:tc>
          <w:tcPr>
            <w:tcW w:w="5235" w:type="dxa"/>
            <w:tcBorders>
              <w:top w:val="nil"/>
              <w:left w:val="single" w:sz="8" w:space="0" w:color="auto"/>
              <w:bottom w:val="thinThickSmallGap" w:sz="12" w:space="0" w:color="auto"/>
              <w:right w:val="single" w:sz="18" w:space="0" w:color="auto"/>
            </w:tcBorders>
            <w:shd w:val="clear" w:color="auto" w:fill="auto"/>
            <w:vAlign w:val="center"/>
            <w:hideMark/>
          </w:tcPr>
          <w:p w14:paraId="4309750F" w14:textId="77777777" w:rsidR="00FA3A2A" w:rsidRPr="00B912DC" w:rsidRDefault="00FA3A2A" w:rsidP="00416B60">
            <w:pPr>
              <w:keepNext/>
              <w:keepLines/>
              <w:rPr>
                <w:rFonts w:ascii="Times New Roman" w:eastAsia="Times New Roman" w:hAnsi="Times New Roman" w:cs="Times New Roman"/>
                <w:i/>
                <w:iCs/>
                <w:color w:val="000000"/>
              </w:rPr>
            </w:pPr>
            <w:r w:rsidRPr="00B912DC">
              <w:rPr>
                <w:rFonts w:ascii="Times New Roman" w:eastAsia="Times New Roman" w:hAnsi="Times New Roman" w:cs="Times New Roman"/>
                <w:color w:val="000000"/>
              </w:rPr>
              <w:t>Discharge Denied, Revoked or Withheld</w:t>
            </w:r>
          </w:p>
        </w:tc>
        <w:tc>
          <w:tcPr>
            <w:tcW w:w="1530" w:type="dxa"/>
            <w:tcBorders>
              <w:top w:val="nil"/>
              <w:left w:val="single" w:sz="18" w:space="0" w:color="auto"/>
              <w:bottom w:val="thinThickSmallGap" w:sz="12" w:space="0" w:color="auto"/>
              <w:right w:val="single" w:sz="18" w:space="0" w:color="auto"/>
            </w:tcBorders>
            <w:shd w:val="clear" w:color="auto" w:fill="auto"/>
            <w:noWrap/>
            <w:hideMark/>
          </w:tcPr>
          <w:p w14:paraId="13DEB42A" w14:textId="0B0A0F06" w:rsidR="00FA3A2A" w:rsidRPr="00B912DC" w:rsidRDefault="00FA3A2A"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0.5%</w:t>
            </w:r>
          </w:p>
        </w:tc>
        <w:tc>
          <w:tcPr>
            <w:tcW w:w="1620" w:type="dxa"/>
            <w:tcBorders>
              <w:top w:val="single" w:sz="6" w:space="0" w:color="auto"/>
              <w:left w:val="single" w:sz="18" w:space="0" w:color="auto"/>
              <w:bottom w:val="thinThickSmallGap" w:sz="12" w:space="0" w:color="auto"/>
              <w:right w:val="single" w:sz="18" w:space="0" w:color="auto"/>
            </w:tcBorders>
            <w:shd w:val="clear" w:color="auto" w:fill="auto"/>
            <w:noWrap/>
          </w:tcPr>
          <w:p w14:paraId="14FE06E7" w14:textId="08BCE402" w:rsidR="00FA3A2A" w:rsidRPr="00B912DC" w:rsidRDefault="00FA3A2A" w:rsidP="00416B60">
            <w:pPr>
              <w:keepNext/>
              <w:keepLines/>
              <w:jc w:val="right"/>
              <w:rPr>
                <w:rFonts w:ascii="Times New Roman" w:eastAsia="Times New Roman" w:hAnsi="Times New Roman" w:cs="Times New Roman"/>
                <w:i/>
                <w:iCs/>
                <w:color w:val="000000"/>
              </w:rPr>
            </w:pPr>
            <w:r w:rsidRPr="00B912DC">
              <w:rPr>
                <w:rFonts w:ascii="Times New Roman" w:eastAsia="Times New Roman" w:hAnsi="Times New Roman" w:cs="Times New Roman"/>
                <w:color w:val="000000"/>
              </w:rPr>
              <w:t>0.2%</w:t>
            </w:r>
          </w:p>
        </w:tc>
      </w:tr>
      <w:tr w:rsidR="00FA3A2A" w:rsidRPr="00B912DC" w14:paraId="3520F671" w14:textId="77777777" w:rsidTr="00DB4EAD">
        <w:trPr>
          <w:trHeight w:val="288"/>
        </w:trPr>
        <w:tc>
          <w:tcPr>
            <w:tcW w:w="5235" w:type="dxa"/>
            <w:tcBorders>
              <w:top w:val="thinThickSmallGap" w:sz="12" w:space="0" w:color="auto"/>
              <w:left w:val="single" w:sz="8" w:space="0" w:color="auto"/>
              <w:bottom w:val="single" w:sz="8" w:space="0" w:color="auto"/>
              <w:right w:val="single" w:sz="18" w:space="0" w:color="auto"/>
            </w:tcBorders>
            <w:shd w:val="clear" w:color="auto" w:fill="auto"/>
            <w:vAlign w:val="center"/>
            <w:hideMark/>
          </w:tcPr>
          <w:p w14:paraId="37C90806" w14:textId="77777777" w:rsidR="00FA3A2A" w:rsidRPr="00B912DC" w:rsidRDefault="00FA3A2A" w:rsidP="00416B60">
            <w:pPr>
              <w:keepNext/>
              <w:keepLines/>
              <w:rPr>
                <w:rFonts w:ascii="Times New Roman" w:eastAsia="Times New Roman" w:hAnsi="Times New Roman" w:cs="Times New Roman"/>
                <w:i/>
                <w:iCs/>
                <w:color w:val="000000"/>
              </w:rPr>
            </w:pPr>
            <w:r w:rsidRPr="00B912DC">
              <w:rPr>
                <w:rFonts w:ascii="Times New Roman" w:eastAsia="Times New Roman" w:hAnsi="Times New Roman" w:cs="Times New Roman"/>
                <w:color w:val="000000"/>
              </w:rPr>
              <w:t>Case Transferred</w:t>
            </w:r>
          </w:p>
        </w:tc>
        <w:tc>
          <w:tcPr>
            <w:tcW w:w="1530" w:type="dxa"/>
            <w:tcBorders>
              <w:top w:val="thinThickSmallGap" w:sz="12" w:space="0" w:color="auto"/>
              <w:left w:val="single" w:sz="18" w:space="0" w:color="auto"/>
              <w:bottom w:val="single" w:sz="8" w:space="0" w:color="auto"/>
              <w:right w:val="single" w:sz="18" w:space="0" w:color="auto"/>
            </w:tcBorders>
            <w:shd w:val="clear" w:color="auto" w:fill="auto"/>
            <w:noWrap/>
            <w:hideMark/>
          </w:tcPr>
          <w:p w14:paraId="25B9829E" w14:textId="38FF3A57" w:rsidR="00FA3A2A" w:rsidRPr="00B912DC" w:rsidRDefault="00FA3A2A"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0.1%</w:t>
            </w:r>
          </w:p>
        </w:tc>
        <w:tc>
          <w:tcPr>
            <w:tcW w:w="1620" w:type="dxa"/>
            <w:tcBorders>
              <w:top w:val="thinThickSmallGap" w:sz="12" w:space="0" w:color="auto"/>
              <w:left w:val="single" w:sz="18" w:space="0" w:color="auto"/>
              <w:bottom w:val="nil"/>
              <w:right w:val="single" w:sz="18" w:space="0" w:color="auto"/>
            </w:tcBorders>
            <w:shd w:val="clear" w:color="auto" w:fill="auto"/>
            <w:noWrap/>
          </w:tcPr>
          <w:p w14:paraId="7020CB37" w14:textId="14C59BFF" w:rsidR="00FA3A2A" w:rsidRPr="00B912DC" w:rsidRDefault="00FA3A2A" w:rsidP="00416B60">
            <w:pPr>
              <w:keepNext/>
              <w:keepLines/>
              <w:jc w:val="right"/>
              <w:rPr>
                <w:rFonts w:ascii="Times New Roman" w:eastAsia="Times New Roman" w:hAnsi="Times New Roman" w:cs="Times New Roman"/>
                <w:i/>
                <w:iCs/>
                <w:color w:val="000000"/>
              </w:rPr>
            </w:pPr>
            <w:r w:rsidRPr="00B912DC">
              <w:rPr>
                <w:rFonts w:ascii="Times New Roman" w:eastAsia="Times New Roman" w:hAnsi="Times New Roman" w:cs="Times New Roman"/>
                <w:color w:val="000000"/>
              </w:rPr>
              <w:t>0.1%</w:t>
            </w:r>
          </w:p>
        </w:tc>
      </w:tr>
      <w:tr w:rsidR="00FA3A2A" w:rsidRPr="00B912DC" w14:paraId="188E10BC" w14:textId="77777777" w:rsidTr="00DB4EAD">
        <w:trPr>
          <w:trHeight w:val="320"/>
        </w:trPr>
        <w:tc>
          <w:tcPr>
            <w:tcW w:w="5235" w:type="dxa"/>
            <w:tcBorders>
              <w:top w:val="nil"/>
              <w:left w:val="single" w:sz="8" w:space="0" w:color="auto"/>
              <w:bottom w:val="thinThickSmallGap" w:sz="12" w:space="0" w:color="auto"/>
              <w:right w:val="single" w:sz="18" w:space="0" w:color="auto"/>
            </w:tcBorders>
            <w:shd w:val="clear" w:color="auto" w:fill="auto"/>
            <w:vAlign w:val="center"/>
            <w:hideMark/>
          </w:tcPr>
          <w:p w14:paraId="4C9B1176" w14:textId="27B92E44" w:rsidR="00FA3A2A" w:rsidRPr="00B912DC" w:rsidRDefault="00FA3A2A" w:rsidP="00416B60">
            <w:pPr>
              <w:keepNext/>
              <w:keepLines/>
              <w:rPr>
                <w:rFonts w:ascii="Times New Roman" w:eastAsia="Times New Roman" w:hAnsi="Times New Roman" w:cs="Times New Roman"/>
                <w:i/>
                <w:iCs/>
                <w:color w:val="000000"/>
              </w:rPr>
            </w:pPr>
            <w:r w:rsidRPr="00B912DC">
              <w:rPr>
                <w:rFonts w:ascii="Times New Roman" w:eastAsia="Times New Roman" w:hAnsi="Times New Roman" w:cs="Times New Roman"/>
                <w:color w:val="000000"/>
              </w:rPr>
              <w:t>Other</w:t>
            </w:r>
            <w:r>
              <w:rPr>
                <w:rFonts w:ascii="Times New Roman" w:eastAsia="Times New Roman" w:hAnsi="Times New Roman" w:cs="Times New Roman"/>
                <w:color w:val="000000"/>
              </w:rPr>
              <w:t xml:space="preserve"> Procedural Disposition</w:t>
            </w:r>
            <w:r w:rsidRPr="00B912DC">
              <w:rPr>
                <w:rFonts w:ascii="Times New Roman" w:eastAsia="Times New Roman" w:hAnsi="Times New Roman" w:cs="Times New Roman"/>
                <w:color w:val="000000"/>
              </w:rPr>
              <w:t xml:space="preserve"> (Filed in Error, Split or Closed in Error)</w:t>
            </w:r>
          </w:p>
        </w:tc>
        <w:tc>
          <w:tcPr>
            <w:tcW w:w="1530" w:type="dxa"/>
            <w:tcBorders>
              <w:top w:val="nil"/>
              <w:left w:val="single" w:sz="18" w:space="0" w:color="auto"/>
              <w:bottom w:val="thinThickSmallGap" w:sz="12" w:space="0" w:color="auto"/>
              <w:right w:val="single" w:sz="18" w:space="0" w:color="auto"/>
            </w:tcBorders>
            <w:shd w:val="clear" w:color="auto" w:fill="auto"/>
            <w:noWrap/>
            <w:hideMark/>
          </w:tcPr>
          <w:p w14:paraId="4CCE1D29" w14:textId="2554908B" w:rsidR="00FA3A2A" w:rsidRPr="00B912DC" w:rsidRDefault="00FA3A2A"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0.1%</w:t>
            </w:r>
          </w:p>
        </w:tc>
        <w:tc>
          <w:tcPr>
            <w:tcW w:w="1620" w:type="dxa"/>
            <w:tcBorders>
              <w:top w:val="single" w:sz="6" w:space="0" w:color="auto"/>
              <w:left w:val="single" w:sz="18" w:space="0" w:color="auto"/>
              <w:bottom w:val="thinThickSmallGap" w:sz="12" w:space="0" w:color="auto"/>
              <w:right w:val="single" w:sz="18" w:space="0" w:color="auto"/>
            </w:tcBorders>
            <w:shd w:val="clear" w:color="auto" w:fill="auto"/>
            <w:noWrap/>
          </w:tcPr>
          <w:p w14:paraId="5E770F2D" w14:textId="7261795D" w:rsidR="00FA3A2A" w:rsidRPr="00B912DC" w:rsidRDefault="00FA3A2A" w:rsidP="00416B60">
            <w:pPr>
              <w:keepNext/>
              <w:keepLines/>
              <w:jc w:val="right"/>
              <w:rPr>
                <w:rFonts w:ascii="Times New Roman" w:eastAsia="Times New Roman" w:hAnsi="Times New Roman" w:cs="Times New Roman"/>
                <w:i/>
                <w:iCs/>
                <w:color w:val="000000"/>
              </w:rPr>
            </w:pPr>
            <w:r w:rsidRPr="00B912DC">
              <w:rPr>
                <w:rFonts w:ascii="Times New Roman" w:eastAsia="Times New Roman" w:hAnsi="Times New Roman" w:cs="Times New Roman"/>
                <w:color w:val="000000"/>
              </w:rPr>
              <w:t>0.1%</w:t>
            </w:r>
          </w:p>
        </w:tc>
      </w:tr>
      <w:tr w:rsidR="00FA3A2A" w:rsidRPr="00B912DC" w14:paraId="1EB8AB5E" w14:textId="77777777" w:rsidTr="00DB4EAD">
        <w:trPr>
          <w:trHeight w:val="432"/>
        </w:trPr>
        <w:tc>
          <w:tcPr>
            <w:tcW w:w="5235" w:type="dxa"/>
            <w:tcBorders>
              <w:top w:val="thinThickSmallGap" w:sz="12" w:space="0" w:color="auto"/>
              <w:left w:val="thinThickSmallGap" w:sz="12" w:space="0" w:color="auto"/>
              <w:bottom w:val="thinThickSmallGap" w:sz="12" w:space="0" w:color="auto"/>
              <w:right w:val="single" w:sz="18" w:space="0" w:color="auto"/>
            </w:tcBorders>
            <w:shd w:val="clear" w:color="auto" w:fill="auto"/>
            <w:vAlign w:val="center"/>
            <w:hideMark/>
          </w:tcPr>
          <w:p w14:paraId="1D24B88B" w14:textId="5B8A79D5" w:rsidR="00FA3A2A" w:rsidRPr="00B912DC" w:rsidRDefault="00FA3A2A" w:rsidP="00416B60">
            <w:pPr>
              <w:keepNext/>
              <w:keepLines/>
              <w:rPr>
                <w:rFonts w:ascii="Times New Roman" w:eastAsia="Times New Roman" w:hAnsi="Times New Roman" w:cs="Times New Roman"/>
                <w:b/>
                <w:bCs/>
                <w:i/>
                <w:iCs/>
                <w:color w:val="000000"/>
              </w:rPr>
            </w:pPr>
            <w:r w:rsidRPr="00B912DC">
              <w:rPr>
                <w:rFonts w:ascii="Times New Roman" w:eastAsia="Times New Roman" w:hAnsi="Times New Roman" w:cs="Times New Roman"/>
                <w:b/>
                <w:bCs/>
                <w:color w:val="000000"/>
              </w:rPr>
              <w:t>Total "</w:t>
            </w:r>
            <w:r>
              <w:rPr>
                <w:rFonts w:ascii="Times New Roman" w:eastAsia="Times New Roman" w:hAnsi="Times New Roman" w:cs="Times New Roman"/>
                <w:b/>
                <w:bCs/>
                <w:color w:val="000000"/>
              </w:rPr>
              <w:t>Failure</w:t>
            </w:r>
            <w:r w:rsidRPr="00B912DC">
              <w:rPr>
                <w:rFonts w:ascii="Times New Roman" w:eastAsia="Times New Roman" w:hAnsi="Times New Roman" w:cs="Times New Roman"/>
                <w:b/>
                <w:bCs/>
                <w:color w:val="000000"/>
              </w:rPr>
              <w:t>"</w:t>
            </w:r>
          </w:p>
        </w:tc>
        <w:tc>
          <w:tcPr>
            <w:tcW w:w="1530" w:type="dxa"/>
            <w:tcBorders>
              <w:top w:val="thinThickSmallGap" w:sz="12" w:space="0" w:color="auto"/>
              <w:left w:val="single" w:sz="18" w:space="0" w:color="auto"/>
              <w:bottom w:val="thinThickSmallGap" w:sz="12" w:space="0" w:color="auto"/>
              <w:right w:val="single" w:sz="18" w:space="0" w:color="auto"/>
            </w:tcBorders>
            <w:shd w:val="clear" w:color="auto" w:fill="auto"/>
            <w:noWrap/>
            <w:hideMark/>
          </w:tcPr>
          <w:p w14:paraId="3650228B" w14:textId="4B8C6181" w:rsidR="00FA3A2A" w:rsidRPr="00B912DC" w:rsidRDefault="00FA3A2A" w:rsidP="00416B60">
            <w:pPr>
              <w:keepNext/>
              <w:keepLines/>
              <w:jc w:val="right"/>
              <w:rPr>
                <w:rFonts w:ascii="Times New Roman" w:eastAsia="Times New Roman" w:hAnsi="Times New Roman" w:cs="Times New Roman"/>
                <w:color w:val="000000"/>
              </w:rPr>
            </w:pPr>
            <w:r>
              <w:rPr>
                <w:rFonts w:ascii="Times New Roman" w:eastAsia="Times New Roman" w:hAnsi="Times New Roman" w:cs="Times New Roman"/>
                <w:color w:val="000000"/>
              </w:rPr>
              <w:t>54</w:t>
            </w:r>
            <w:r w:rsidRPr="00B912DC">
              <w:rPr>
                <w:rFonts w:ascii="Times New Roman" w:eastAsia="Times New Roman" w:hAnsi="Times New Roman" w:cs="Times New Roman"/>
                <w:color w:val="000000"/>
              </w:rPr>
              <w:t>.2%</w:t>
            </w:r>
          </w:p>
        </w:tc>
        <w:tc>
          <w:tcPr>
            <w:tcW w:w="1620" w:type="dxa"/>
            <w:tcBorders>
              <w:top w:val="thinThickSmallGap" w:sz="12" w:space="0" w:color="auto"/>
              <w:left w:val="single" w:sz="18" w:space="0" w:color="auto"/>
              <w:bottom w:val="thinThickSmallGap" w:sz="12" w:space="0" w:color="auto"/>
              <w:right w:val="single" w:sz="18" w:space="0" w:color="auto"/>
            </w:tcBorders>
            <w:shd w:val="clear" w:color="auto" w:fill="auto"/>
            <w:noWrap/>
          </w:tcPr>
          <w:p w14:paraId="2142E785" w14:textId="24FA01FB" w:rsidR="00FA3A2A" w:rsidRPr="00B912DC" w:rsidRDefault="00FA3A2A" w:rsidP="00416B60">
            <w:pPr>
              <w:keepNext/>
              <w:keepLines/>
              <w:jc w:val="right"/>
              <w:rPr>
                <w:rFonts w:ascii="Times New Roman" w:eastAsia="Times New Roman" w:hAnsi="Times New Roman" w:cs="Times New Roman"/>
                <w:i/>
                <w:iCs/>
                <w:color w:val="000000"/>
              </w:rPr>
            </w:pPr>
            <w:r>
              <w:rPr>
                <w:rFonts w:ascii="Times New Roman" w:eastAsia="Times New Roman" w:hAnsi="Times New Roman" w:cs="Times New Roman"/>
                <w:color w:val="000000"/>
              </w:rPr>
              <w:t>46.</w:t>
            </w:r>
            <w:r w:rsidRPr="00B912DC">
              <w:rPr>
                <w:rFonts w:ascii="Times New Roman" w:eastAsia="Times New Roman" w:hAnsi="Times New Roman" w:cs="Times New Roman"/>
                <w:color w:val="000000"/>
              </w:rPr>
              <w:t>2%</w:t>
            </w:r>
          </w:p>
        </w:tc>
      </w:tr>
      <w:tr w:rsidR="00FA3A2A" w:rsidRPr="00B912DC" w14:paraId="30C9D6F6" w14:textId="77777777" w:rsidTr="00DB4EAD">
        <w:trPr>
          <w:trHeight w:val="320"/>
        </w:trPr>
        <w:tc>
          <w:tcPr>
            <w:tcW w:w="5235" w:type="dxa"/>
            <w:tcBorders>
              <w:top w:val="thinThickSmallGap" w:sz="12" w:space="0" w:color="auto"/>
              <w:left w:val="single" w:sz="8" w:space="0" w:color="auto"/>
              <w:bottom w:val="single" w:sz="8" w:space="0" w:color="auto"/>
              <w:right w:val="single" w:sz="18" w:space="0" w:color="auto"/>
            </w:tcBorders>
            <w:shd w:val="clear" w:color="auto" w:fill="auto"/>
            <w:vAlign w:val="center"/>
            <w:hideMark/>
          </w:tcPr>
          <w:p w14:paraId="2D92E4A8" w14:textId="77777777" w:rsidR="00FA3A2A" w:rsidRPr="00B912DC" w:rsidRDefault="00FA3A2A" w:rsidP="00416B60">
            <w:pPr>
              <w:keepNext/>
              <w:keepLines/>
              <w:rPr>
                <w:rFonts w:ascii="Times New Roman" w:eastAsia="Times New Roman" w:hAnsi="Times New Roman" w:cs="Times New Roman"/>
                <w:b/>
                <w:bCs/>
                <w:i/>
                <w:iCs/>
                <w:color w:val="000000"/>
              </w:rPr>
            </w:pPr>
            <w:r w:rsidRPr="00B912DC">
              <w:rPr>
                <w:rFonts w:ascii="Times New Roman" w:eastAsia="Times New Roman" w:hAnsi="Times New Roman" w:cs="Times New Roman"/>
                <w:b/>
                <w:bCs/>
                <w:color w:val="000000"/>
              </w:rPr>
              <w:t>Total Number of Cases</w:t>
            </w:r>
          </w:p>
        </w:tc>
        <w:tc>
          <w:tcPr>
            <w:tcW w:w="1530" w:type="dxa"/>
            <w:tcBorders>
              <w:top w:val="thinThickSmallGap" w:sz="12" w:space="0" w:color="auto"/>
              <w:left w:val="single" w:sz="18" w:space="0" w:color="auto"/>
              <w:bottom w:val="single" w:sz="8" w:space="0" w:color="auto"/>
              <w:right w:val="single" w:sz="18" w:space="0" w:color="auto"/>
            </w:tcBorders>
            <w:shd w:val="clear" w:color="auto" w:fill="auto"/>
            <w:noWrap/>
            <w:hideMark/>
          </w:tcPr>
          <w:p w14:paraId="6EB7664B" w14:textId="57BB605B" w:rsidR="00FA3A2A" w:rsidRPr="00B912DC" w:rsidRDefault="00FA3A2A" w:rsidP="00416B60">
            <w:pPr>
              <w:keepNext/>
              <w:keepLines/>
              <w:jc w:val="right"/>
              <w:rPr>
                <w:rFonts w:ascii="Times New Roman" w:eastAsia="Times New Roman" w:hAnsi="Times New Roman" w:cs="Times New Roman"/>
                <w:b/>
                <w:bCs/>
                <w:color w:val="000000"/>
              </w:rPr>
            </w:pPr>
            <w:r w:rsidRPr="00B912DC">
              <w:rPr>
                <w:rFonts w:ascii="Times New Roman" w:eastAsia="Times New Roman" w:hAnsi="Times New Roman" w:cs="Times New Roman"/>
                <w:b/>
                <w:bCs/>
                <w:color w:val="000000"/>
              </w:rPr>
              <w:t>406,495</w:t>
            </w:r>
          </w:p>
        </w:tc>
        <w:tc>
          <w:tcPr>
            <w:tcW w:w="1620" w:type="dxa"/>
            <w:tcBorders>
              <w:top w:val="thinThickSmallGap" w:sz="12" w:space="0" w:color="auto"/>
              <w:left w:val="single" w:sz="18" w:space="0" w:color="auto"/>
              <w:bottom w:val="single" w:sz="6" w:space="0" w:color="auto"/>
              <w:right w:val="single" w:sz="18" w:space="0" w:color="auto"/>
            </w:tcBorders>
            <w:shd w:val="clear" w:color="auto" w:fill="auto"/>
            <w:noWrap/>
          </w:tcPr>
          <w:p w14:paraId="759002D7" w14:textId="014CBB2E" w:rsidR="00FA3A2A" w:rsidRPr="00B912DC" w:rsidRDefault="00FA3A2A"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b/>
                <w:bCs/>
                <w:color w:val="000000"/>
              </w:rPr>
              <w:t>298,251</w:t>
            </w:r>
          </w:p>
        </w:tc>
      </w:tr>
    </w:tbl>
    <w:p w14:paraId="37F83F95" w14:textId="77777777" w:rsidR="002E1632" w:rsidRDefault="00FC38D9" w:rsidP="002E1632">
      <w:pPr>
        <w:rPr>
          <w:rFonts w:ascii="Times New Roman" w:hAnsi="Times New Roman" w:cs="Times New Roman"/>
        </w:rPr>
      </w:pPr>
      <w:r w:rsidRPr="00B912DC">
        <w:rPr>
          <w:rFonts w:ascii="Times New Roman" w:hAnsi="Times New Roman" w:cs="Times New Roman"/>
        </w:rPr>
        <w:tab/>
      </w:r>
    </w:p>
    <w:p w14:paraId="1A78F651" w14:textId="397FCF45" w:rsidR="00DB4EAD" w:rsidRDefault="00FC38D9" w:rsidP="002E1632">
      <w:pPr>
        <w:spacing w:line="480" w:lineRule="auto"/>
        <w:ind w:firstLine="720"/>
        <w:rPr>
          <w:rFonts w:ascii="Times New Roman" w:hAnsi="Times New Roman" w:cs="Times New Roman"/>
          <w:b/>
        </w:rPr>
      </w:pPr>
      <w:r>
        <w:rPr>
          <w:rFonts w:ascii="Times New Roman" w:hAnsi="Times New Roman" w:cs="Times New Roman"/>
        </w:rPr>
        <w:t xml:space="preserve">We cannot </w:t>
      </w:r>
      <w:r w:rsidRPr="00B912DC">
        <w:rPr>
          <w:rFonts w:ascii="Times New Roman" w:hAnsi="Times New Roman" w:cs="Times New Roman"/>
        </w:rPr>
        <w:t xml:space="preserve">use </w:t>
      </w:r>
      <w:r>
        <w:rPr>
          <w:rFonts w:ascii="Times New Roman" w:hAnsi="Times New Roman" w:cs="Times New Roman"/>
        </w:rPr>
        <w:t xml:space="preserve">the data in </w:t>
      </w:r>
      <w:r w:rsidRPr="00B912DC">
        <w:rPr>
          <w:rFonts w:ascii="Times New Roman" w:hAnsi="Times New Roman" w:cs="Times New Roman"/>
        </w:rPr>
        <w:t xml:space="preserve">Tables </w:t>
      </w:r>
      <w:r w:rsidR="00FA3A2A">
        <w:rPr>
          <w:rFonts w:ascii="Times New Roman" w:hAnsi="Times New Roman" w:cs="Times New Roman"/>
        </w:rPr>
        <w:t>3</w:t>
      </w:r>
      <w:r w:rsidR="00DB4EAD">
        <w:rPr>
          <w:rFonts w:ascii="Times New Roman" w:hAnsi="Times New Roman" w:cs="Times New Roman"/>
        </w:rPr>
        <w:t>9</w:t>
      </w:r>
      <w:r w:rsidR="00FA3A2A">
        <w:rPr>
          <w:rFonts w:ascii="Times New Roman" w:hAnsi="Times New Roman" w:cs="Times New Roman"/>
        </w:rPr>
        <w:t xml:space="preserve"> and </w:t>
      </w:r>
      <w:r w:rsidR="00DB4EAD">
        <w:rPr>
          <w:rFonts w:ascii="Times New Roman" w:hAnsi="Times New Roman" w:cs="Times New Roman"/>
        </w:rPr>
        <w:t>40</w:t>
      </w:r>
      <w:r w:rsidRPr="00B912DC">
        <w:rPr>
          <w:rFonts w:ascii="Times New Roman" w:hAnsi="Times New Roman" w:cs="Times New Roman"/>
        </w:rPr>
        <w:t xml:space="preserve"> to directly compare the outcomes</w:t>
      </w:r>
      <w:r w:rsidR="00416B60">
        <w:rPr>
          <w:rFonts w:ascii="Times New Roman" w:hAnsi="Times New Roman" w:cs="Times New Roman"/>
        </w:rPr>
        <w:t xml:space="preserve"> of the 2010 and the 2013 cases</w:t>
      </w:r>
      <w:r w:rsidRPr="00B912DC">
        <w:rPr>
          <w:rFonts w:ascii="Times New Roman" w:hAnsi="Times New Roman" w:cs="Times New Roman"/>
        </w:rPr>
        <w:t xml:space="preserve"> because we define “success” as the absence of failure, and 2010 cases have had much more time to fail. We, therefore, made use of the PACER fields that record the date of conversion or dismissal to estimate the status of ea</w:t>
      </w:r>
      <w:r w:rsidR="00416B60">
        <w:rPr>
          <w:rFonts w:ascii="Times New Roman" w:hAnsi="Times New Roman" w:cs="Times New Roman"/>
        </w:rPr>
        <w:t>ch case 545 days after filing—</w:t>
      </w:r>
      <w:r w:rsidRPr="00B912DC">
        <w:rPr>
          <w:rFonts w:ascii="Times New Roman" w:hAnsi="Times New Roman" w:cs="Times New Roman"/>
        </w:rPr>
        <w:t>roughly the time between a case filed on December 31, 2013</w:t>
      </w:r>
      <w:r>
        <w:rPr>
          <w:rFonts w:ascii="Times New Roman" w:hAnsi="Times New Roman" w:cs="Times New Roman"/>
        </w:rPr>
        <w:t>,</w:t>
      </w:r>
      <w:r w:rsidRPr="00B912DC">
        <w:rPr>
          <w:rFonts w:ascii="Times New Roman" w:hAnsi="Times New Roman" w:cs="Times New Roman"/>
        </w:rPr>
        <w:t xml:space="preserve"> and when we first started gathering PACER case reports for </w:t>
      </w:r>
      <w:r>
        <w:rPr>
          <w:rFonts w:ascii="Times New Roman" w:hAnsi="Times New Roman" w:cs="Times New Roman"/>
        </w:rPr>
        <w:t xml:space="preserve">the </w:t>
      </w:r>
      <w:r w:rsidRPr="00B912DC">
        <w:rPr>
          <w:rFonts w:ascii="Times New Roman" w:hAnsi="Times New Roman" w:cs="Times New Roman"/>
        </w:rPr>
        <w:t xml:space="preserve">2013 cases. Table </w:t>
      </w:r>
      <w:r w:rsidR="001143C2">
        <w:rPr>
          <w:rFonts w:ascii="Times New Roman" w:hAnsi="Times New Roman" w:cs="Times New Roman"/>
        </w:rPr>
        <w:t>4</w:t>
      </w:r>
      <w:r w:rsidR="00DB4EAD">
        <w:rPr>
          <w:rFonts w:ascii="Times New Roman" w:hAnsi="Times New Roman" w:cs="Times New Roman"/>
        </w:rPr>
        <w:t>1</w:t>
      </w:r>
      <w:r w:rsidRPr="00B912DC">
        <w:rPr>
          <w:rFonts w:ascii="Times New Roman" w:hAnsi="Times New Roman" w:cs="Times New Roman"/>
        </w:rPr>
        <w:t xml:space="preserve"> presents the results. With this adjustment, the outcomes of the 2010 and 2013 cases look remarkably similar</w:t>
      </w:r>
      <w:r w:rsidR="00416B60">
        <w:rPr>
          <w:rFonts w:ascii="Times New Roman" w:hAnsi="Times New Roman" w:cs="Times New Roman"/>
        </w:rPr>
        <w:t>,</w:t>
      </w:r>
      <w:r w:rsidRPr="00B912DC">
        <w:rPr>
          <w:rFonts w:ascii="Times New Roman" w:hAnsi="Times New Roman" w:cs="Times New Roman"/>
        </w:rPr>
        <w:t xml:space="preserve"> with about half of each year’s cases qualifying as a “success” </w:t>
      </w:r>
      <w:r>
        <w:rPr>
          <w:rFonts w:ascii="Times New Roman" w:hAnsi="Times New Roman" w:cs="Times New Roman"/>
        </w:rPr>
        <w:t xml:space="preserve">545 days after filing. </w:t>
      </w:r>
      <w:r w:rsidR="00416B60">
        <w:rPr>
          <w:rFonts w:ascii="Times New Roman" w:hAnsi="Times New Roman" w:cs="Times New Roman"/>
        </w:rPr>
        <w:t xml:space="preserve"> </w:t>
      </w:r>
    </w:p>
    <w:p w14:paraId="234828EB" w14:textId="168EA719" w:rsidR="00FC38D9" w:rsidRPr="00342B45" w:rsidRDefault="00FC38D9" w:rsidP="00416B60">
      <w:pPr>
        <w:keepNext/>
        <w:keepLines/>
        <w:jc w:val="center"/>
        <w:rPr>
          <w:rFonts w:ascii="Times New Roman" w:hAnsi="Times New Roman" w:cs="Times New Roman"/>
          <w:b/>
        </w:rPr>
      </w:pPr>
      <w:r>
        <w:rPr>
          <w:rFonts w:ascii="Times New Roman" w:hAnsi="Times New Roman" w:cs="Times New Roman"/>
          <w:b/>
        </w:rPr>
        <w:t xml:space="preserve">Table </w:t>
      </w:r>
      <w:r w:rsidR="00D7260E">
        <w:rPr>
          <w:rFonts w:ascii="Times New Roman" w:hAnsi="Times New Roman" w:cs="Times New Roman"/>
          <w:b/>
        </w:rPr>
        <w:t>4</w:t>
      </w:r>
      <w:r w:rsidR="00DB4EAD">
        <w:rPr>
          <w:rFonts w:ascii="Times New Roman" w:hAnsi="Times New Roman" w:cs="Times New Roman"/>
          <w:b/>
        </w:rPr>
        <w:t>1:</w:t>
      </w:r>
      <w:r>
        <w:rPr>
          <w:rFonts w:ascii="Times New Roman" w:hAnsi="Times New Roman" w:cs="Times New Roman"/>
          <w:b/>
        </w:rPr>
        <w:t xml:space="preserve"> Outcomes Measured at 545 Days</w:t>
      </w:r>
    </w:p>
    <w:tbl>
      <w:tblPr>
        <w:tblW w:w="8010" w:type="dxa"/>
        <w:tblInd w:w="558" w:type="dxa"/>
        <w:tblLook w:val="04A0" w:firstRow="1" w:lastRow="0" w:firstColumn="1" w:lastColumn="0" w:noHBand="0" w:noVBand="1"/>
      </w:tblPr>
      <w:tblGrid>
        <w:gridCol w:w="5122"/>
        <w:gridCol w:w="1538"/>
        <w:gridCol w:w="1350"/>
      </w:tblGrid>
      <w:tr w:rsidR="00FC38D9" w:rsidRPr="00B912DC" w14:paraId="6FAD6F65" w14:textId="77777777" w:rsidTr="007E4F0D">
        <w:trPr>
          <w:trHeight w:val="320"/>
        </w:trPr>
        <w:tc>
          <w:tcPr>
            <w:tcW w:w="5122" w:type="dxa"/>
            <w:tcBorders>
              <w:top w:val="nil"/>
              <w:left w:val="nil"/>
              <w:bottom w:val="nil"/>
              <w:right w:val="nil"/>
            </w:tcBorders>
            <w:shd w:val="clear" w:color="auto" w:fill="auto"/>
            <w:noWrap/>
            <w:vAlign w:val="center"/>
            <w:hideMark/>
          </w:tcPr>
          <w:p w14:paraId="225678EB" w14:textId="77777777" w:rsidR="00FC38D9" w:rsidRPr="00B912DC" w:rsidRDefault="00FC38D9" w:rsidP="00416B60">
            <w:pPr>
              <w:keepNext/>
              <w:keepLines/>
              <w:jc w:val="center"/>
              <w:rPr>
                <w:rFonts w:ascii="Times New Roman" w:eastAsia="Times New Roman" w:hAnsi="Times New Roman" w:cs="Times New Roman"/>
                <w:b/>
                <w:bCs/>
                <w:color w:val="000000"/>
              </w:rPr>
            </w:pPr>
          </w:p>
        </w:tc>
        <w:tc>
          <w:tcPr>
            <w:tcW w:w="2888" w:type="dxa"/>
            <w:gridSpan w:val="2"/>
            <w:tcBorders>
              <w:top w:val="nil"/>
              <w:left w:val="nil"/>
              <w:bottom w:val="single" w:sz="18" w:space="0" w:color="auto"/>
              <w:right w:val="nil"/>
            </w:tcBorders>
            <w:shd w:val="clear" w:color="auto" w:fill="auto"/>
            <w:noWrap/>
            <w:vAlign w:val="bottom"/>
            <w:hideMark/>
          </w:tcPr>
          <w:p w14:paraId="6A699607" w14:textId="77777777" w:rsidR="00FC38D9" w:rsidRPr="00B912DC" w:rsidRDefault="00FC38D9" w:rsidP="00416B60">
            <w:pPr>
              <w:keepNext/>
              <w:keepLines/>
              <w:jc w:val="center"/>
              <w:rPr>
                <w:rFonts w:ascii="Times New Roman" w:eastAsia="Times New Roman" w:hAnsi="Times New Roman" w:cs="Times New Roman"/>
                <w:color w:val="000000"/>
              </w:rPr>
            </w:pPr>
          </w:p>
        </w:tc>
      </w:tr>
      <w:tr w:rsidR="00FC38D9" w:rsidRPr="00B912DC" w14:paraId="37810112" w14:textId="77777777" w:rsidTr="007E4F0D">
        <w:trPr>
          <w:trHeight w:val="320"/>
        </w:trPr>
        <w:tc>
          <w:tcPr>
            <w:tcW w:w="5122" w:type="dxa"/>
            <w:tcBorders>
              <w:bottom w:val="single" w:sz="8" w:space="0" w:color="auto"/>
              <w:right w:val="single" w:sz="18" w:space="0" w:color="auto"/>
            </w:tcBorders>
            <w:shd w:val="clear" w:color="auto" w:fill="auto"/>
            <w:vAlign w:val="center"/>
            <w:hideMark/>
          </w:tcPr>
          <w:p w14:paraId="6B976243" w14:textId="77777777" w:rsidR="00FC38D9" w:rsidRPr="00B912DC" w:rsidRDefault="00FC38D9" w:rsidP="00416B60">
            <w:pPr>
              <w:keepNext/>
              <w:keepLines/>
              <w:rPr>
                <w:rFonts w:ascii="Times New Roman" w:eastAsia="Times New Roman" w:hAnsi="Times New Roman" w:cs="Times New Roman"/>
                <w:color w:val="000000"/>
              </w:rPr>
            </w:pPr>
            <w:r w:rsidRPr="00B912DC">
              <w:rPr>
                <w:rFonts w:ascii="Times New Roman" w:eastAsia="Times New Roman" w:hAnsi="Times New Roman" w:cs="Times New Roman"/>
                <w:color w:val="000000"/>
              </w:rPr>
              <w:t> </w:t>
            </w:r>
          </w:p>
          <w:p w14:paraId="29A185D3" w14:textId="77777777" w:rsidR="00FC38D9" w:rsidRPr="00B912DC" w:rsidRDefault="00FC38D9" w:rsidP="00416B60">
            <w:pPr>
              <w:keepNext/>
              <w:keepLines/>
              <w:rPr>
                <w:rFonts w:ascii="Times New Roman" w:eastAsia="Times New Roman" w:hAnsi="Times New Roman" w:cs="Times New Roman"/>
                <w:color w:val="000000"/>
              </w:rPr>
            </w:pPr>
            <w:r w:rsidRPr="00B912DC">
              <w:rPr>
                <w:rFonts w:ascii="Times New Roman" w:eastAsia="Times New Roman" w:hAnsi="Times New Roman" w:cs="Times New Roman"/>
                <w:color w:val="000000"/>
              </w:rPr>
              <w:t> </w:t>
            </w:r>
          </w:p>
        </w:tc>
        <w:tc>
          <w:tcPr>
            <w:tcW w:w="1538"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497AF44" w14:textId="77777777" w:rsidR="00FC38D9" w:rsidRPr="00B912DC" w:rsidRDefault="00FC38D9" w:rsidP="00416B60">
            <w:pPr>
              <w:keepNext/>
              <w:keepLines/>
              <w:jc w:val="center"/>
              <w:rPr>
                <w:rFonts w:ascii="Times New Roman" w:eastAsia="Times New Roman" w:hAnsi="Times New Roman" w:cs="Times New Roman"/>
                <w:b/>
                <w:bCs/>
                <w:color w:val="000000"/>
              </w:rPr>
            </w:pPr>
            <w:r w:rsidRPr="00B912DC">
              <w:rPr>
                <w:rFonts w:ascii="Times New Roman" w:eastAsia="Times New Roman" w:hAnsi="Times New Roman" w:cs="Times New Roman"/>
                <w:b/>
                <w:bCs/>
                <w:color w:val="000000"/>
              </w:rPr>
              <w:t>2010</w:t>
            </w:r>
          </w:p>
        </w:tc>
        <w:tc>
          <w:tcPr>
            <w:tcW w:w="135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A2BA5B6" w14:textId="77777777" w:rsidR="00FC38D9" w:rsidRPr="00B912DC" w:rsidRDefault="00FC38D9" w:rsidP="00416B60">
            <w:pPr>
              <w:keepNext/>
              <w:keepLines/>
              <w:jc w:val="center"/>
              <w:rPr>
                <w:rFonts w:ascii="Times New Roman" w:eastAsia="Times New Roman" w:hAnsi="Times New Roman" w:cs="Times New Roman"/>
                <w:b/>
                <w:bCs/>
                <w:color w:val="000000"/>
              </w:rPr>
            </w:pPr>
            <w:r w:rsidRPr="00B912DC">
              <w:rPr>
                <w:rFonts w:ascii="Times New Roman" w:eastAsia="Times New Roman" w:hAnsi="Times New Roman" w:cs="Times New Roman"/>
                <w:b/>
                <w:bCs/>
                <w:color w:val="000000"/>
              </w:rPr>
              <w:t>2013</w:t>
            </w:r>
          </w:p>
        </w:tc>
      </w:tr>
      <w:tr w:rsidR="007E4F0D" w:rsidRPr="00B912DC" w14:paraId="1C196A5F" w14:textId="77777777" w:rsidTr="007E4F0D">
        <w:trPr>
          <w:trHeight w:val="322"/>
        </w:trPr>
        <w:tc>
          <w:tcPr>
            <w:tcW w:w="5122" w:type="dxa"/>
            <w:tcBorders>
              <w:top w:val="single" w:sz="18" w:space="0" w:color="auto"/>
              <w:left w:val="single" w:sz="8" w:space="0" w:color="auto"/>
              <w:bottom w:val="single" w:sz="8" w:space="0" w:color="auto"/>
              <w:right w:val="single" w:sz="18" w:space="0" w:color="auto"/>
            </w:tcBorders>
            <w:shd w:val="clear" w:color="auto" w:fill="auto"/>
            <w:vAlign w:val="center"/>
            <w:hideMark/>
          </w:tcPr>
          <w:p w14:paraId="50EAB00B" w14:textId="77777777" w:rsidR="007E4F0D" w:rsidRPr="00B912DC" w:rsidRDefault="007E4F0D" w:rsidP="00416B60">
            <w:pPr>
              <w:keepNext/>
              <w:keepLines/>
              <w:rPr>
                <w:rFonts w:ascii="Times New Roman" w:eastAsia="Times New Roman" w:hAnsi="Times New Roman" w:cs="Times New Roman"/>
                <w:color w:val="000000"/>
              </w:rPr>
            </w:pPr>
            <w:r w:rsidRPr="00B912DC">
              <w:rPr>
                <w:rFonts w:ascii="Times New Roman" w:eastAsia="Times New Roman" w:hAnsi="Times New Roman" w:cs="Times New Roman"/>
                <w:color w:val="000000"/>
              </w:rPr>
              <w:t>Standard Discharge</w:t>
            </w:r>
          </w:p>
        </w:tc>
        <w:tc>
          <w:tcPr>
            <w:tcW w:w="1538" w:type="dxa"/>
            <w:tcBorders>
              <w:top w:val="single" w:sz="18" w:space="0" w:color="auto"/>
              <w:left w:val="single" w:sz="18" w:space="0" w:color="auto"/>
              <w:bottom w:val="single" w:sz="8" w:space="0" w:color="auto"/>
              <w:right w:val="single" w:sz="18" w:space="0" w:color="auto"/>
            </w:tcBorders>
            <w:shd w:val="clear" w:color="auto" w:fill="auto"/>
            <w:noWrap/>
            <w:vAlign w:val="center"/>
            <w:hideMark/>
          </w:tcPr>
          <w:p w14:paraId="35D7CFE0" w14:textId="30AFC0B8" w:rsidR="007E4F0D" w:rsidRPr="00B912DC" w:rsidRDefault="007E4F0D"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1.1%</w:t>
            </w:r>
          </w:p>
        </w:tc>
        <w:tc>
          <w:tcPr>
            <w:tcW w:w="1350" w:type="dxa"/>
            <w:tcBorders>
              <w:top w:val="single" w:sz="18" w:space="0" w:color="auto"/>
              <w:left w:val="single" w:sz="18" w:space="0" w:color="auto"/>
              <w:bottom w:val="single" w:sz="8" w:space="0" w:color="auto"/>
              <w:right w:val="single" w:sz="8" w:space="0" w:color="auto"/>
            </w:tcBorders>
            <w:shd w:val="clear" w:color="auto" w:fill="auto"/>
            <w:noWrap/>
            <w:vAlign w:val="center"/>
            <w:hideMark/>
          </w:tcPr>
          <w:p w14:paraId="69F5F734" w14:textId="278EB2DC" w:rsidR="007E4F0D" w:rsidRPr="00B912DC" w:rsidRDefault="007E4F0D"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2.2%</w:t>
            </w:r>
          </w:p>
        </w:tc>
      </w:tr>
      <w:tr w:rsidR="007E4F0D" w:rsidRPr="00B912DC" w14:paraId="0DBEE772" w14:textId="77777777" w:rsidTr="007E4F0D">
        <w:trPr>
          <w:trHeight w:val="288"/>
        </w:trPr>
        <w:tc>
          <w:tcPr>
            <w:tcW w:w="5122" w:type="dxa"/>
            <w:tcBorders>
              <w:top w:val="nil"/>
              <w:left w:val="single" w:sz="8" w:space="0" w:color="auto"/>
              <w:bottom w:val="single" w:sz="8" w:space="0" w:color="auto"/>
              <w:right w:val="single" w:sz="18" w:space="0" w:color="auto"/>
            </w:tcBorders>
            <w:shd w:val="clear" w:color="auto" w:fill="auto"/>
            <w:vAlign w:val="center"/>
            <w:hideMark/>
          </w:tcPr>
          <w:p w14:paraId="1612883E" w14:textId="77777777" w:rsidR="007E4F0D" w:rsidRPr="00B912DC" w:rsidRDefault="007E4F0D" w:rsidP="00416B60">
            <w:pPr>
              <w:keepNext/>
              <w:keepLines/>
              <w:rPr>
                <w:rFonts w:ascii="Times New Roman" w:eastAsia="Times New Roman" w:hAnsi="Times New Roman" w:cs="Times New Roman"/>
                <w:color w:val="000000"/>
              </w:rPr>
            </w:pPr>
            <w:r w:rsidRPr="00B912DC">
              <w:rPr>
                <w:rFonts w:ascii="Times New Roman" w:eastAsia="Times New Roman" w:hAnsi="Times New Roman" w:cs="Times New Roman"/>
                <w:color w:val="000000"/>
              </w:rPr>
              <w:t>Hardship Discharge</w:t>
            </w:r>
          </w:p>
        </w:tc>
        <w:tc>
          <w:tcPr>
            <w:tcW w:w="1538" w:type="dxa"/>
            <w:tcBorders>
              <w:top w:val="nil"/>
              <w:left w:val="single" w:sz="18" w:space="0" w:color="auto"/>
              <w:bottom w:val="single" w:sz="8" w:space="0" w:color="auto"/>
              <w:right w:val="single" w:sz="18" w:space="0" w:color="auto"/>
            </w:tcBorders>
            <w:shd w:val="clear" w:color="auto" w:fill="auto"/>
            <w:noWrap/>
            <w:vAlign w:val="center"/>
            <w:hideMark/>
          </w:tcPr>
          <w:p w14:paraId="34EBAF0C" w14:textId="105B0E89" w:rsidR="007E4F0D" w:rsidRPr="00B912DC" w:rsidRDefault="007E4F0D"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0.0%</w:t>
            </w:r>
          </w:p>
        </w:tc>
        <w:tc>
          <w:tcPr>
            <w:tcW w:w="1350" w:type="dxa"/>
            <w:tcBorders>
              <w:top w:val="nil"/>
              <w:left w:val="single" w:sz="18" w:space="0" w:color="auto"/>
              <w:bottom w:val="single" w:sz="8" w:space="0" w:color="auto"/>
              <w:right w:val="single" w:sz="8" w:space="0" w:color="auto"/>
            </w:tcBorders>
            <w:shd w:val="clear" w:color="auto" w:fill="auto"/>
            <w:noWrap/>
            <w:vAlign w:val="center"/>
            <w:hideMark/>
          </w:tcPr>
          <w:p w14:paraId="37FA05D7" w14:textId="2A97B7DD" w:rsidR="007E4F0D" w:rsidRPr="00B912DC" w:rsidRDefault="007E4F0D"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0.0%</w:t>
            </w:r>
          </w:p>
        </w:tc>
      </w:tr>
      <w:tr w:rsidR="007E4F0D" w:rsidRPr="00B912DC" w14:paraId="2605953E" w14:textId="77777777" w:rsidTr="007E4F0D">
        <w:trPr>
          <w:trHeight w:val="288"/>
        </w:trPr>
        <w:tc>
          <w:tcPr>
            <w:tcW w:w="5122" w:type="dxa"/>
            <w:tcBorders>
              <w:top w:val="nil"/>
              <w:left w:val="single" w:sz="8" w:space="0" w:color="auto"/>
              <w:bottom w:val="single" w:sz="8" w:space="0" w:color="auto"/>
              <w:right w:val="single" w:sz="18" w:space="0" w:color="auto"/>
            </w:tcBorders>
            <w:shd w:val="clear" w:color="auto" w:fill="auto"/>
            <w:vAlign w:val="center"/>
            <w:hideMark/>
          </w:tcPr>
          <w:p w14:paraId="6FC1A7D3" w14:textId="77777777" w:rsidR="007E4F0D" w:rsidRPr="00B912DC" w:rsidRDefault="007E4F0D" w:rsidP="00416B60">
            <w:pPr>
              <w:keepNext/>
              <w:keepLines/>
              <w:rPr>
                <w:rFonts w:ascii="Times New Roman" w:eastAsia="Times New Roman" w:hAnsi="Times New Roman" w:cs="Times New Roman"/>
                <w:color w:val="000000"/>
              </w:rPr>
            </w:pPr>
            <w:r w:rsidRPr="00B912DC">
              <w:rPr>
                <w:rFonts w:ascii="Times New Roman" w:eastAsia="Times New Roman" w:hAnsi="Times New Roman" w:cs="Times New Roman"/>
                <w:color w:val="000000"/>
              </w:rPr>
              <w:t>Blank</w:t>
            </w:r>
          </w:p>
        </w:tc>
        <w:tc>
          <w:tcPr>
            <w:tcW w:w="1538" w:type="dxa"/>
            <w:tcBorders>
              <w:top w:val="nil"/>
              <w:left w:val="single" w:sz="18" w:space="0" w:color="auto"/>
              <w:bottom w:val="single" w:sz="8" w:space="0" w:color="auto"/>
              <w:right w:val="single" w:sz="18" w:space="0" w:color="auto"/>
            </w:tcBorders>
            <w:shd w:val="clear" w:color="auto" w:fill="auto"/>
            <w:noWrap/>
            <w:vAlign w:val="center"/>
            <w:hideMark/>
          </w:tcPr>
          <w:p w14:paraId="678D8691" w14:textId="6397ADC5" w:rsidR="007E4F0D" w:rsidRPr="00B912DC" w:rsidRDefault="007E4F0D"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43.9%</w:t>
            </w:r>
          </w:p>
        </w:tc>
        <w:tc>
          <w:tcPr>
            <w:tcW w:w="1350" w:type="dxa"/>
            <w:tcBorders>
              <w:top w:val="nil"/>
              <w:left w:val="single" w:sz="18" w:space="0" w:color="auto"/>
              <w:bottom w:val="single" w:sz="8" w:space="0" w:color="auto"/>
              <w:right w:val="single" w:sz="8" w:space="0" w:color="auto"/>
            </w:tcBorders>
            <w:shd w:val="clear" w:color="auto" w:fill="auto"/>
            <w:noWrap/>
            <w:vAlign w:val="center"/>
            <w:hideMark/>
          </w:tcPr>
          <w:p w14:paraId="5E7ABF31" w14:textId="2E544D3D" w:rsidR="007E4F0D" w:rsidRPr="00B912DC" w:rsidRDefault="007E4F0D"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41.5%</w:t>
            </w:r>
          </w:p>
        </w:tc>
      </w:tr>
      <w:tr w:rsidR="007E4F0D" w:rsidRPr="00B912DC" w14:paraId="2CFDCD80" w14:textId="77777777" w:rsidTr="007E4F0D">
        <w:trPr>
          <w:trHeight w:val="288"/>
        </w:trPr>
        <w:tc>
          <w:tcPr>
            <w:tcW w:w="5122" w:type="dxa"/>
            <w:tcBorders>
              <w:top w:val="nil"/>
              <w:left w:val="single" w:sz="8" w:space="0" w:color="auto"/>
              <w:bottom w:val="thinThickSmallGap" w:sz="12" w:space="0" w:color="auto"/>
              <w:right w:val="single" w:sz="18" w:space="0" w:color="auto"/>
            </w:tcBorders>
            <w:shd w:val="clear" w:color="auto" w:fill="auto"/>
            <w:vAlign w:val="center"/>
            <w:hideMark/>
          </w:tcPr>
          <w:p w14:paraId="3F3B2837" w14:textId="77777777" w:rsidR="007E4F0D" w:rsidRPr="00B912DC" w:rsidRDefault="007E4F0D" w:rsidP="00416B60">
            <w:pPr>
              <w:keepNext/>
              <w:keepLines/>
              <w:rPr>
                <w:rFonts w:ascii="Times New Roman" w:eastAsia="Times New Roman" w:hAnsi="Times New Roman" w:cs="Times New Roman"/>
                <w:color w:val="000000"/>
              </w:rPr>
            </w:pPr>
            <w:r w:rsidRPr="00B912DC">
              <w:rPr>
                <w:rFonts w:ascii="Times New Roman" w:eastAsia="Times New Roman" w:hAnsi="Times New Roman" w:cs="Times New Roman"/>
                <w:color w:val="000000"/>
              </w:rPr>
              <w:t>Discharge Not Applicable</w:t>
            </w:r>
          </w:p>
        </w:tc>
        <w:tc>
          <w:tcPr>
            <w:tcW w:w="1538" w:type="dxa"/>
            <w:tcBorders>
              <w:top w:val="nil"/>
              <w:left w:val="single" w:sz="18" w:space="0" w:color="auto"/>
              <w:bottom w:val="thinThickSmallGap" w:sz="12" w:space="0" w:color="auto"/>
              <w:right w:val="single" w:sz="18" w:space="0" w:color="auto"/>
            </w:tcBorders>
            <w:shd w:val="clear" w:color="auto" w:fill="auto"/>
            <w:noWrap/>
            <w:vAlign w:val="center"/>
            <w:hideMark/>
          </w:tcPr>
          <w:p w14:paraId="3DF7C46D" w14:textId="0EB8CF43" w:rsidR="007E4F0D" w:rsidRPr="00B912DC" w:rsidRDefault="007E4F0D"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4.2%</w:t>
            </w:r>
          </w:p>
        </w:tc>
        <w:tc>
          <w:tcPr>
            <w:tcW w:w="1350" w:type="dxa"/>
            <w:tcBorders>
              <w:top w:val="nil"/>
              <w:left w:val="single" w:sz="18" w:space="0" w:color="auto"/>
              <w:bottom w:val="thinThickSmallGap" w:sz="12" w:space="0" w:color="auto"/>
              <w:right w:val="single" w:sz="8" w:space="0" w:color="auto"/>
            </w:tcBorders>
            <w:shd w:val="clear" w:color="auto" w:fill="auto"/>
            <w:noWrap/>
            <w:vAlign w:val="center"/>
            <w:hideMark/>
          </w:tcPr>
          <w:p w14:paraId="18591816" w14:textId="75B9DCCF" w:rsidR="007E4F0D" w:rsidRPr="00B912DC" w:rsidRDefault="007E4F0D"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6.0%</w:t>
            </w:r>
          </w:p>
        </w:tc>
      </w:tr>
      <w:tr w:rsidR="007E4F0D" w:rsidRPr="00B912DC" w14:paraId="00D82061" w14:textId="77777777" w:rsidTr="007E4F0D">
        <w:trPr>
          <w:trHeight w:val="432"/>
        </w:trPr>
        <w:tc>
          <w:tcPr>
            <w:tcW w:w="5122" w:type="dxa"/>
            <w:tcBorders>
              <w:top w:val="thinThickSmallGap" w:sz="12" w:space="0" w:color="auto"/>
              <w:left w:val="thinThickSmallGap" w:sz="12" w:space="0" w:color="auto"/>
              <w:bottom w:val="thinThickSmallGap" w:sz="12" w:space="0" w:color="auto"/>
              <w:right w:val="single" w:sz="18" w:space="0" w:color="auto"/>
            </w:tcBorders>
            <w:shd w:val="clear" w:color="auto" w:fill="auto"/>
            <w:vAlign w:val="center"/>
            <w:hideMark/>
          </w:tcPr>
          <w:p w14:paraId="1FC1623F" w14:textId="59B76E81" w:rsidR="007E4F0D" w:rsidRPr="00B912DC" w:rsidRDefault="007E4F0D" w:rsidP="00416B60">
            <w:pPr>
              <w:keepNext/>
              <w:keepLines/>
              <w:rPr>
                <w:rFonts w:ascii="Times New Roman" w:eastAsia="Times New Roman" w:hAnsi="Times New Roman" w:cs="Times New Roman"/>
                <w:b/>
                <w:bCs/>
                <w:color w:val="000000"/>
              </w:rPr>
            </w:pPr>
            <w:r w:rsidRPr="00B912DC">
              <w:rPr>
                <w:rFonts w:ascii="Times New Roman" w:eastAsia="Times New Roman" w:hAnsi="Times New Roman" w:cs="Times New Roman"/>
                <w:b/>
                <w:bCs/>
                <w:color w:val="000000"/>
              </w:rPr>
              <w:t>Total "Su</w:t>
            </w:r>
            <w:r w:rsidR="00391D25">
              <w:rPr>
                <w:rFonts w:ascii="Times New Roman" w:eastAsia="Times New Roman" w:hAnsi="Times New Roman" w:cs="Times New Roman"/>
                <w:b/>
                <w:bCs/>
                <w:color w:val="000000"/>
              </w:rPr>
              <w:t>rvive</w:t>
            </w:r>
            <w:r w:rsidRPr="00B912DC">
              <w:rPr>
                <w:rFonts w:ascii="Times New Roman" w:eastAsia="Times New Roman" w:hAnsi="Times New Roman" w:cs="Times New Roman"/>
                <w:b/>
                <w:bCs/>
                <w:color w:val="000000"/>
              </w:rPr>
              <w:t>"</w:t>
            </w:r>
          </w:p>
        </w:tc>
        <w:tc>
          <w:tcPr>
            <w:tcW w:w="1538" w:type="dxa"/>
            <w:tcBorders>
              <w:top w:val="thinThickSmallGap" w:sz="12" w:space="0" w:color="auto"/>
              <w:left w:val="single" w:sz="18" w:space="0" w:color="auto"/>
              <w:bottom w:val="thinThickSmallGap" w:sz="12" w:space="0" w:color="auto"/>
              <w:right w:val="single" w:sz="18" w:space="0" w:color="auto"/>
            </w:tcBorders>
            <w:shd w:val="clear" w:color="auto" w:fill="auto"/>
            <w:noWrap/>
            <w:vAlign w:val="center"/>
            <w:hideMark/>
          </w:tcPr>
          <w:p w14:paraId="1003AC8F" w14:textId="2AFE7340" w:rsidR="007E4F0D" w:rsidRPr="00B912DC" w:rsidRDefault="007E4F0D" w:rsidP="00416B60">
            <w:pPr>
              <w:keepNext/>
              <w:keepLines/>
              <w:jc w:val="right"/>
              <w:rPr>
                <w:rFonts w:ascii="Times New Roman" w:eastAsia="Times New Roman" w:hAnsi="Times New Roman" w:cs="Times New Roman"/>
                <w:b/>
                <w:bCs/>
                <w:color w:val="000000"/>
              </w:rPr>
            </w:pPr>
            <w:r w:rsidRPr="00B912DC">
              <w:rPr>
                <w:rFonts w:ascii="Times New Roman" w:eastAsia="Times New Roman" w:hAnsi="Times New Roman" w:cs="Times New Roman"/>
                <w:b/>
                <w:color w:val="000000"/>
              </w:rPr>
              <w:t>49.2%</w:t>
            </w:r>
          </w:p>
        </w:tc>
        <w:tc>
          <w:tcPr>
            <w:tcW w:w="1350" w:type="dxa"/>
            <w:tcBorders>
              <w:top w:val="thinThickSmallGap" w:sz="12" w:space="0" w:color="auto"/>
              <w:left w:val="single" w:sz="18" w:space="0" w:color="auto"/>
              <w:bottom w:val="thinThickSmallGap" w:sz="12" w:space="0" w:color="auto"/>
              <w:right w:val="thinThickSmallGap" w:sz="12" w:space="0" w:color="auto"/>
            </w:tcBorders>
            <w:shd w:val="clear" w:color="auto" w:fill="auto"/>
            <w:noWrap/>
            <w:vAlign w:val="center"/>
            <w:hideMark/>
          </w:tcPr>
          <w:p w14:paraId="27FBC598" w14:textId="3D6A85BE" w:rsidR="007E4F0D" w:rsidRPr="00B912DC" w:rsidRDefault="007E4F0D" w:rsidP="00416B60">
            <w:pPr>
              <w:keepNext/>
              <w:keepLines/>
              <w:jc w:val="right"/>
              <w:rPr>
                <w:rFonts w:ascii="Times New Roman" w:eastAsia="Times New Roman" w:hAnsi="Times New Roman" w:cs="Times New Roman"/>
                <w:b/>
                <w:color w:val="000000"/>
              </w:rPr>
            </w:pPr>
            <w:r w:rsidRPr="00B912DC">
              <w:rPr>
                <w:rFonts w:ascii="Times New Roman" w:eastAsia="Times New Roman" w:hAnsi="Times New Roman" w:cs="Times New Roman"/>
                <w:b/>
                <w:color w:val="000000"/>
              </w:rPr>
              <w:t>49.7%</w:t>
            </w:r>
          </w:p>
        </w:tc>
      </w:tr>
      <w:tr w:rsidR="007E4F0D" w:rsidRPr="00B912DC" w14:paraId="677A86AF" w14:textId="77777777" w:rsidTr="007E4F0D">
        <w:trPr>
          <w:trHeight w:val="288"/>
        </w:trPr>
        <w:tc>
          <w:tcPr>
            <w:tcW w:w="5122" w:type="dxa"/>
            <w:tcBorders>
              <w:top w:val="thinThickSmallGap" w:sz="12" w:space="0" w:color="auto"/>
              <w:left w:val="single" w:sz="8" w:space="0" w:color="auto"/>
              <w:bottom w:val="single" w:sz="8" w:space="0" w:color="auto"/>
              <w:right w:val="single" w:sz="18" w:space="0" w:color="auto"/>
            </w:tcBorders>
            <w:shd w:val="clear" w:color="auto" w:fill="auto"/>
            <w:vAlign w:val="center"/>
            <w:hideMark/>
          </w:tcPr>
          <w:p w14:paraId="7E5ED9A3" w14:textId="77777777" w:rsidR="007E4F0D" w:rsidRPr="00B912DC" w:rsidRDefault="007E4F0D" w:rsidP="00416B60">
            <w:pPr>
              <w:keepNext/>
              <w:keepLines/>
              <w:rPr>
                <w:rFonts w:ascii="Times New Roman" w:eastAsia="Times New Roman" w:hAnsi="Times New Roman" w:cs="Times New Roman"/>
                <w:color w:val="000000"/>
              </w:rPr>
            </w:pPr>
            <w:r w:rsidRPr="00B912DC">
              <w:rPr>
                <w:rFonts w:ascii="Times New Roman" w:eastAsia="Times New Roman" w:hAnsi="Times New Roman" w:cs="Times New Roman"/>
                <w:color w:val="000000"/>
              </w:rPr>
              <w:t>Converted to Ch. 7</w:t>
            </w:r>
          </w:p>
        </w:tc>
        <w:tc>
          <w:tcPr>
            <w:tcW w:w="1538" w:type="dxa"/>
            <w:tcBorders>
              <w:top w:val="thinThickSmallGap" w:sz="12" w:space="0" w:color="auto"/>
              <w:left w:val="single" w:sz="18" w:space="0" w:color="auto"/>
              <w:bottom w:val="single" w:sz="8" w:space="0" w:color="auto"/>
              <w:right w:val="single" w:sz="18" w:space="0" w:color="auto"/>
            </w:tcBorders>
            <w:shd w:val="clear" w:color="auto" w:fill="auto"/>
            <w:noWrap/>
            <w:vAlign w:val="center"/>
            <w:hideMark/>
          </w:tcPr>
          <w:p w14:paraId="2D8509A8" w14:textId="2905D829" w:rsidR="007E4F0D" w:rsidRPr="00B912DC" w:rsidRDefault="007E4F0D"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18.7%</w:t>
            </w:r>
          </w:p>
        </w:tc>
        <w:tc>
          <w:tcPr>
            <w:tcW w:w="1350" w:type="dxa"/>
            <w:tcBorders>
              <w:top w:val="thinThickSmallGap" w:sz="12" w:space="0" w:color="auto"/>
              <w:left w:val="single" w:sz="18" w:space="0" w:color="auto"/>
              <w:bottom w:val="single" w:sz="8" w:space="0" w:color="auto"/>
              <w:right w:val="single" w:sz="8" w:space="0" w:color="auto"/>
            </w:tcBorders>
            <w:shd w:val="clear" w:color="auto" w:fill="auto"/>
            <w:noWrap/>
            <w:vAlign w:val="center"/>
            <w:hideMark/>
          </w:tcPr>
          <w:p w14:paraId="45D3C006" w14:textId="54ABFA10" w:rsidR="007E4F0D" w:rsidRPr="00B912DC" w:rsidRDefault="007E4F0D"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12.6%</w:t>
            </w:r>
          </w:p>
        </w:tc>
      </w:tr>
      <w:tr w:rsidR="007E4F0D" w:rsidRPr="00B912DC" w14:paraId="05E6B03F" w14:textId="77777777" w:rsidTr="007E4F0D">
        <w:trPr>
          <w:trHeight w:val="288"/>
        </w:trPr>
        <w:tc>
          <w:tcPr>
            <w:tcW w:w="5122" w:type="dxa"/>
            <w:tcBorders>
              <w:top w:val="nil"/>
              <w:left w:val="single" w:sz="8" w:space="0" w:color="auto"/>
              <w:bottom w:val="single" w:sz="8" w:space="0" w:color="auto"/>
              <w:right w:val="single" w:sz="18" w:space="0" w:color="auto"/>
            </w:tcBorders>
            <w:shd w:val="clear" w:color="auto" w:fill="auto"/>
            <w:vAlign w:val="center"/>
            <w:hideMark/>
          </w:tcPr>
          <w:p w14:paraId="628DE5FA" w14:textId="77777777" w:rsidR="007E4F0D" w:rsidRPr="00B912DC" w:rsidRDefault="007E4F0D" w:rsidP="00416B60">
            <w:pPr>
              <w:keepNext/>
              <w:keepLines/>
              <w:rPr>
                <w:rFonts w:ascii="Times New Roman" w:eastAsia="Times New Roman" w:hAnsi="Times New Roman" w:cs="Times New Roman"/>
                <w:color w:val="000000"/>
              </w:rPr>
            </w:pPr>
            <w:r w:rsidRPr="00B912DC">
              <w:rPr>
                <w:rFonts w:ascii="Times New Roman" w:eastAsia="Times New Roman" w:hAnsi="Times New Roman" w:cs="Times New Roman"/>
                <w:color w:val="000000"/>
              </w:rPr>
              <w:t>Converted to Ch. 13</w:t>
            </w:r>
          </w:p>
        </w:tc>
        <w:tc>
          <w:tcPr>
            <w:tcW w:w="1538" w:type="dxa"/>
            <w:tcBorders>
              <w:top w:val="nil"/>
              <w:left w:val="single" w:sz="18" w:space="0" w:color="auto"/>
              <w:bottom w:val="single" w:sz="8" w:space="0" w:color="auto"/>
              <w:right w:val="single" w:sz="18" w:space="0" w:color="auto"/>
            </w:tcBorders>
            <w:shd w:val="clear" w:color="auto" w:fill="auto"/>
            <w:noWrap/>
            <w:vAlign w:val="center"/>
            <w:hideMark/>
          </w:tcPr>
          <w:p w14:paraId="753C85BE" w14:textId="1569FFCC" w:rsidR="007E4F0D" w:rsidRPr="00B912DC" w:rsidRDefault="007E4F0D"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1.1%</w:t>
            </w:r>
          </w:p>
        </w:tc>
        <w:tc>
          <w:tcPr>
            <w:tcW w:w="1350" w:type="dxa"/>
            <w:tcBorders>
              <w:top w:val="nil"/>
              <w:left w:val="single" w:sz="18" w:space="0" w:color="auto"/>
              <w:bottom w:val="single" w:sz="8" w:space="0" w:color="auto"/>
              <w:right w:val="single" w:sz="8" w:space="0" w:color="auto"/>
            </w:tcBorders>
            <w:shd w:val="clear" w:color="auto" w:fill="auto"/>
            <w:noWrap/>
            <w:vAlign w:val="center"/>
            <w:hideMark/>
          </w:tcPr>
          <w:p w14:paraId="13BE4841" w14:textId="5E3F29E1" w:rsidR="007E4F0D" w:rsidRPr="00B912DC" w:rsidRDefault="007E4F0D"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1.1%</w:t>
            </w:r>
          </w:p>
        </w:tc>
      </w:tr>
      <w:tr w:rsidR="007E4F0D" w:rsidRPr="00B912DC" w14:paraId="7D98A583" w14:textId="77777777" w:rsidTr="007E4F0D">
        <w:trPr>
          <w:trHeight w:val="320"/>
        </w:trPr>
        <w:tc>
          <w:tcPr>
            <w:tcW w:w="5122" w:type="dxa"/>
            <w:tcBorders>
              <w:top w:val="nil"/>
              <w:left w:val="single" w:sz="8" w:space="0" w:color="auto"/>
              <w:bottom w:val="single" w:sz="8" w:space="0" w:color="auto"/>
              <w:right w:val="single" w:sz="18" w:space="0" w:color="auto"/>
            </w:tcBorders>
            <w:shd w:val="clear" w:color="auto" w:fill="auto"/>
            <w:vAlign w:val="center"/>
            <w:hideMark/>
          </w:tcPr>
          <w:p w14:paraId="7E041110" w14:textId="77777777" w:rsidR="007E4F0D" w:rsidRPr="00B912DC" w:rsidRDefault="007E4F0D" w:rsidP="00416B60">
            <w:pPr>
              <w:keepNext/>
              <w:keepLines/>
              <w:rPr>
                <w:rFonts w:ascii="Times New Roman" w:eastAsia="Times New Roman" w:hAnsi="Times New Roman" w:cs="Times New Roman"/>
                <w:color w:val="000000"/>
              </w:rPr>
            </w:pPr>
            <w:r w:rsidRPr="00B912DC">
              <w:rPr>
                <w:rFonts w:ascii="Times New Roman" w:eastAsia="Times New Roman" w:hAnsi="Times New Roman" w:cs="Times New Roman"/>
                <w:color w:val="000000"/>
              </w:rPr>
              <w:t>Dismissed</w:t>
            </w:r>
          </w:p>
        </w:tc>
        <w:tc>
          <w:tcPr>
            <w:tcW w:w="1538" w:type="dxa"/>
            <w:tcBorders>
              <w:top w:val="nil"/>
              <w:left w:val="single" w:sz="18" w:space="0" w:color="auto"/>
              <w:bottom w:val="single" w:sz="8" w:space="0" w:color="auto"/>
              <w:right w:val="single" w:sz="18" w:space="0" w:color="auto"/>
            </w:tcBorders>
            <w:shd w:val="clear" w:color="auto" w:fill="auto"/>
            <w:noWrap/>
            <w:vAlign w:val="center"/>
            <w:hideMark/>
          </w:tcPr>
          <w:p w14:paraId="5859FFDA" w14:textId="361DF538" w:rsidR="007E4F0D" w:rsidRPr="00B912DC" w:rsidRDefault="007E4F0D"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28.2%</w:t>
            </w:r>
          </w:p>
        </w:tc>
        <w:tc>
          <w:tcPr>
            <w:tcW w:w="1350" w:type="dxa"/>
            <w:tcBorders>
              <w:top w:val="nil"/>
              <w:left w:val="single" w:sz="18" w:space="0" w:color="auto"/>
              <w:bottom w:val="single" w:sz="8" w:space="0" w:color="auto"/>
              <w:right w:val="single" w:sz="8" w:space="0" w:color="auto"/>
            </w:tcBorders>
            <w:shd w:val="clear" w:color="auto" w:fill="auto"/>
            <w:noWrap/>
            <w:vAlign w:val="center"/>
            <w:hideMark/>
          </w:tcPr>
          <w:p w14:paraId="50E5090A" w14:textId="37B53FAB" w:rsidR="007E4F0D" w:rsidRPr="00B912DC" w:rsidRDefault="007E4F0D"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32.1%</w:t>
            </w:r>
          </w:p>
        </w:tc>
      </w:tr>
      <w:tr w:rsidR="007E4F0D" w:rsidRPr="00B912DC" w14:paraId="62F86094" w14:textId="77777777" w:rsidTr="007E4F0D">
        <w:trPr>
          <w:trHeight w:val="432"/>
        </w:trPr>
        <w:tc>
          <w:tcPr>
            <w:tcW w:w="5122" w:type="dxa"/>
            <w:tcBorders>
              <w:top w:val="nil"/>
              <w:left w:val="single" w:sz="8" w:space="0" w:color="auto"/>
              <w:bottom w:val="thinThickSmallGap" w:sz="12" w:space="0" w:color="auto"/>
              <w:right w:val="single" w:sz="18" w:space="0" w:color="auto"/>
            </w:tcBorders>
            <w:shd w:val="clear" w:color="auto" w:fill="auto"/>
            <w:vAlign w:val="center"/>
            <w:hideMark/>
          </w:tcPr>
          <w:p w14:paraId="64128D78" w14:textId="77777777" w:rsidR="007E4F0D" w:rsidRPr="00B912DC" w:rsidRDefault="007E4F0D" w:rsidP="00416B60">
            <w:pPr>
              <w:keepNext/>
              <w:keepLines/>
              <w:rPr>
                <w:rFonts w:ascii="Times New Roman" w:eastAsia="Times New Roman" w:hAnsi="Times New Roman" w:cs="Times New Roman"/>
                <w:color w:val="000000"/>
              </w:rPr>
            </w:pPr>
            <w:r w:rsidRPr="00B912DC">
              <w:rPr>
                <w:rFonts w:ascii="Times New Roman" w:eastAsia="Times New Roman" w:hAnsi="Times New Roman" w:cs="Times New Roman"/>
                <w:color w:val="000000"/>
              </w:rPr>
              <w:t>Discharge Denied, Revoked, Waived or Withheld</w:t>
            </w:r>
          </w:p>
        </w:tc>
        <w:tc>
          <w:tcPr>
            <w:tcW w:w="1538" w:type="dxa"/>
            <w:tcBorders>
              <w:top w:val="nil"/>
              <w:left w:val="single" w:sz="18" w:space="0" w:color="auto"/>
              <w:bottom w:val="thinThickSmallGap" w:sz="12" w:space="0" w:color="auto"/>
              <w:right w:val="single" w:sz="18" w:space="0" w:color="auto"/>
            </w:tcBorders>
            <w:shd w:val="clear" w:color="auto" w:fill="auto"/>
            <w:noWrap/>
            <w:vAlign w:val="center"/>
            <w:hideMark/>
          </w:tcPr>
          <w:p w14:paraId="05B74F07" w14:textId="7A588756" w:rsidR="007E4F0D" w:rsidRPr="00B912DC" w:rsidRDefault="007E4F0D"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1.5%</w:t>
            </w:r>
          </w:p>
        </w:tc>
        <w:tc>
          <w:tcPr>
            <w:tcW w:w="1350" w:type="dxa"/>
            <w:tcBorders>
              <w:top w:val="nil"/>
              <w:left w:val="single" w:sz="18" w:space="0" w:color="auto"/>
              <w:bottom w:val="thinThickSmallGap" w:sz="12" w:space="0" w:color="auto"/>
              <w:right w:val="single" w:sz="8" w:space="0" w:color="auto"/>
            </w:tcBorders>
            <w:shd w:val="clear" w:color="auto" w:fill="auto"/>
            <w:noWrap/>
            <w:vAlign w:val="center"/>
            <w:hideMark/>
          </w:tcPr>
          <w:p w14:paraId="3CD2183B" w14:textId="4498CAB4" w:rsidR="007E4F0D" w:rsidRPr="00B912DC" w:rsidRDefault="007E4F0D"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3.2%</w:t>
            </w:r>
          </w:p>
        </w:tc>
      </w:tr>
      <w:tr w:rsidR="007E4F0D" w:rsidRPr="00B912DC" w14:paraId="42493DAB" w14:textId="77777777" w:rsidTr="007E4F0D">
        <w:trPr>
          <w:trHeight w:val="288"/>
        </w:trPr>
        <w:tc>
          <w:tcPr>
            <w:tcW w:w="5122" w:type="dxa"/>
            <w:tcBorders>
              <w:top w:val="thinThickSmallGap" w:sz="12" w:space="0" w:color="auto"/>
              <w:left w:val="single" w:sz="8" w:space="0" w:color="auto"/>
              <w:bottom w:val="single" w:sz="8" w:space="0" w:color="auto"/>
              <w:right w:val="single" w:sz="18" w:space="0" w:color="auto"/>
            </w:tcBorders>
            <w:shd w:val="clear" w:color="auto" w:fill="auto"/>
            <w:vAlign w:val="center"/>
            <w:hideMark/>
          </w:tcPr>
          <w:p w14:paraId="7D53E66F" w14:textId="77777777" w:rsidR="007E4F0D" w:rsidRPr="00B912DC" w:rsidRDefault="007E4F0D" w:rsidP="00416B60">
            <w:pPr>
              <w:keepNext/>
              <w:keepLines/>
              <w:rPr>
                <w:rFonts w:ascii="Times New Roman" w:eastAsia="Times New Roman" w:hAnsi="Times New Roman" w:cs="Times New Roman"/>
                <w:color w:val="000000"/>
              </w:rPr>
            </w:pPr>
            <w:r w:rsidRPr="00B912DC">
              <w:rPr>
                <w:rFonts w:ascii="Times New Roman" w:eastAsia="Times New Roman" w:hAnsi="Times New Roman" w:cs="Times New Roman"/>
                <w:color w:val="000000"/>
              </w:rPr>
              <w:t>Case Transferred</w:t>
            </w:r>
          </w:p>
        </w:tc>
        <w:tc>
          <w:tcPr>
            <w:tcW w:w="1538" w:type="dxa"/>
            <w:tcBorders>
              <w:top w:val="thinThickSmallGap" w:sz="12" w:space="0" w:color="auto"/>
              <w:left w:val="single" w:sz="18" w:space="0" w:color="auto"/>
              <w:bottom w:val="single" w:sz="8" w:space="0" w:color="auto"/>
              <w:right w:val="single" w:sz="18" w:space="0" w:color="auto"/>
            </w:tcBorders>
            <w:shd w:val="clear" w:color="auto" w:fill="auto"/>
            <w:noWrap/>
            <w:vAlign w:val="center"/>
            <w:hideMark/>
          </w:tcPr>
          <w:p w14:paraId="4BE964DD" w14:textId="05E25480" w:rsidR="007E4F0D" w:rsidRPr="00B912DC" w:rsidRDefault="007E4F0D"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1.2%</w:t>
            </w:r>
          </w:p>
        </w:tc>
        <w:tc>
          <w:tcPr>
            <w:tcW w:w="1350" w:type="dxa"/>
            <w:tcBorders>
              <w:top w:val="thinThickSmallGap" w:sz="12" w:space="0" w:color="auto"/>
              <w:left w:val="single" w:sz="18" w:space="0" w:color="auto"/>
              <w:bottom w:val="single" w:sz="8" w:space="0" w:color="auto"/>
              <w:right w:val="single" w:sz="8" w:space="0" w:color="auto"/>
            </w:tcBorders>
            <w:shd w:val="clear" w:color="auto" w:fill="auto"/>
            <w:noWrap/>
            <w:hideMark/>
          </w:tcPr>
          <w:p w14:paraId="5140E976" w14:textId="388CBC84" w:rsidR="007E4F0D" w:rsidRPr="00B912DC" w:rsidRDefault="007E4F0D"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1.2%</w:t>
            </w:r>
          </w:p>
        </w:tc>
      </w:tr>
      <w:tr w:rsidR="007E4F0D" w:rsidRPr="00B912DC" w14:paraId="7D686FD1" w14:textId="77777777" w:rsidTr="007E4F0D">
        <w:trPr>
          <w:trHeight w:val="320"/>
        </w:trPr>
        <w:tc>
          <w:tcPr>
            <w:tcW w:w="5122" w:type="dxa"/>
            <w:tcBorders>
              <w:top w:val="nil"/>
              <w:left w:val="single" w:sz="8" w:space="0" w:color="auto"/>
              <w:bottom w:val="single" w:sz="8" w:space="0" w:color="auto"/>
              <w:right w:val="single" w:sz="18" w:space="0" w:color="auto"/>
            </w:tcBorders>
            <w:shd w:val="clear" w:color="auto" w:fill="auto"/>
            <w:vAlign w:val="center"/>
            <w:hideMark/>
          </w:tcPr>
          <w:p w14:paraId="0ECF8EE2" w14:textId="02E3826E" w:rsidR="007E4F0D" w:rsidRPr="00B912DC" w:rsidRDefault="007E4F0D" w:rsidP="00416B60">
            <w:pPr>
              <w:keepNext/>
              <w:keepLines/>
              <w:rPr>
                <w:rFonts w:ascii="Times New Roman" w:eastAsia="Times New Roman" w:hAnsi="Times New Roman" w:cs="Times New Roman"/>
                <w:color w:val="000000"/>
              </w:rPr>
            </w:pPr>
            <w:r w:rsidRPr="00B912DC">
              <w:rPr>
                <w:rFonts w:ascii="Times New Roman" w:eastAsia="Times New Roman" w:hAnsi="Times New Roman" w:cs="Times New Roman"/>
                <w:color w:val="000000"/>
              </w:rPr>
              <w:t>Other</w:t>
            </w:r>
            <w:r>
              <w:rPr>
                <w:rFonts w:ascii="Times New Roman" w:eastAsia="Times New Roman" w:hAnsi="Times New Roman" w:cs="Times New Roman"/>
                <w:color w:val="000000"/>
              </w:rPr>
              <w:t xml:space="preserve"> Procedural Disposition</w:t>
            </w:r>
            <w:r w:rsidRPr="00B912DC">
              <w:rPr>
                <w:rFonts w:ascii="Times New Roman" w:eastAsia="Times New Roman" w:hAnsi="Times New Roman" w:cs="Times New Roman"/>
                <w:color w:val="000000"/>
              </w:rPr>
              <w:t xml:space="preserve"> (Filed in Error, Split or Closed in Error)</w:t>
            </w:r>
          </w:p>
        </w:tc>
        <w:tc>
          <w:tcPr>
            <w:tcW w:w="1538" w:type="dxa"/>
            <w:tcBorders>
              <w:top w:val="nil"/>
              <w:left w:val="single" w:sz="18" w:space="0" w:color="auto"/>
              <w:bottom w:val="single" w:sz="8" w:space="0" w:color="auto"/>
              <w:right w:val="single" w:sz="18" w:space="0" w:color="auto"/>
            </w:tcBorders>
            <w:shd w:val="clear" w:color="auto" w:fill="auto"/>
            <w:noWrap/>
            <w:vAlign w:val="center"/>
            <w:hideMark/>
          </w:tcPr>
          <w:p w14:paraId="33FE4353" w14:textId="31FCDE3C" w:rsidR="007E4F0D" w:rsidRPr="00B912DC" w:rsidRDefault="007E4F0D"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0.1%</w:t>
            </w:r>
          </w:p>
        </w:tc>
        <w:tc>
          <w:tcPr>
            <w:tcW w:w="1350" w:type="dxa"/>
            <w:tcBorders>
              <w:top w:val="nil"/>
              <w:left w:val="single" w:sz="18" w:space="0" w:color="auto"/>
              <w:bottom w:val="single" w:sz="8" w:space="0" w:color="auto"/>
              <w:right w:val="single" w:sz="8" w:space="0" w:color="auto"/>
            </w:tcBorders>
            <w:shd w:val="clear" w:color="auto" w:fill="auto"/>
            <w:noWrap/>
            <w:hideMark/>
          </w:tcPr>
          <w:p w14:paraId="3BC7DCA5" w14:textId="622E8BA4" w:rsidR="007E4F0D" w:rsidRPr="00B912DC" w:rsidRDefault="007E4F0D" w:rsidP="00416B60">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0.2%</w:t>
            </w:r>
          </w:p>
        </w:tc>
      </w:tr>
      <w:tr w:rsidR="007E4F0D" w:rsidRPr="00B912DC" w14:paraId="341EF93F" w14:textId="77777777" w:rsidTr="007E4F0D">
        <w:trPr>
          <w:trHeight w:val="432"/>
        </w:trPr>
        <w:tc>
          <w:tcPr>
            <w:tcW w:w="5122" w:type="dxa"/>
            <w:tcBorders>
              <w:top w:val="thinThickSmallGap" w:sz="12" w:space="0" w:color="auto"/>
              <w:left w:val="thinThickSmallGap" w:sz="12" w:space="0" w:color="auto"/>
              <w:bottom w:val="thinThickSmallGap" w:sz="12" w:space="0" w:color="auto"/>
              <w:right w:val="single" w:sz="18" w:space="0" w:color="auto"/>
            </w:tcBorders>
            <w:shd w:val="clear" w:color="auto" w:fill="auto"/>
            <w:vAlign w:val="center"/>
            <w:hideMark/>
          </w:tcPr>
          <w:p w14:paraId="2A96A8E0" w14:textId="6D0F731A" w:rsidR="007E4F0D" w:rsidRPr="00B912DC" w:rsidRDefault="007E4F0D" w:rsidP="00416B60">
            <w:pPr>
              <w:keepNext/>
              <w:keepLines/>
              <w:rPr>
                <w:rFonts w:ascii="Times New Roman" w:eastAsia="Times New Roman" w:hAnsi="Times New Roman" w:cs="Times New Roman"/>
                <w:b/>
                <w:bCs/>
                <w:color w:val="000000"/>
              </w:rPr>
            </w:pPr>
            <w:r w:rsidRPr="00B912DC">
              <w:rPr>
                <w:rFonts w:ascii="Times New Roman" w:eastAsia="Times New Roman" w:hAnsi="Times New Roman" w:cs="Times New Roman"/>
                <w:b/>
                <w:bCs/>
                <w:color w:val="000000"/>
              </w:rPr>
              <w:t>Total "</w:t>
            </w:r>
            <w:r>
              <w:rPr>
                <w:rFonts w:ascii="Times New Roman" w:eastAsia="Times New Roman" w:hAnsi="Times New Roman" w:cs="Times New Roman"/>
                <w:b/>
                <w:bCs/>
                <w:color w:val="000000"/>
              </w:rPr>
              <w:t>Failure</w:t>
            </w:r>
            <w:r w:rsidRPr="00B912DC">
              <w:rPr>
                <w:rFonts w:ascii="Times New Roman" w:eastAsia="Times New Roman" w:hAnsi="Times New Roman" w:cs="Times New Roman"/>
                <w:b/>
                <w:bCs/>
                <w:color w:val="000000"/>
              </w:rPr>
              <w:t>"</w:t>
            </w:r>
          </w:p>
        </w:tc>
        <w:tc>
          <w:tcPr>
            <w:tcW w:w="1538" w:type="dxa"/>
            <w:tcBorders>
              <w:top w:val="thinThickSmallGap" w:sz="12" w:space="0" w:color="auto"/>
              <w:left w:val="single" w:sz="18" w:space="0" w:color="auto"/>
              <w:bottom w:val="thinThickSmallGap" w:sz="12" w:space="0" w:color="auto"/>
              <w:right w:val="single" w:sz="18" w:space="0" w:color="auto"/>
            </w:tcBorders>
            <w:shd w:val="clear" w:color="auto" w:fill="auto"/>
            <w:noWrap/>
            <w:vAlign w:val="center"/>
            <w:hideMark/>
          </w:tcPr>
          <w:p w14:paraId="60681F30" w14:textId="596A62B4" w:rsidR="007E4F0D" w:rsidRPr="00B912DC" w:rsidRDefault="007E4F0D" w:rsidP="00416B60">
            <w:pPr>
              <w:keepNext/>
              <w:keepLines/>
              <w:jc w:val="right"/>
              <w:rPr>
                <w:rFonts w:ascii="Times New Roman" w:eastAsia="Times New Roman" w:hAnsi="Times New Roman" w:cs="Times New Roman"/>
                <w:b/>
                <w:bCs/>
                <w:color w:val="000000"/>
              </w:rPr>
            </w:pPr>
            <w:r>
              <w:rPr>
                <w:rFonts w:ascii="Times New Roman" w:eastAsia="Times New Roman" w:hAnsi="Times New Roman" w:cs="Times New Roman"/>
                <w:b/>
                <w:color w:val="000000"/>
              </w:rPr>
              <w:t>50</w:t>
            </w:r>
            <w:r w:rsidRPr="00B912DC">
              <w:rPr>
                <w:rFonts w:ascii="Times New Roman" w:eastAsia="Times New Roman" w:hAnsi="Times New Roman" w:cs="Times New Roman"/>
                <w:b/>
                <w:color w:val="000000"/>
              </w:rPr>
              <w:t>.</w:t>
            </w:r>
            <w:r>
              <w:rPr>
                <w:rFonts w:ascii="Times New Roman" w:eastAsia="Times New Roman" w:hAnsi="Times New Roman" w:cs="Times New Roman"/>
                <w:b/>
                <w:color w:val="000000"/>
              </w:rPr>
              <w:t>8</w:t>
            </w:r>
            <w:r w:rsidRPr="00B912DC">
              <w:rPr>
                <w:rFonts w:ascii="Times New Roman" w:eastAsia="Times New Roman" w:hAnsi="Times New Roman" w:cs="Times New Roman"/>
                <w:b/>
                <w:color w:val="000000"/>
              </w:rPr>
              <w:t>%</w:t>
            </w:r>
          </w:p>
        </w:tc>
        <w:tc>
          <w:tcPr>
            <w:tcW w:w="1350" w:type="dxa"/>
            <w:tcBorders>
              <w:top w:val="thinThickSmallGap" w:sz="12" w:space="0" w:color="auto"/>
              <w:left w:val="single" w:sz="18" w:space="0" w:color="auto"/>
              <w:bottom w:val="thinThickSmallGap" w:sz="12" w:space="0" w:color="auto"/>
              <w:right w:val="thinThickSmallGap" w:sz="12" w:space="0" w:color="auto"/>
            </w:tcBorders>
            <w:shd w:val="clear" w:color="auto" w:fill="auto"/>
            <w:noWrap/>
            <w:vAlign w:val="center"/>
            <w:hideMark/>
          </w:tcPr>
          <w:p w14:paraId="1D17C64B" w14:textId="0288E117" w:rsidR="007E4F0D" w:rsidRPr="00B912DC" w:rsidRDefault="007E4F0D" w:rsidP="00416B60">
            <w:pPr>
              <w:keepNext/>
              <w:keepLines/>
              <w:jc w:val="right"/>
              <w:rPr>
                <w:rFonts w:ascii="Times New Roman" w:eastAsia="Times New Roman" w:hAnsi="Times New Roman" w:cs="Times New Roman"/>
                <w:b/>
                <w:color w:val="000000"/>
              </w:rPr>
            </w:pPr>
            <w:r>
              <w:rPr>
                <w:rFonts w:ascii="Times New Roman" w:eastAsia="Times New Roman" w:hAnsi="Times New Roman" w:cs="Times New Roman"/>
                <w:b/>
                <w:color w:val="000000"/>
              </w:rPr>
              <w:t>50</w:t>
            </w:r>
            <w:r w:rsidRPr="00B912DC">
              <w:rPr>
                <w:rFonts w:ascii="Times New Roman" w:eastAsia="Times New Roman" w:hAnsi="Times New Roman" w:cs="Times New Roman"/>
                <w:b/>
                <w:color w:val="000000"/>
              </w:rPr>
              <w:t>.3%</w:t>
            </w:r>
          </w:p>
        </w:tc>
      </w:tr>
      <w:tr w:rsidR="007E4F0D" w:rsidRPr="00B912DC" w14:paraId="2C9BCEFE" w14:textId="77777777" w:rsidTr="007E4F0D">
        <w:trPr>
          <w:trHeight w:val="320"/>
        </w:trPr>
        <w:tc>
          <w:tcPr>
            <w:tcW w:w="5122" w:type="dxa"/>
            <w:tcBorders>
              <w:top w:val="thinThickSmallGap" w:sz="12" w:space="0" w:color="auto"/>
              <w:left w:val="single" w:sz="8" w:space="0" w:color="auto"/>
              <w:bottom w:val="single" w:sz="8" w:space="0" w:color="auto"/>
              <w:right w:val="single" w:sz="18" w:space="0" w:color="auto"/>
            </w:tcBorders>
            <w:shd w:val="clear" w:color="auto" w:fill="auto"/>
            <w:vAlign w:val="center"/>
            <w:hideMark/>
          </w:tcPr>
          <w:p w14:paraId="234CC319" w14:textId="77777777" w:rsidR="007E4F0D" w:rsidRPr="00B912DC" w:rsidRDefault="007E4F0D" w:rsidP="00416B60">
            <w:pPr>
              <w:keepNext/>
              <w:keepLines/>
              <w:rPr>
                <w:rFonts w:ascii="Times New Roman" w:eastAsia="Times New Roman" w:hAnsi="Times New Roman" w:cs="Times New Roman"/>
                <w:b/>
                <w:bCs/>
                <w:color w:val="000000"/>
              </w:rPr>
            </w:pPr>
            <w:r w:rsidRPr="00B912DC">
              <w:rPr>
                <w:rFonts w:ascii="Times New Roman" w:eastAsia="Times New Roman" w:hAnsi="Times New Roman" w:cs="Times New Roman"/>
                <w:b/>
                <w:bCs/>
                <w:color w:val="000000"/>
              </w:rPr>
              <w:t>Total Number of Cases</w:t>
            </w:r>
          </w:p>
        </w:tc>
        <w:tc>
          <w:tcPr>
            <w:tcW w:w="1538" w:type="dxa"/>
            <w:tcBorders>
              <w:top w:val="thinThickSmallGap" w:sz="12" w:space="0" w:color="auto"/>
              <w:left w:val="single" w:sz="18" w:space="0" w:color="auto"/>
              <w:bottom w:val="single" w:sz="8" w:space="0" w:color="auto"/>
              <w:right w:val="single" w:sz="18" w:space="0" w:color="auto"/>
            </w:tcBorders>
            <w:shd w:val="clear" w:color="auto" w:fill="auto"/>
            <w:noWrap/>
            <w:vAlign w:val="center"/>
            <w:hideMark/>
          </w:tcPr>
          <w:p w14:paraId="46CA04FE" w14:textId="20BD169F" w:rsidR="007E4F0D" w:rsidRPr="00B912DC" w:rsidRDefault="007E4F0D" w:rsidP="00416B60">
            <w:pPr>
              <w:keepNext/>
              <w:keepLines/>
              <w:jc w:val="right"/>
              <w:rPr>
                <w:rFonts w:ascii="Times New Roman" w:eastAsia="Times New Roman" w:hAnsi="Times New Roman" w:cs="Times New Roman"/>
                <w:b/>
                <w:bCs/>
                <w:color w:val="000000"/>
              </w:rPr>
            </w:pPr>
            <w:r w:rsidRPr="00B912DC">
              <w:rPr>
                <w:rFonts w:ascii="Times New Roman" w:eastAsia="Times New Roman" w:hAnsi="Times New Roman" w:cs="Times New Roman"/>
                <w:b/>
                <w:bCs/>
                <w:color w:val="000000"/>
              </w:rPr>
              <w:t>4,049</w:t>
            </w:r>
          </w:p>
        </w:tc>
        <w:tc>
          <w:tcPr>
            <w:tcW w:w="1350" w:type="dxa"/>
            <w:tcBorders>
              <w:top w:val="thinThickSmallGap" w:sz="12" w:space="0" w:color="auto"/>
              <w:left w:val="single" w:sz="18" w:space="0" w:color="auto"/>
              <w:bottom w:val="single" w:sz="8" w:space="0" w:color="auto"/>
              <w:right w:val="single" w:sz="8" w:space="0" w:color="auto"/>
            </w:tcBorders>
            <w:shd w:val="clear" w:color="auto" w:fill="auto"/>
            <w:noWrap/>
            <w:vAlign w:val="center"/>
            <w:hideMark/>
          </w:tcPr>
          <w:p w14:paraId="72836358" w14:textId="77777777" w:rsidR="007E4F0D" w:rsidRPr="00B912DC" w:rsidRDefault="007E4F0D" w:rsidP="00416B60">
            <w:pPr>
              <w:keepNext/>
              <w:keepLines/>
              <w:jc w:val="right"/>
              <w:rPr>
                <w:rFonts w:ascii="Times New Roman" w:eastAsia="Times New Roman" w:hAnsi="Times New Roman" w:cs="Times New Roman"/>
                <w:b/>
                <w:bCs/>
                <w:color w:val="000000"/>
              </w:rPr>
            </w:pPr>
            <w:r w:rsidRPr="00B912DC">
              <w:rPr>
                <w:rFonts w:ascii="Times New Roman" w:eastAsia="Times New Roman" w:hAnsi="Times New Roman" w:cs="Times New Roman"/>
                <w:b/>
                <w:bCs/>
                <w:color w:val="000000"/>
              </w:rPr>
              <w:t>2,617</w:t>
            </w:r>
          </w:p>
          <w:p w14:paraId="41A68728" w14:textId="2AAE0F08" w:rsidR="007E4F0D" w:rsidRPr="00B912DC" w:rsidRDefault="007E4F0D" w:rsidP="00416B60">
            <w:pPr>
              <w:keepNext/>
              <w:keepLines/>
              <w:jc w:val="right"/>
              <w:rPr>
                <w:rFonts w:ascii="Times New Roman" w:eastAsia="Times New Roman" w:hAnsi="Times New Roman" w:cs="Times New Roman"/>
                <w:b/>
                <w:bCs/>
                <w:color w:val="000000"/>
              </w:rPr>
            </w:pPr>
            <w:r w:rsidRPr="00B912DC">
              <w:rPr>
                <w:rFonts w:ascii="Times New Roman" w:eastAsia="Times New Roman" w:hAnsi="Times New Roman" w:cs="Times New Roman"/>
                <w:b/>
                <w:bCs/>
                <w:color w:val="000000"/>
              </w:rPr>
              <w:t> </w:t>
            </w:r>
          </w:p>
        </w:tc>
      </w:tr>
    </w:tbl>
    <w:p w14:paraId="76E5ACE5" w14:textId="77777777" w:rsidR="001C2DA5" w:rsidRDefault="001C2DA5" w:rsidP="00416B60">
      <w:pPr>
        <w:ind w:firstLine="720"/>
        <w:rPr>
          <w:rFonts w:ascii="Times New Roman" w:hAnsi="Times New Roman" w:cs="Times New Roman"/>
        </w:rPr>
      </w:pPr>
    </w:p>
    <w:p w14:paraId="4727B334" w14:textId="77777777" w:rsidR="00FC38D9" w:rsidRPr="00DB4EAD" w:rsidRDefault="00FC38D9" w:rsidP="000806ED">
      <w:pPr>
        <w:pStyle w:val="ListParagraph"/>
        <w:numPr>
          <w:ilvl w:val="0"/>
          <w:numId w:val="23"/>
        </w:numPr>
        <w:tabs>
          <w:tab w:val="left" w:pos="720"/>
        </w:tabs>
        <w:spacing w:line="480" w:lineRule="auto"/>
        <w:ind w:left="630" w:hanging="630"/>
        <w:rPr>
          <w:rFonts w:ascii="Times New Roman" w:hAnsi="Times New Roman" w:cs="Times New Roman"/>
          <w:i/>
        </w:rPr>
      </w:pPr>
      <w:r w:rsidRPr="00DB4EAD">
        <w:rPr>
          <w:rFonts w:ascii="Times New Roman" w:hAnsi="Times New Roman" w:cs="Times New Roman"/>
          <w:i/>
        </w:rPr>
        <w:t>Predicting Success</w:t>
      </w:r>
    </w:p>
    <w:p w14:paraId="4E598654" w14:textId="080B7A4F" w:rsidR="00DB4EAD" w:rsidRDefault="00B20E78" w:rsidP="003A587C">
      <w:pPr>
        <w:spacing w:line="480" w:lineRule="auto"/>
        <w:ind w:firstLine="720"/>
        <w:rPr>
          <w:rFonts w:ascii="Times New Roman" w:hAnsi="Times New Roman" w:cs="Times New Roman"/>
          <w:b/>
        </w:rPr>
      </w:pPr>
      <w:r>
        <w:rPr>
          <w:rFonts w:ascii="Times New Roman" w:hAnsi="Times New Roman" w:cs="Times New Roman"/>
        </w:rPr>
        <w:t>In this section, w</w:t>
      </w:r>
      <w:r w:rsidR="00FC38D9">
        <w:rPr>
          <w:rFonts w:ascii="Times New Roman" w:hAnsi="Times New Roman" w:cs="Times New Roman"/>
        </w:rPr>
        <w:t xml:space="preserve">e consider two measures of success. </w:t>
      </w:r>
      <w:r>
        <w:rPr>
          <w:rFonts w:ascii="Times New Roman" w:hAnsi="Times New Roman" w:cs="Times New Roman"/>
        </w:rPr>
        <w:t xml:space="preserve">The first, </w:t>
      </w:r>
      <w:r w:rsidR="005608B5">
        <w:rPr>
          <w:rFonts w:ascii="Times New Roman" w:hAnsi="Times New Roman" w:cs="Times New Roman"/>
          <w:i/>
        </w:rPr>
        <w:t>Su</w:t>
      </w:r>
      <w:r w:rsidR="00391D25">
        <w:rPr>
          <w:rFonts w:ascii="Times New Roman" w:hAnsi="Times New Roman" w:cs="Times New Roman"/>
          <w:i/>
        </w:rPr>
        <w:t>rvive</w:t>
      </w:r>
      <w:r w:rsidR="005608B5">
        <w:rPr>
          <w:rFonts w:ascii="Times New Roman" w:hAnsi="Times New Roman" w:cs="Times New Roman"/>
          <w:i/>
        </w:rPr>
        <w:t>2010</w:t>
      </w:r>
      <w:r>
        <w:rPr>
          <w:rFonts w:ascii="Times New Roman" w:hAnsi="Times New Roman" w:cs="Times New Roman"/>
          <w:i/>
        </w:rPr>
        <w:t xml:space="preserve">, </w:t>
      </w:r>
      <w:r>
        <w:rPr>
          <w:rFonts w:ascii="Times New Roman" w:hAnsi="Times New Roman" w:cs="Times New Roman"/>
        </w:rPr>
        <w:t>measure</w:t>
      </w:r>
      <w:r w:rsidR="001B3F42">
        <w:rPr>
          <w:rFonts w:ascii="Times New Roman" w:hAnsi="Times New Roman" w:cs="Times New Roman"/>
        </w:rPr>
        <w:t>s</w:t>
      </w:r>
      <w:r>
        <w:rPr>
          <w:rFonts w:ascii="Times New Roman" w:hAnsi="Times New Roman" w:cs="Times New Roman"/>
        </w:rPr>
        <w:t xml:space="preserve"> su</w:t>
      </w:r>
      <w:r w:rsidR="00391D25">
        <w:rPr>
          <w:rFonts w:ascii="Times New Roman" w:hAnsi="Times New Roman" w:cs="Times New Roman"/>
        </w:rPr>
        <w:t>rvival</w:t>
      </w:r>
      <w:r w:rsidR="001B3F42">
        <w:rPr>
          <w:rFonts w:ascii="Times New Roman" w:hAnsi="Times New Roman" w:cs="Times New Roman"/>
        </w:rPr>
        <w:t xml:space="preserve">, as in Table 39, at </w:t>
      </w:r>
      <w:r w:rsidR="005608B5">
        <w:rPr>
          <w:rFonts w:ascii="Times New Roman" w:hAnsi="Times New Roman" w:cs="Times New Roman"/>
        </w:rPr>
        <w:t xml:space="preserve">the time </w:t>
      </w:r>
      <w:r w:rsidR="001B3F42">
        <w:rPr>
          <w:rFonts w:ascii="Times New Roman" w:hAnsi="Times New Roman" w:cs="Times New Roman"/>
        </w:rPr>
        <w:t xml:space="preserve">that </w:t>
      </w:r>
      <w:r w:rsidR="005608B5">
        <w:rPr>
          <w:rFonts w:ascii="Times New Roman" w:hAnsi="Times New Roman" w:cs="Times New Roman"/>
        </w:rPr>
        <w:t>we</w:t>
      </w:r>
      <w:r w:rsidR="006174EC">
        <w:rPr>
          <w:rFonts w:ascii="Times New Roman" w:hAnsi="Times New Roman" w:cs="Times New Roman"/>
        </w:rPr>
        <w:t xml:space="preserve"> downloaded the relevant PACER case r</w:t>
      </w:r>
      <w:r w:rsidR="005608B5">
        <w:rPr>
          <w:rFonts w:ascii="Times New Roman" w:hAnsi="Times New Roman" w:cs="Times New Roman"/>
        </w:rPr>
        <w:t xml:space="preserve">eport. </w:t>
      </w:r>
      <w:r w:rsidR="001B3F42">
        <w:rPr>
          <w:rFonts w:ascii="Times New Roman" w:hAnsi="Times New Roman" w:cs="Times New Roman"/>
        </w:rPr>
        <w:t xml:space="preserve">The </w:t>
      </w:r>
      <w:r w:rsidR="001B3F42">
        <w:rPr>
          <w:rFonts w:ascii="Times New Roman" w:hAnsi="Times New Roman" w:cs="Times New Roman"/>
          <w:i/>
        </w:rPr>
        <w:t>Su</w:t>
      </w:r>
      <w:r w:rsidR="00391D25">
        <w:rPr>
          <w:rFonts w:ascii="Times New Roman" w:hAnsi="Times New Roman" w:cs="Times New Roman"/>
          <w:i/>
        </w:rPr>
        <w:t>rvive</w:t>
      </w:r>
      <w:r w:rsidR="001B3F42">
        <w:rPr>
          <w:rFonts w:ascii="Times New Roman" w:hAnsi="Times New Roman" w:cs="Times New Roman"/>
          <w:i/>
        </w:rPr>
        <w:t xml:space="preserve">2010 </w:t>
      </w:r>
      <w:r w:rsidR="001B3F42">
        <w:rPr>
          <w:rFonts w:ascii="Times New Roman" w:hAnsi="Times New Roman" w:cs="Times New Roman"/>
        </w:rPr>
        <w:t xml:space="preserve">measure applies only to </w:t>
      </w:r>
      <w:r w:rsidR="005608B5">
        <w:rPr>
          <w:rFonts w:ascii="Times New Roman" w:hAnsi="Times New Roman" w:cs="Times New Roman"/>
        </w:rPr>
        <w:t xml:space="preserve">cases filed in 2010. </w:t>
      </w:r>
      <w:r w:rsidR="001B3F42">
        <w:rPr>
          <w:rFonts w:ascii="Times New Roman" w:hAnsi="Times New Roman" w:cs="Times New Roman"/>
        </w:rPr>
        <w:t xml:space="preserve">The second measure, </w:t>
      </w:r>
      <w:r w:rsidR="00FC38D9">
        <w:rPr>
          <w:rFonts w:ascii="Times New Roman" w:hAnsi="Times New Roman" w:cs="Times New Roman"/>
          <w:i/>
        </w:rPr>
        <w:t>Su</w:t>
      </w:r>
      <w:r w:rsidR="00391D25">
        <w:rPr>
          <w:rFonts w:ascii="Times New Roman" w:hAnsi="Times New Roman" w:cs="Times New Roman"/>
          <w:i/>
        </w:rPr>
        <w:t>rvive</w:t>
      </w:r>
      <w:r w:rsidR="00FC38D9">
        <w:rPr>
          <w:rFonts w:ascii="Times New Roman" w:hAnsi="Times New Roman" w:cs="Times New Roman"/>
          <w:i/>
        </w:rPr>
        <w:t>545</w:t>
      </w:r>
      <w:r w:rsidR="001B3F42">
        <w:rPr>
          <w:rFonts w:ascii="Times New Roman" w:hAnsi="Times New Roman" w:cs="Times New Roman"/>
          <w:i/>
        </w:rPr>
        <w:t xml:space="preserve">, </w:t>
      </w:r>
      <w:r w:rsidR="001B3F42">
        <w:rPr>
          <w:rFonts w:ascii="Times New Roman" w:hAnsi="Times New Roman" w:cs="Times New Roman"/>
        </w:rPr>
        <w:t>on the other hand,</w:t>
      </w:r>
      <w:r w:rsidR="005608B5">
        <w:rPr>
          <w:rFonts w:ascii="Times New Roman" w:hAnsi="Times New Roman" w:cs="Times New Roman"/>
          <w:i/>
        </w:rPr>
        <w:t xml:space="preserve"> </w:t>
      </w:r>
      <w:r w:rsidR="001B3F42">
        <w:rPr>
          <w:rFonts w:ascii="Times New Roman" w:hAnsi="Times New Roman" w:cs="Times New Roman"/>
        </w:rPr>
        <w:t>applie</w:t>
      </w:r>
      <w:r w:rsidR="002D1617">
        <w:rPr>
          <w:rFonts w:ascii="Times New Roman" w:hAnsi="Times New Roman" w:cs="Times New Roman"/>
        </w:rPr>
        <w:t>s</w:t>
      </w:r>
      <w:r w:rsidR="001B3F42">
        <w:rPr>
          <w:rFonts w:ascii="Times New Roman" w:hAnsi="Times New Roman" w:cs="Times New Roman"/>
        </w:rPr>
        <w:t xml:space="preserve"> to both the 2010 and 2013 cases, and, as in </w:t>
      </w:r>
      <w:r w:rsidR="001C2DA5">
        <w:rPr>
          <w:rFonts w:ascii="Times New Roman" w:hAnsi="Times New Roman" w:cs="Times New Roman"/>
        </w:rPr>
        <w:t>Table 4</w:t>
      </w:r>
      <w:r w:rsidR="00DB4EAD">
        <w:rPr>
          <w:rFonts w:ascii="Times New Roman" w:hAnsi="Times New Roman" w:cs="Times New Roman"/>
        </w:rPr>
        <w:t>1</w:t>
      </w:r>
      <w:r w:rsidR="001B3F42">
        <w:rPr>
          <w:rFonts w:ascii="Times New Roman" w:hAnsi="Times New Roman" w:cs="Times New Roman"/>
        </w:rPr>
        <w:t xml:space="preserve">, </w:t>
      </w:r>
      <w:r w:rsidR="00FC38D9">
        <w:rPr>
          <w:rFonts w:ascii="Times New Roman" w:hAnsi="Times New Roman" w:cs="Times New Roman"/>
        </w:rPr>
        <w:t>uses the status of the case 545 days after the filing of bankruptcy.</w:t>
      </w:r>
      <w:r w:rsidR="008E1FC5">
        <w:rPr>
          <w:rStyle w:val="FootnoteReference"/>
          <w:rFonts w:ascii="Times New Roman" w:hAnsi="Times New Roman" w:cs="Times New Roman"/>
        </w:rPr>
        <w:footnoteReference w:id="197"/>
      </w:r>
      <w:r w:rsidR="00FC38D9">
        <w:rPr>
          <w:rFonts w:ascii="Times New Roman" w:hAnsi="Times New Roman" w:cs="Times New Roman"/>
        </w:rPr>
        <w:t xml:space="preserve"> </w:t>
      </w:r>
      <w:r w:rsidR="001B3F42">
        <w:rPr>
          <w:rFonts w:ascii="Times New Roman" w:hAnsi="Times New Roman" w:cs="Times New Roman"/>
        </w:rPr>
        <w:t>The 545-day cutoff gives all cases an equal chance to fail and allows us to compare the success rates for the 2010 and 2013 cases</w:t>
      </w:r>
      <w:r w:rsidR="00FC38D9">
        <w:rPr>
          <w:rFonts w:ascii="Times New Roman" w:hAnsi="Times New Roman" w:cs="Times New Roman"/>
        </w:rPr>
        <w:t xml:space="preserve"> </w:t>
      </w:r>
    </w:p>
    <w:p w14:paraId="4FD88B4B" w14:textId="6247E633" w:rsidR="00FC38D9" w:rsidRDefault="00FC38D9" w:rsidP="00416B60">
      <w:pPr>
        <w:keepNext/>
        <w:keepLines/>
        <w:ind w:firstLine="720"/>
        <w:jc w:val="center"/>
        <w:rPr>
          <w:rFonts w:ascii="Times New Roman" w:hAnsi="Times New Roman" w:cs="Times New Roman"/>
          <w:b/>
        </w:rPr>
      </w:pPr>
      <w:r w:rsidRPr="00B912DC">
        <w:rPr>
          <w:rFonts w:ascii="Times New Roman" w:hAnsi="Times New Roman" w:cs="Times New Roman"/>
          <w:b/>
        </w:rPr>
        <w:t xml:space="preserve">Table </w:t>
      </w:r>
      <w:r w:rsidR="00D7260E">
        <w:rPr>
          <w:rFonts w:ascii="Times New Roman" w:hAnsi="Times New Roman" w:cs="Times New Roman"/>
          <w:b/>
        </w:rPr>
        <w:t>4</w:t>
      </w:r>
      <w:r w:rsidR="00DB4EAD">
        <w:rPr>
          <w:rFonts w:ascii="Times New Roman" w:hAnsi="Times New Roman" w:cs="Times New Roman"/>
          <w:b/>
        </w:rPr>
        <w:t>2</w:t>
      </w:r>
      <w:r w:rsidRPr="00B912DC">
        <w:rPr>
          <w:rFonts w:ascii="Times New Roman" w:hAnsi="Times New Roman" w:cs="Times New Roman"/>
          <w:b/>
        </w:rPr>
        <w:t>:  Predictors of Success</w:t>
      </w:r>
    </w:p>
    <w:p w14:paraId="7B5719DA" w14:textId="77777777" w:rsidR="008E1FC5" w:rsidRDefault="008E1FC5" w:rsidP="00416B60">
      <w:pPr>
        <w:keepNext/>
        <w:keepLines/>
        <w:ind w:firstLine="720"/>
        <w:jc w:val="center"/>
        <w:rPr>
          <w:rFonts w:ascii="Times New Roman" w:hAnsi="Times New Roman" w:cs="Times New Roman"/>
          <w:b/>
        </w:rPr>
      </w:pPr>
    </w:p>
    <w:tbl>
      <w:tblPr>
        <w:tblStyle w:val="TableGrid"/>
        <w:tblW w:w="9124" w:type="dxa"/>
        <w:tblLayout w:type="fixed"/>
        <w:tblLook w:val="04A0" w:firstRow="1" w:lastRow="0" w:firstColumn="1" w:lastColumn="0" w:noHBand="0" w:noVBand="1"/>
      </w:tblPr>
      <w:tblGrid>
        <w:gridCol w:w="1368"/>
        <w:gridCol w:w="1260"/>
        <w:gridCol w:w="1350"/>
        <w:gridCol w:w="1260"/>
        <w:gridCol w:w="1350"/>
        <w:gridCol w:w="1260"/>
        <w:gridCol w:w="1276"/>
      </w:tblGrid>
      <w:tr w:rsidR="00FC38D9" w:rsidRPr="00B912DC" w14:paraId="24B02C74" w14:textId="77777777" w:rsidTr="00DB4EAD">
        <w:tc>
          <w:tcPr>
            <w:tcW w:w="1368" w:type="dxa"/>
            <w:tcBorders>
              <w:top w:val="nil"/>
              <w:left w:val="nil"/>
              <w:bottom w:val="thinThickSmallGap" w:sz="18" w:space="0" w:color="auto"/>
              <w:right w:val="thinThickSmallGap" w:sz="18" w:space="0" w:color="auto"/>
            </w:tcBorders>
          </w:tcPr>
          <w:p w14:paraId="416492B7" w14:textId="77777777" w:rsidR="00FC38D9" w:rsidRPr="00B912DC" w:rsidRDefault="00FC38D9" w:rsidP="00416B60">
            <w:pPr>
              <w:keepNext/>
              <w:keepLines/>
              <w:spacing w:line="480" w:lineRule="auto"/>
              <w:jc w:val="center"/>
              <w:rPr>
                <w:rFonts w:ascii="Times New Roman" w:hAnsi="Times New Roman" w:cs="Times New Roman"/>
                <w:b/>
              </w:rPr>
            </w:pPr>
          </w:p>
        </w:tc>
        <w:tc>
          <w:tcPr>
            <w:tcW w:w="3870" w:type="dxa"/>
            <w:gridSpan w:val="3"/>
            <w:tcBorders>
              <w:top w:val="single" w:sz="18" w:space="0" w:color="auto"/>
              <w:left w:val="thinThickSmallGap" w:sz="18" w:space="0" w:color="auto"/>
              <w:bottom w:val="thinThickSmallGap" w:sz="18" w:space="0" w:color="auto"/>
              <w:right w:val="thinThickSmallGap" w:sz="18" w:space="0" w:color="auto"/>
            </w:tcBorders>
          </w:tcPr>
          <w:p w14:paraId="4A5D417C" w14:textId="77777777" w:rsidR="00FC38D9" w:rsidRPr="00B912DC" w:rsidRDefault="00FC38D9" w:rsidP="00416B60">
            <w:pPr>
              <w:pStyle w:val="ListParagraph"/>
              <w:keepNext/>
              <w:keepLines/>
              <w:numPr>
                <w:ilvl w:val="0"/>
                <w:numId w:val="11"/>
              </w:numPr>
              <w:spacing w:after="100" w:afterAutospacing="1"/>
              <w:jc w:val="center"/>
              <w:rPr>
                <w:rFonts w:ascii="Times New Roman" w:hAnsi="Times New Roman" w:cs="Times New Roman"/>
                <w:b/>
              </w:rPr>
            </w:pPr>
          </w:p>
          <w:p w14:paraId="76A60510" w14:textId="3AF757AD" w:rsidR="00FC38D9" w:rsidRPr="00B912DC" w:rsidRDefault="00FC38D9" w:rsidP="00416B60">
            <w:pPr>
              <w:pStyle w:val="ListParagraph"/>
              <w:keepNext/>
              <w:keepLines/>
              <w:spacing w:after="100" w:afterAutospacing="1"/>
              <w:rPr>
                <w:rFonts w:ascii="Times New Roman" w:hAnsi="Times New Roman" w:cs="Times New Roman"/>
                <w:b/>
              </w:rPr>
            </w:pPr>
            <w:r w:rsidRPr="00B912DC">
              <w:rPr>
                <w:rFonts w:ascii="Times New Roman" w:hAnsi="Times New Roman" w:cs="Times New Roman"/>
                <w:b/>
              </w:rPr>
              <w:t xml:space="preserve">          Su</w:t>
            </w:r>
            <w:r w:rsidR="00391D25">
              <w:rPr>
                <w:rFonts w:ascii="Times New Roman" w:hAnsi="Times New Roman" w:cs="Times New Roman"/>
                <w:b/>
              </w:rPr>
              <w:t>rvive</w:t>
            </w:r>
            <w:r w:rsidRPr="00B912DC">
              <w:rPr>
                <w:rFonts w:ascii="Times New Roman" w:hAnsi="Times New Roman" w:cs="Times New Roman"/>
                <w:b/>
              </w:rPr>
              <w:t>545</w:t>
            </w:r>
          </w:p>
        </w:tc>
        <w:tc>
          <w:tcPr>
            <w:tcW w:w="3886" w:type="dxa"/>
            <w:gridSpan w:val="3"/>
            <w:tcBorders>
              <w:top w:val="single" w:sz="18" w:space="0" w:color="auto"/>
              <w:left w:val="thinThickSmallGap" w:sz="18" w:space="0" w:color="auto"/>
              <w:bottom w:val="thinThickSmallGap" w:sz="18" w:space="0" w:color="auto"/>
              <w:right w:val="single" w:sz="18" w:space="0" w:color="auto"/>
            </w:tcBorders>
          </w:tcPr>
          <w:p w14:paraId="5A1D40E7" w14:textId="77777777" w:rsidR="00FC38D9" w:rsidRPr="00B912DC" w:rsidRDefault="00FC38D9" w:rsidP="00416B60">
            <w:pPr>
              <w:keepNext/>
              <w:keepLines/>
              <w:jc w:val="center"/>
              <w:rPr>
                <w:rFonts w:ascii="Times New Roman" w:hAnsi="Times New Roman" w:cs="Times New Roman"/>
                <w:b/>
              </w:rPr>
            </w:pPr>
            <w:r w:rsidRPr="00B912DC">
              <w:rPr>
                <w:rFonts w:ascii="Times New Roman" w:hAnsi="Times New Roman" w:cs="Times New Roman"/>
                <w:b/>
              </w:rPr>
              <w:t>(B)</w:t>
            </w:r>
          </w:p>
          <w:p w14:paraId="2F4FD521" w14:textId="3DEB6D87" w:rsidR="00FC38D9" w:rsidRPr="00B912DC" w:rsidRDefault="00FC38D9" w:rsidP="00416B60">
            <w:pPr>
              <w:keepNext/>
              <w:keepLines/>
              <w:jc w:val="center"/>
              <w:rPr>
                <w:rFonts w:ascii="Times New Roman" w:hAnsi="Times New Roman" w:cs="Times New Roman"/>
                <w:b/>
              </w:rPr>
            </w:pPr>
            <w:r w:rsidRPr="00B912DC">
              <w:rPr>
                <w:rFonts w:ascii="Times New Roman" w:hAnsi="Times New Roman" w:cs="Times New Roman"/>
                <w:b/>
              </w:rPr>
              <w:t>Su</w:t>
            </w:r>
            <w:r w:rsidR="00391D25">
              <w:rPr>
                <w:rFonts w:ascii="Times New Roman" w:hAnsi="Times New Roman" w:cs="Times New Roman"/>
                <w:b/>
              </w:rPr>
              <w:t>rvive</w:t>
            </w:r>
            <w:r w:rsidRPr="00B912DC">
              <w:rPr>
                <w:rFonts w:ascii="Times New Roman" w:hAnsi="Times New Roman" w:cs="Times New Roman"/>
                <w:b/>
              </w:rPr>
              <w:t>2010</w:t>
            </w:r>
          </w:p>
        </w:tc>
      </w:tr>
      <w:tr w:rsidR="00FC38D9" w:rsidRPr="00B912DC" w14:paraId="2CFE5533" w14:textId="77777777" w:rsidTr="00DB4EAD">
        <w:tc>
          <w:tcPr>
            <w:tcW w:w="1368" w:type="dxa"/>
            <w:tcBorders>
              <w:top w:val="thinThickSmallGap" w:sz="18" w:space="0" w:color="auto"/>
              <w:bottom w:val="thinThickSmallGap" w:sz="18" w:space="0" w:color="auto"/>
              <w:right w:val="thinThickSmallGap" w:sz="18" w:space="0" w:color="auto"/>
            </w:tcBorders>
          </w:tcPr>
          <w:p w14:paraId="15A63356" w14:textId="77777777" w:rsidR="00FC38D9" w:rsidRPr="00B912DC" w:rsidRDefault="00FC38D9" w:rsidP="00416B60">
            <w:pPr>
              <w:keepNext/>
              <w:keepLines/>
              <w:spacing w:before="200" w:line="480" w:lineRule="auto"/>
              <w:jc w:val="center"/>
              <w:outlineLvl w:val="2"/>
              <w:rPr>
                <w:rFonts w:ascii="Times New Roman" w:hAnsi="Times New Roman" w:cs="Times New Roman"/>
                <w:b/>
              </w:rPr>
            </w:pPr>
            <w:r w:rsidRPr="00B912DC">
              <w:rPr>
                <w:rFonts w:ascii="Times New Roman" w:hAnsi="Times New Roman" w:cs="Times New Roman"/>
                <w:b/>
                <w:i/>
              </w:rPr>
              <w:t xml:space="preserve">Variables </w:t>
            </w:r>
          </w:p>
        </w:tc>
        <w:tc>
          <w:tcPr>
            <w:tcW w:w="1260" w:type="dxa"/>
            <w:tcBorders>
              <w:top w:val="thinThickSmallGap" w:sz="18" w:space="0" w:color="auto"/>
              <w:left w:val="thinThickSmallGap" w:sz="18" w:space="0" w:color="auto"/>
              <w:bottom w:val="thinThickSmallGap" w:sz="18" w:space="0" w:color="auto"/>
            </w:tcBorders>
          </w:tcPr>
          <w:p w14:paraId="240C31E0" w14:textId="77777777" w:rsidR="00FC38D9" w:rsidRPr="005F7FD9" w:rsidRDefault="00FC38D9" w:rsidP="00416B60">
            <w:pPr>
              <w:keepNext/>
              <w:keepLines/>
              <w:rPr>
                <w:rFonts w:ascii="Times New Roman" w:hAnsi="Times New Roman" w:cs="Times New Roman"/>
                <w:sz w:val="20"/>
                <w:szCs w:val="20"/>
              </w:rPr>
            </w:pPr>
            <w:r w:rsidRPr="005F7FD9">
              <w:rPr>
                <w:rFonts w:ascii="Times New Roman" w:hAnsi="Times New Roman" w:cs="Times New Roman"/>
                <w:sz w:val="20"/>
                <w:szCs w:val="20"/>
              </w:rPr>
              <w:t>(1) Mean if no (# cases)</w:t>
            </w:r>
          </w:p>
        </w:tc>
        <w:tc>
          <w:tcPr>
            <w:tcW w:w="1350" w:type="dxa"/>
            <w:tcBorders>
              <w:top w:val="thinThickSmallGap" w:sz="18" w:space="0" w:color="auto"/>
              <w:bottom w:val="thinThickSmallGap" w:sz="18" w:space="0" w:color="auto"/>
            </w:tcBorders>
          </w:tcPr>
          <w:p w14:paraId="02E22ABB" w14:textId="77777777" w:rsidR="00FC38D9" w:rsidRPr="005F7FD9" w:rsidRDefault="00FC38D9" w:rsidP="00416B60">
            <w:pPr>
              <w:keepNext/>
              <w:keepLines/>
              <w:jc w:val="center"/>
              <w:rPr>
                <w:rFonts w:ascii="Times New Roman" w:hAnsi="Times New Roman" w:cs="Times New Roman"/>
                <w:sz w:val="20"/>
                <w:szCs w:val="20"/>
              </w:rPr>
            </w:pPr>
            <w:r w:rsidRPr="005F7FD9">
              <w:rPr>
                <w:rFonts w:ascii="Times New Roman" w:hAnsi="Times New Roman" w:cs="Times New Roman"/>
                <w:sz w:val="20"/>
                <w:szCs w:val="20"/>
              </w:rPr>
              <w:t>(2) Mean if yes (# cases)</w:t>
            </w:r>
          </w:p>
        </w:tc>
        <w:tc>
          <w:tcPr>
            <w:tcW w:w="1260" w:type="dxa"/>
            <w:tcBorders>
              <w:top w:val="thinThickSmallGap" w:sz="18" w:space="0" w:color="auto"/>
              <w:bottom w:val="thinThickSmallGap" w:sz="18" w:space="0" w:color="auto"/>
              <w:right w:val="thinThickSmallGap" w:sz="18" w:space="0" w:color="auto"/>
            </w:tcBorders>
          </w:tcPr>
          <w:p w14:paraId="398DFEEF" w14:textId="77777777" w:rsidR="00FC38D9" w:rsidRPr="005F7FD9" w:rsidRDefault="00FC38D9" w:rsidP="00416B60">
            <w:pPr>
              <w:keepNext/>
              <w:keepLines/>
              <w:jc w:val="center"/>
              <w:rPr>
                <w:rFonts w:ascii="Times New Roman" w:hAnsi="Times New Roman" w:cs="Times New Roman"/>
                <w:i/>
                <w:sz w:val="20"/>
                <w:szCs w:val="20"/>
              </w:rPr>
            </w:pPr>
            <w:r w:rsidRPr="005F7FD9">
              <w:rPr>
                <w:rFonts w:ascii="Times New Roman" w:hAnsi="Times New Roman" w:cs="Times New Roman"/>
                <w:sz w:val="20"/>
                <w:szCs w:val="20"/>
              </w:rPr>
              <w:t xml:space="preserve">(3) </w:t>
            </w:r>
            <w:r w:rsidRPr="005F7FD9">
              <w:rPr>
                <w:rFonts w:ascii="Times New Roman" w:hAnsi="Times New Roman" w:cs="Times New Roman"/>
                <w:i/>
                <w:sz w:val="20"/>
                <w:szCs w:val="20"/>
              </w:rPr>
              <w:t>p-value of difference</w:t>
            </w:r>
          </w:p>
        </w:tc>
        <w:tc>
          <w:tcPr>
            <w:tcW w:w="1350" w:type="dxa"/>
            <w:tcBorders>
              <w:top w:val="thinThickSmallGap" w:sz="18" w:space="0" w:color="auto"/>
              <w:left w:val="thinThickSmallGap" w:sz="18" w:space="0" w:color="auto"/>
              <w:bottom w:val="thinThickSmallGap" w:sz="18" w:space="0" w:color="auto"/>
            </w:tcBorders>
          </w:tcPr>
          <w:p w14:paraId="1779D6BE" w14:textId="77777777" w:rsidR="00FC38D9" w:rsidRPr="005F7FD9" w:rsidRDefault="00FC38D9" w:rsidP="00416B60">
            <w:pPr>
              <w:keepNext/>
              <w:keepLines/>
              <w:jc w:val="center"/>
              <w:rPr>
                <w:rFonts w:ascii="Times New Roman" w:hAnsi="Times New Roman" w:cs="Times New Roman"/>
                <w:sz w:val="20"/>
                <w:szCs w:val="20"/>
              </w:rPr>
            </w:pPr>
            <w:r w:rsidRPr="005F7FD9">
              <w:rPr>
                <w:rFonts w:ascii="Times New Roman" w:hAnsi="Times New Roman" w:cs="Times New Roman"/>
                <w:sz w:val="20"/>
                <w:szCs w:val="20"/>
              </w:rPr>
              <w:t>(1) Mean if no (# cases)</w:t>
            </w:r>
          </w:p>
        </w:tc>
        <w:tc>
          <w:tcPr>
            <w:tcW w:w="1260" w:type="dxa"/>
            <w:tcBorders>
              <w:top w:val="thinThickSmallGap" w:sz="18" w:space="0" w:color="auto"/>
              <w:bottom w:val="thinThickSmallGap" w:sz="18" w:space="0" w:color="auto"/>
            </w:tcBorders>
          </w:tcPr>
          <w:p w14:paraId="382FFF2E" w14:textId="77777777" w:rsidR="00FC38D9" w:rsidRPr="005F7FD9" w:rsidRDefault="00FC38D9" w:rsidP="00416B60">
            <w:pPr>
              <w:keepNext/>
              <w:keepLines/>
              <w:jc w:val="center"/>
              <w:rPr>
                <w:rFonts w:ascii="Times New Roman" w:hAnsi="Times New Roman" w:cs="Times New Roman"/>
                <w:sz w:val="20"/>
                <w:szCs w:val="20"/>
              </w:rPr>
            </w:pPr>
            <w:r w:rsidRPr="005F7FD9">
              <w:rPr>
                <w:rFonts w:ascii="Times New Roman" w:hAnsi="Times New Roman" w:cs="Times New Roman"/>
                <w:sz w:val="20"/>
                <w:szCs w:val="20"/>
              </w:rPr>
              <w:t>(2) Mean if yes (# cases)</w:t>
            </w:r>
          </w:p>
        </w:tc>
        <w:tc>
          <w:tcPr>
            <w:tcW w:w="1276" w:type="dxa"/>
            <w:tcBorders>
              <w:top w:val="thinThickSmallGap" w:sz="18" w:space="0" w:color="auto"/>
              <w:bottom w:val="thinThickSmallGap" w:sz="18" w:space="0" w:color="auto"/>
              <w:right w:val="single" w:sz="18" w:space="0" w:color="auto"/>
            </w:tcBorders>
          </w:tcPr>
          <w:p w14:paraId="245D5E7B" w14:textId="77777777" w:rsidR="00FC38D9" w:rsidRPr="005F7FD9" w:rsidRDefault="00FC38D9" w:rsidP="00416B60">
            <w:pPr>
              <w:keepNext/>
              <w:keepLines/>
              <w:jc w:val="center"/>
              <w:rPr>
                <w:rFonts w:ascii="Times New Roman" w:hAnsi="Times New Roman" w:cs="Times New Roman"/>
                <w:sz w:val="20"/>
                <w:szCs w:val="20"/>
              </w:rPr>
            </w:pPr>
            <w:r w:rsidRPr="005F7FD9">
              <w:rPr>
                <w:rFonts w:ascii="Times New Roman" w:hAnsi="Times New Roman" w:cs="Times New Roman"/>
                <w:sz w:val="20"/>
                <w:szCs w:val="20"/>
              </w:rPr>
              <w:t xml:space="preserve">(3) </w:t>
            </w:r>
            <w:r w:rsidRPr="005F7FD9">
              <w:rPr>
                <w:rFonts w:ascii="Times New Roman" w:hAnsi="Times New Roman" w:cs="Times New Roman"/>
                <w:i/>
                <w:sz w:val="20"/>
                <w:szCs w:val="20"/>
              </w:rPr>
              <w:t>p-value of difference</w:t>
            </w:r>
          </w:p>
        </w:tc>
      </w:tr>
      <w:tr w:rsidR="00FC38D9" w:rsidRPr="00B912DC" w14:paraId="2EF09A34" w14:textId="77777777" w:rsidTr="00DB4EAD">
        <w:tc>
          <w:tcPr>
            <w:tcW w:w="1368" w:type="dxa"/>
            <w:tcBorders>
              <w:top w:val="thinThickSmallGap" w:sz="18" w:space="0" w:color="auto"/>
              <w:bottom w:val="double" w:sz="4" w:space="0" w:color="auto"/>
              <w:right w:val="thinThickSmallGap" w:sz="18" w:space="0" w:color="auto"/>
            </w:tcBorders>
          </w:tcPr>
          <w:p w14:paraId="34174811" w14:textId="7422517B" w:rsidR="00FC38D9" w:rsidRPr="005F7FD9" w:rsidRDefault="00FC38D9" w:rsidP="00416B60">
            <w:pPr>
              <w:keepNext/>
              <w:keepLines/>
              <w:rPr>
                <w:rFonts w:ascii="Times New Roman" w:hAnsi="Times New Roman" w:cs="Times New Roman"/>
                <w:sz w:val="20"/>
                <w:szCs w:val="20"/>
              </w:rPr>
            </w:pPr>
            <w:r w:rsidRPr="005F7FD9">
              <w:rPr>
                <w:rFonts w:ascii="Times New Roman" w:hAnsi="Times New Roman" w:cs="Times New Roman"/>
                <w:sz w:val="20"/>
                <w:szCs w:val="20"/>
              </w:rPr>
              <w:t>Filed 2010</w:t>
            </w:r>
          </w:p>
        </w:tc>
        <w:tc>
          <w:tcPr>
            <w:tcW w:w="1260" w:type="dxa"/>
            <w:tcBorders>
              <w:top w:val="thinThickSmallGap" w:sz="18" w:space="0" w:color="auto"/>
              <w:left w:val="thinThickSmallGap" w:sz="18" w:space="0" w:color="auto"/>
              <w:bottom w:val="double" w:sz="4" w:space="0" w:color="auto"/>
            </w:tcBorders>
          </w:tcPr>
          <w:p w14:paraId="7C34730A" w14:textId="4987A719" w:rsidR="00FC38D9" w:rsidRPr="005F7FD9" w:rsidRDefault="00FC38D9"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49.68% (2,617)</w:t>
            </w:r>
          </w:p>
        </w:tc>
        <w:tc>
          <w:tcPr>
            <w:tcW w:w="1350" w:type="dxa"/>
            <w:tcBorders>
              <w:top w:val="thinThickSmallGap" w:sz="18" w:space="0" w:color="auto"/>
              <w:bottom w:val="double" w:sz="4" w:space="0" w:color="auto"/>
            </w:tcBorders>
          </w:tcPr>
          <w:p w14:paraId="032E2FB0" w14:textId="213D58E2" w:rsidR="00FC38D9" w:rsidRPr="005F7FD9" w:rsidRDefault="00FC38D9"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49.22% (4,409)</w:t>
            </w:r>
          </w:p>
        </w:tc>
        <w:tc>
          <w:tcPr>
            <w:tcW w:w="1260" w:type="dxa"/>
            <w:tcBorders>
              <w:top w:val="thinThickSmallGap" w:sz="18" w:space="0" w:color="auto"/>
              <w:bottom w:val="double" w:sz="4" w:space="0" w:color="auto"/>
              <w:right w:val="thinThickSmallGap" w:sz="18" w:space="0" w:color="auto"/>
            </w:tcBorders>
          </w:tcPr>
          <w:p w14:paraId="1DE81987" w14:textId="47479C20" w:rsidR="00FC38D9" w:rsidRPr="005F7FD9" w:rsidRDefault="00FC38D9"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.72</w:t>
            </w:r>
          </w:p>
        </w:tc>
        <w:tc>
          <w:tcPr>
            <w:tcW w:w="1350" w:type="dxa"/>
            <w:tcBorders>
              <w:top w:val="thinThickSmallGap" w:sz="18" w:space="0" w:color="auto"/>
              <w:left w:val="thinThickSmallGap" w:sz="18" w:space="0" w:color="auto"/>
              <w:bottom w:val="double" w:sz="4" w:space="0" w:color="auto"/>
            </w:tcBorders>
          </w:tcPr>
          <w:p w14:paraId="6C28186C" w14:textId="0D31B709" w:rsidR="00FC38D9" w:rsidRPr="005F7FD9" w:rsidRDefault="00FC38D9"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32.53% (4049)</w:t>
            </w:r>
          </w:p>
        </w:tc>
        <w:tc>
          <w:tcPr>
            <w:tcW w:w="1260" w:type="dxa"/>
            <w:tcBorders>
              <w:top w:val="thinThickSmallGap" w:sz="18" w:space="0" w:color="auto"/>
              <w:bottom w:val="double" w:sz="4" w:space="0" w:color="auto"/>
            </w:tcBorders>
          </w:tcPr>
          <w:p w14:paraId="593DE9E8" w14:textId="77777777" w:rsidR="00FC38D9" w:rsidRPr="005F7FD9" w:rsidRDefault="00FC38D9" w:rsidP="00416B60">
            <w:pPr>
              <w:keepNext/>
              <w:keepLines/>
              <w:jc w:val="center"/>
              <w:rPr>
                <w:rFonts w:ascii="Times New Roman" w:hAnsi="Times New Roman" w:cs="Times New Roman"/>
                <w:sz w:val="22"/>
                <w:szCs w:val="22"/>
              </w:rPr>
            </w:pPr>
          </w:p>
        </w:tc>
        <w:tc>
          <w:tcPr>
            <w:tcW w:w="1276" w:type="dxa"/>
            <w:tcBorders>
              <w:top w:val="thinThickSmallGap" w:sz="18" w:space="0" w:color="auto"/>
              <w:bottom w:val="double" w:sz="4" w:space="0" w:color="auto"/>
              <w:right w:val="single" w:sz="18" w:space="0" w:color="auto"/>
            </w:tcBorders>
          </w:tcPr>
          <w:p w14:paraId="37436118" w14:textId="77777777" w:rsidR="00FC38D9" w:rsidRPr="005F7FD9" w:rsidRDefault="00FC38D9" w:rsidP="00416B60">
            <w:pPr>
              <w:keepNext/>
              <w:keepLines/>
              <w:jc w:val="center"/>
              <w:rPr>
                <w:rFonts w:ascii="Times New Roman" w:hAnsi="Times New Roman" w:cs="Times New Roman"/>
                <w:sz w:val="22"/>
                <w:szCs w:val="22"/>
              </w:rPr>
            </w:pPr>
          </w:p>
        </w:tc>
      </w:tr>
      <w:tr w:rsidR="00FC38D9" w:rsidRPr="00B912DC" w14:paraId="41D5010D" w14:textId="77777777" w:rsidTr="00DB4EAD">
        <w:tc>
          <w:tcPr>
            <w:tcW w:w="1368" w:type="dxa"/>
            <w:tcBorders>
              <w:top w:val="double" w:sz="4" w:space="0" w:color="auto"/>
              <w:bottom w:val="double" w:sz="4" w:space="0" w:color="auto"/>
              <w:right w:val="thinThickSmallGap" w:sz="18" w:space="0" w:color="auto"/>
            </w:tcBorders>
          </w:tcPr>
          <w:p w14:paraId="5F58977A" w14:textId="0080D0A4" w:rsidR="00FC38D9" w:rsidRPr="005F7FD9" w:rsidRDefault="00FC38D9" w:rsidP="00416B60">
            <w:pPr>
              <w:keepNext/>
              <w:keepLines/>
              <w:rPr>
                <w:rFonts w:ascii="Times New Roman" w:hAnsi="Times New Roman" w:cs="Times New Roman"/>
                <w:sz w:val="20"/>
                <w:szCs w:val="20"/>
              </w:rPr>
            </w:pPr>
            <w:r w:rsidRPr="005F7FD9">
              <w:rPr>
                <w:rFonts w:ascii="Times New Roman" w:hAnsi="Times New Roman" w:cs="Times New Roman"/>
                <w:sz w:val="20"/>
                <w:szCs w:val="20"/>
              </w:rPr>
              <w:t>Primarily Business Debt</w:t>
            </w:r>
          </w:p>
        </w:tc>
        <w:tc>
          <w:tcPr>
            <w:tcW w:w="1260" w:type="dxa"/>
            <w:tcBorders>
              <w:top w:val="double" w:sz="4" w:space="0" w:color="auto"/>
              <w:left w:val="thinThickSmallGap" w:sz="18" w:space="0" w:color="auto"/>
              <w:bottom w:val="double" w:sz="4" w:space="0" w:color="auto"/>
            </w:tcBorders>
          </w:tcPr>
          <w:p w14:paraId="64B8144F" w14:textId="58EC68E4" w:rsidR="00FC38D9" w:rsidRPr="005F7FD9" w:rsidRDefault="00FC38D9"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48.39% (3,660)</w:t>
            </w:r>
          </w:p>
        </w:tc>
        <w:tc>
          <w:tcPr>
            <w:tcW w:w="1350" w:type="dxa"/>
            <w:tcBorders>
              <w:top w:val="double" w:sz="4" w:space="0" w:color="auto"/>
              <w:bottom w:val="double" w:sz="4" w:space="0" w:color="auto"/>
            </w:tcBorders>
          </w:tcPr>
          <w:p w14:paraId="04F0179C" w14:textId="676997AB" w:rsidR="00FC38D9" w:rsidRPr="005F7FD9" w:rsidRDefault="00FC38D9"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50.63% (3.006)</w:t>
            </w:r>
          </w:p>
        </w:tc>
        <w:tc>
          <w:tcPr>
            <w:tcW w:w="1260" w:type="dxa"/>
            <w:tcBorders>
              <w:top w:val="double" w:sz="4" w:space="0" w:color="auto"/>
              <w:bottom w:val="double" w:sz="4" w:space="0" w:color="auto"/>
              <w:right w:val="thinThickSmallGap" w:sz="18" w:space="0" w:color="auto"/>
            </w:tcBorders>
          </w:tcPr>
          <w:p w14:paraId="09C66749" w14:textId="3A659DF5" w:rsidR="00FC38D9" w:rsidRPr="005F7FD9" w:rsidRDefault="00FC38D9"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.07*</w:t>
            </w:r>
          </w:p>
        </w:tc>
        <w:tc>
          <w:tcPr>
            <w:tcW w:w="1350" w:type="dxa"/>
            <w:tcBorders>
              <w:top w:val="double" w:sz="4" w:space="0" w:color="auto"/>
              <w:left w:val="thinThickSmallGap" w:sz="18" w:space="0" w:color="auto"/>
              <w:bottom w:val="double" w:sz="4" w:space="0" w:color="auto"/>
            </w:tcBorders>
          </w:tcPr>
          <w:p w14:paraId="1B75040F" w14:textId="36BAE165" w:rsidR="00FC38D9" w:rsidRPr="005F7FD9" w:rsidRDefault="00FC38D9"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29.29% (2,240)</w:t>
            </w:r>
          </w:p>
        </w:tc>
        <w:tc>
          <w:tcPr>
            <w:tcW w:w="1260" w:type="dxa"/>
            <w:tcBorders>
              <w:top w:val="double" w:sz="4" w:space="0" w:color="auto"/>
              <w:bottom w:val="double" w:sz="4" w:space="0" w:color="auto"/>
            </w:tcBorders>
          </w:tcPr>
          <w:p w14:paraId="73297130" w14:textId="54720F1E" w:rsidR="00FC38D9" w:rsidRPr="005F7FD9" w:rsidRDefault="00FC38D9"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36.54% (1,809)</w:t>
            </w:r>
          </w:p>
        </w:tc>
        <w:tc>
          <w:tcPr>
            <w:tcW w:w="1276" w:type="dxa"/>
            <w:tcBorders>
              <w:top w:val="double" w:sz="4" w:space="0" w:color="auto"/>
              <w:bottom w:val="double" w:sz="4" w:space="0" w:color="auto"/>
              <w:right w:val="single" w:sz="18" w:space="0" w:color="auto"/>
            </w:tcBorders>
          </w:tcPr>
          <w:p w14:paraId="17E8320E" w14:textId="5075DB7C" w:rsidR="00FC38D9" w:rsidRPr="005F7FD9" w:rsidRDefault="00FC38D9"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.00***</w:t>
            </w:r>
          </w:p>
        </w:tc>
      </w:tr>
      <w:tr w:rsidR="00FC38D9" w:rsidRPr="00B912DC" w14:paraId="642A756F" w14:textId="77777777" w:rsidTr="00DB4EAD">
        <w:tc>
          <w:tcPr>
            <w:tcW w:w="1368" w:type="dxa"/>
            <w:tcBorders>
              <w:top w:val="double" w:sz="4" w:space="0" w:color="auto"/>
              <w:bottom w:val="double" w:sz="4" w:space="0" w:color="auto"/>
              <w:right w:val="thinThickSmallGap" w:sz="18" w:space="0" w:color="auto"/>
            </w:tcBorders>
          </w:tcPr>
          <w:p w14:paraId="239631E1" w14:textId="77777777" w:rsidR="00FC38D9" w:rsidRPr="005F7FD9" w:rsidRDefault="00FC38D9" w:rsidP="00416B60">
            <w:pPr>
              <w:keepNext/>
              <w:keepLines/>
              <w:rPr>
                <w:rFonts w:ascii="Times New Roman" w:hAnsi="Times New Roman" w:cs="Times New Roman"/>
                <w:sz w:val="20"/>
                <w:szCs w:val="20"/>
              </w:rPr>
            </w:pPr>
            <w:r w:rsidRPr="005F7FD9">
              <w:rPr>
                <w:rFonts w:ascii="Times New Roman" w:hAnsi="Times New Roman" w:cs="Times New Roman"/>
                <w:sz w:val="20"/>
                <w:szCs w:val="20"/>
              </w:rPr>
              <w:t>No asset</w:t>
            </w:r>
          </w:p>
        </w:tc>
        <w:tc>
          <w:tcPr>
            <w:tcW w:w="1260" w:type="dxa"/>
            <w:tcBorders>
              <w:top w:val="double" w:sz="4" w:space="0" w:color="auto"/>
              <w:left w:val="thinThickSmallGap" w:sz="18" w:space="0" w:color="auto"/>
              <w:bottom w:val="double" w:sz="4" w:space="0" w:color="auto"/>
            </w:tcBorders>
          </w:tcPr>
          <w:p w14:paraId="54045CA1" w14:textId="77777777" w:rsidR="00FC38D9" w:rsidRPr="005F7FD9" w:rsidRDefault="00FC38D9"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52.81% (5,914)</w:t>
            </w:r>
          </w:p>
        </w:tc>
        <w:tc>
          <w:tcPr>
            <w:tcW w:w="1350" w:type="dxa"/>
            <w:tcBorders>
              <w:top w:val="double" w:sz="4" w:space="0" w:color="auto"/>
              <w:bottom w:val="double" w:sz="4" w:space="0" w:color="auto"/>
            </w:tcBorders>
          </w:tcPr>
          <w:p w14:paraId="466268CD" w14:textId="77777777" w:rsidR="00FC38D9" w:rsidRPr="005F7FD9" w:rsidRDefault="00FC38D9"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 xml:space="preserve">22.83% </w:t>
            </w:r>
          </w:p>
          <w:p w14:paraId="485B51EB" w14:textId="77777777" w:rsidR="00FC38D9" w:rsidRPr="005F7FD9" w:rsidRDefault="00FC38D9"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(736)</w:t>
            </w:r>
          </w:p>
        </w:tc>
        <w:tc>
          <w:tcPr>
            <w:tcW w:w="1260" w:type="dxa"/>
            <w:tcBorders>
              <w:top w:val="double" w:sz="4" w:space="0" w:color="auto"/>
              <w:bottom w:val="double" w:sz="4" w:space="0" w:color="auto"/>
              <w:right w:val="thinThickSmallGap" w:sz="18" w:space="0" w:color="auto"/>
            </w:tcBorders>
          </w:tcPr>
          <w:p w14:paraId="72628F37" w14:textId="77777777" w:rsidR="00FC38D9" w:rsidRPr="005F7FD9" w:rsidRDefault="00FC38D9"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.00***</w:t>
            </w:r>
          </w:p>
        </w:tc>
        <w:tc>
          <w:tcPr>
            <w:tcW w:w="1350" w:type="dxa"/>
            <w:tcBorders>
              <w:top w:val="double" w:sz="4" w:space="0" w:color="auto"/>
              <w:left w:val="thinThickSmallGap" w:sz="18" w:space="0" w:color="auto"/>
              <w:bottom w:val="double" w:sz="4" w:space="0" w:color="auto"/>
            </w:tcBorders>
          </w:tcPr>
          <w:p w14:paraId="4A1D31EF" w14:textId="77777777" w:rsidR="00FC38D9" w:rsidRPr="005F7FD9" w:rsidRDefault="00FC38D9"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37.12% (3,499)</w:t>
            </w:r>
          </w:p>
        </w:tc>
        <w:tc>
          <w:tcPr>
            <w:tcW w:w="1260" w:type="dxa"/>
            <w:tcBorders>
              <w:top w:val="double" w:sz="4" w:space="0" w:color="auto"/>
              <w:bottom w:val="double" w:sz="4" w:space="0" w:color="auto"/>
            </w:tcBorders>
          </w:tcPr>
          <w:p w14:paraId="5D116887" w14:textId="77777777" w:rsidR="00FC38D9" w:rsidRPr="005F7FD9" w:rsidRDefault="00FC38D9"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3.35% (538)</w:t>
            </w:r>
          </w:p>
        </w:tc>
        <w:tc>
          <w:tcPr>
            <w:tcW w:w="1276" w:type="dxa"/>
            <w:tcBorders>
              <w:top w:val="double" w:sz="4" w:space="0" w:color="auto"/>
              <w:bottom w:val="double" w:sz="4" w:space="0" w:color="auto"/>
              <w:right w:val="single" w:sz="18" w:space="0" w:color="auto"/>
            </w:tcBorders>
          </w:tcPr>
          <w:p w14:paraId="7FE3E08D" w14:textId="77777777" w:rsidR="00FC38D9" w:rsidRPr="005F7FD9" w:rsidRDefault="00FC38D9"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.00***</w:t>
            </w:r>
          </w:p>
        </w:tc>
      </w:tr>
      <w:tr w:rsidR="002D1617" w:rsidRPr="00B912DC" w14:paraId="7B259948" w14:textId="77777777" w:rsidTr="00DB4EAD">
        <w:tc>
          <w:tcPr>
            <w:tcW w:w="1368" w:type="dxa"/>
            <w:tcBorders>
              <w:top w:val="double" w:sz="4" w:space="0" w:color="auto"/>
              <w:bottom w:val="double" w:sz="4" w:space="0" w:color="auto"/>
              <w:right w:val="thinThickSmallGap" w:sz="18" w:space="0" w:color="auto"/>
            </w:tcBorders>
          </w:tcPr>
          <w:p w14:paraId="4BE81909" w14:textId="77777777" w:rsidR="002D1617" w:rsidRPr="005F7FD9" w:rsidRDefault="002D1617" w:rsidP="00416B60">
            <w:pPr>
              <w:keepNext/>
              <w:keepLines/>
              <w:rPr>
                <w:rFonts w:ascii="Times New Roman" w:hAnsi="Times New Roman" w:cs="Times New Roman"/>
                <w:sz w:val="20"/>
                <w:szCs w:val="20"/>
              </w:rPr>
            </w:pPr>
            <w:r w:rsidRPr="005F7FD9">
              <w:rPr>
                <w:rFonts w:ascii="Times New Roman" w:hAnsi="Times New Roman" w:cs="Times New Roman"/>
                <w:sz w:val="20"/>
                <w:szCs w:val="20"/>
              </w:rPr>
              <w:t>Joint filing</w:t>
            </w:r>
          </w:p>
        </w:tc>
        <w:tc>
          <w:tcPr>
            <w:tcW w:w="1260" w:type="dxa"/>
            <w:tcBorders>
              <w:top w:val="double" w:sz="4" w:space="0" w:color="auto"/>
              <w:left w:val="thinThickSmallGap" w:sz="18" w:space="0" w:color="auto"/>
              <w:bottom w:val="double" w:sz="4" w:space="0" w:color="auto"/>
            </w:tcBorders>
          </w:tcPr>
          <w:p w14:paraId="221555D3" w14:textId="77777777" w:rsidR="002D1617" w:rsidRPr="005F7FD9" w:rsidRDefault="002D1617"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44.63% (4,013)</w:t>
            </w:r>
          </w:p>
        </w:tc>
        <w:tc>
          <w:tcPr>
            <w:tcW w:w="1350" w:type="dxa"/>
            <w:tcBorders>
              <w:top w:val="double" w:sz="4" w:space="0" w:color="auto"/>
              <w:bottom w:val="double" w:sz="4" w:space="0" w:color="auto"/>
            </w:tcBorders>
          </w:tcPr>
          <w:p w14:paraId="278A342E" w14:textId="77777777" w:rsidR="002D1617" w:rsidRPr="005F7FD9" w:rsidRDefault="002D1617"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57.89% (2,529)</w:t>
            </w:r>
          </w:p>
        </w:tc>
        <w:tc>
          <w:tcPr>
            <w:tcW w:w="1260" w:type="dxa"/>
            <w:tcBorders>
              <w:top w:val="double" w:sz="4" w:space="0" w:color="auto"/>
              <w:bottom w:val="double" w:sz="4" w:space="0" w:color="auto"/>
              <w:right w:val="thinThickSmallGap" w:sz="18" w:space="0" w:color="auto"/>
            </w:tcBorders>
          </w:tcPr>
          <w:p w14:paraId="7C0088D9" w14:textId="77777777" w:rsidR="002D1617" w:rsidRPr="005F7FD9" w:rsidRDefault="002D1617"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.00***</w:t>
            </w:r>
          </w:p>
        </w:tc>
        <w:tc>
          <w:tcPr>
            <w:tcW w:w="1350" w:type="dxa"/>
            <w:tcBorders>
              <w:top w:val="double" w:sz="4" w:space="0" w:color="auto"/>
              <w:left w:val="thinThickSmallGap" w:sz="18" w:space="0" w:color="auto"/>
              <w:bottom w:val="double" w:sz="4" w:space="0" w:color="auto"/>
            </w:tcBorders>
          </w:tcPr>
          <w:p w14:paraId="3B8ED941" w14:textId="77777777" w:rsidR="002D1617" w:rsidRPr="005F7FD9" w:rsidRDefault="002D1617"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27.62% (2,346)</w:t>
            </w:r>
          </w:p>
        </w:tc>
        <w:tc>
          <w:tcPr>
            <w:tcW w:w="1260" w:type="dxa"/>
            <w:tcBorders>
              <w:top w:val="double" w:sz="4" w:space="0" w:color="auto"/>
              <w:bottom w:val="double" w:sz="4" w:space="0" w:color="auto"/>
            </w:tcBorders>
          </w:tcPr>
          <w:p w14:paraId="72316628" w14:textId="77777777" w:rsidR="002D1617" w:rsidRPr="005F7FD9" w:rsidRDefault="002D1617"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39.94% (1,650)</w:t>
            </w:r>
          </w:p>
        </w:tc>
        <w:tc>
          <w:tcPr>
            <w:tcW w:w="1276" w:type="dxa"/>
            <w:tcBorders>
              <w:top w:val="double" w:sz="4" w:space="0" w:color="auto"/>
              <w:bottom w:val="double" w:sz="4" w:space="0" w:color="auto"/>
              <w:right w:val="single" w:sz="18" w:space="0" w:color="auto"/>
            </w:tcBorders>
          </w:tcPr>
          <w:p w14:paraId="6C28FAAC" w14:textId="77777777" w:rsidR="002D1617" w:rsidRPr="005F7FD9" w:rsidRDefault="002D1617"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.00**</w:t>
            </w:r>
          </w:p>
        </w:tc>
      </w:tr>
      <w:tr w:rsidR="002D1617" w:rsidRPr="00B912DC" w14:paraId="5026298D" w14:textId="77777777" w:rsidTr="000806ED">
        <w:tc>
          <w:tcPr>
            <w:tcW w:w="1368" w:type="dxa"/>
            <w:tcBorders>
              <w:top w:val="double" w:sz="4" w:space="0" w:color="auto"/>
              <w:bottom w:val="double" w:sz="4" w:space="0" w:color="auto"/>
              <w:right w:val="thinThickSmallGap" w:sz="18" w:space="0" w:color="auto"/>
            </w:tcBorders>
          </w:tcPr>
          <w:p w14:paraId="6C7668A6" w14:textId="77777777" w:rsidR="002D1617" w:rsidRPr="005F7FD9" w:rsidRDefault="002D1617" w:rsidP="00416B60">
            <w:pPr>
              <w:keepNext/>
              <w:keepLines/>
              <w:rPr>
                <w:rFonts w:ascii="Times New Roman" w:hAnsi="Times New Roman" w:cs="Times New Roman"/>
                <w:i/>
                <w:sz w:val="20"/>
                <w:szCs w:val="20"/>
              </w:rPr>
            </w:pPr>
            <w:r w:rsidRPr="005F7FD9">
              <w:rPr>
                <w:rFonts w:ascii="Times New Roman" w:hAnsi="Times New Roman" w:cs="Times New Roman"/>
                <w:i/>
                <w:sz w:val="20"/>
                <w:szCs w:val="20"/>
              </w:rPr>
              <w:t>Pro se</w:t>
            </w:r>
          </w:p>
        </w:tc>
        <w:tc>
          <w:tcPr>
            <w:tcW w:w="1260" w:type="dxa"/>
            <w:tcBorders>
              <w:top w:val="double" w:sz="4" w:space="0" w:color="auto"/>
              <w:left w:val="thinThickSmallGap" w:sz="18" w:space="0" w:color="auto"/>
              <w:bottom w:val="double" w:sz="4" w:space="0" w:color="auto"/>
            </w:tcBorders>
          </w:tcPr>
          <w:p w14:paraId="15998E23" w14:textId="77777777" w:rsidR="002D1617" w:rsidRPr="005F7FD9" w:rsidRDefault="002D1617"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52.27% (6,120)</w:t>
            </w:r>
          </w:p>
        </w:tc>
        <w:tc>
          <w:tcPr>
            <w:tcW w:w="1350" w:type="dxa"/>
            <w:tcBorders>
              <w:top w:val="double" w:sz="4" w:space="0" w:color="auto"/>
              <w:bottom w:val="double" w:sz="4" w:space="0" w:color="auto"/>
            </w:tcBorders>
          </w:tcPr>
          <w:p w14:paraId="3EEE827F" w14:textId="77777777" w:rsidR="002D1617" w:rsidRPr="005F7FD9" w:rsidRDefault="002D1617"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17.22% (546)</w:t>
            </w:r>
          </w:p>
        </w:tc>
        <w:tc>
          <w:tcPr>
            <w:tcW w:w="1260" w:type="dxa"/>
            <w:tcBorders>
              <w:top w:val="double" w:sz="4" w:space="0" w:color="auto"/>
              <w:bottom w:val="double" w:sz="4" w:space="0" w:color="auto"/>
              <w:right w:val="thinThickSmallGap" w:sz="18" w:space="0" w:color="auto"/>
            </w:tcBorders>
          </w:tcPr>
          <w:p w14:paraId="5F111B4D" w14:textId="77777777" w:rsidR="002D1617" w:rsidRPr="005F7FD9" w:rsidRDefault="002D1617"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.00***</w:t>
            </w:r>
          </w:p>
        </w:tc>
        <w:tc>
          <w:tcPr>
            <w:tcW w:w="1350" w:type="dxa"/>
            <w:tcBorders>
              <w:top w:val="double" w:sz="4" w:space="0" w:color="auto"/>
              <w:left w:val="thinThickSmallGap" w:sz="18" w:space="0" w:color="auto"/>
              <w:bottom w:val="double" w:sz="4" w:space="0" w:color="auto"/>
            </w:tcBorders>
          </w:tcPr>
          <w:p w14:paraId="2E5138A8" w14:textId="3181C5A7" w:rsidR="002D1617" w:rsidRPr="005F7FD9" w:rsidRDefault="002D1617"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 xml:space="preserve">34.73% </w:t>
            </w:r>
            <w:r>
              <w:rPr>
                <w:rFonts w:ascii="Times New Roman" w:hAnsi="Times New Roman" w:cs="Times New Roman"/>
                <w:sz w:val="22"/>
                <w:szCs w:val="22"/>
              </w:rPr>
              <w:t>(</w:t>
            </w:r>
            <w:r w:rsidRPr="005F7FD9">
              <w:rPr>
                <w:rFonts w:ascii="Times New Roman" w:hAnsi="Times New Roman" w:cs="Times New Roman"/>
                <w:sz w:val="22"/>
                <w:szCs w:val="22"/>
              </w:rPr>
              <w:t>3,697)</w:t>
            </w:r>
          </w:p>
        </w:tc>
        <w:tc>
          <w:tcPr>
            <w:tcW w:w="1260" w:type="dxa"/>
            <w:tcBorders>
              <w:top w:val="double" w:sz="4" w:space="0" w:color="auto"/>
              <w:bottom w:val="double" w:sz="4" w:space="0" w:color="auto"/>
            </w:tcBorders>
          </w:tcPr>
          <w:p w14:paraId="7CF75D25" w14:textId="77777777" w:rsidR="002D1617" w:rsidRPr="005F7FD9" w:rsidRDefault="002D1617"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9.38%) (352)</w:t>
            </w:r>
          </w:p>
        </w:tc>
        <w:tc>
          <w:tcPr>
            <w:tcW w:w="1276" w:type="dxa"/>
            <w:tcBorders>
              <w:top w:val="double" w:sz="4" w:space="0" w:color="auto"/>
              <w:bottom w:val="double" w:sz="4" w:space="0" w:color="auto"/>
              <w:right w:val="single" w:sz="18" w:space="0" w:color="auto"/>
            </w:tcBorders>
          </w:tcPr>
          <w:p w14:paraId="38BD45A9" w14:textId="77777777" w:rsidR="002D1617" w:rsidRPr="005F7FD9" w:rsidRDefault="002D1617" w:rsidP="00416B60">
            <w:pPr>
              <w:keepNext/>
              <w:keepLines/>
              <w:jc w:val="center"/>
              <w:rPr>
                <w:rFonts w:ascii="Times New Roman" w:hAnsi="Times New Roman" w:cs="Times New Roman"/>
                <w:sz w:val="22"/>
                <w:szCs w:val="22"/>
              </w:rPr>
            </w:pPr>
            <w:r w:rsidRPr="005F7FD9">
              <w:rPr>
                <w:rFonts w:ascii="Times New Roman" w:hAnsi="Times New Roman" w:cs="Times New Roman"/>
                <w:sz w:val="22"/>
                <w:szCs w:val="22"/>
              </w:rPr>
              <w:t>.00***</w:t>
            </w:r>
          </w:p>
        </w:tc>
      </w:tr>
    </w:tbl>
    <w:p w14:paraId="6314F929" w14:textId="77777777" w:rsidR="00FC38D9" w:rsidRPr="00DB4EAD" w:rsidRDefault="00FC38D9" w:rsidP="00416B60">
      <w:pPr>
        <w:keepNext/>
        <w:keepLines/>
        <w:spacing w:line="480" w:lineRule="auto"/>
        <w:rPr>
          <w:rFonts w:ascii="Times New Roman" w:hAnsi="Times New Roman" w:cs="Times New Roman"/>
          <w:sz w:val="20"/>
          <w:szCs w:val="20"/>
        </w:rPr>
      </w:pPr>
      <w:r w:rsidRPr="00DB4EAD">
        <w:rPr>
          <w:rFonts w:ascii="Times New Roman" w:hAnsi="Times New Roman" w:cs="Times New Roman"/>
          <w:sz w:val="20"/>
          <w:szCs w:val="20"/>
        </w:rPr>
        <w:t>***p&lt;0.01, ** p&lt;0.05, * p&lt;0.01</w:t>
      </w:r>
    </w:p>
    <w:p w14:paraId="67C676C9" w14:textId="13D47C04" w:rsidR="002D1617" w:rsidRDefault="00FC38D9" w:rsidP="000806ED">
      <w:pPr>
        <w:spacing w:line="480" w:lineRule="auto"/>
        <w:ind w:firstLine="720"/>
        <w:rPr>
          <w:rFonts w:ascii="Times New Roman" w:hAnsi="Times New Roman" w:cs="Times New Roman"/>
        </w:rPr>
      </w:pPr>
      <w:r w:rsidRPr="00B912DC">
        <w:rPr>
          <w:rFonts w:ascii="Times New Roman" w:hAnsi="Times New Roman" w:cs="Times New Roman"/>
        </w:rPr>
        <w:t xml:space="preserve">Table </w:t>
      </w:r>
      <w:r w:rsidR="001C2DA5">
        <w:rPr>
          <w:rFonts w:ascii="Times New Roman" w:hAnsi="Times New Roman" w:cs="Times New Roman"/>
        </w:rPr>
        <w:t>4</w:t>
      </w:r>
      <w:r w:rsidR="00DB4EAD">
        <w:rPr>
          <w:rFonts w:ascii="Times New Roman" w:hAnsi="Times New Roman" w:cs="Times New Roman"/>
        </w:rPr>
        <w:t>2</w:t>
      </w:r>
      <w:r w:rsidRPr="00B912DC">
        <w:rPr>
          <w:rFonts w:ascii="Times New Roman" w:hAnsi="Times New Roman" w:cs="Times New Roman"/>
        </w:rPr>
        <w:t xml:space="preserve"> </w:t>
      </w:r>
      <w:r w:rsidR="00B20E78">
        <w:rPr>
          <w:rFonts w:ascii="Times New Roman" w:hAnsi="Times New Roman" w:cs="Times New Roman"/>
        </w:rPr>
        <w:t xml:space="preserve">provides data on </w:t>
      </w:r>
      <w:r w:rsidRPr="00B912DC">
        <w:rPr>
          <w:rFonts w:ascii="Times New Roman" w:hAnsi="Times New Roman" w:cs="Times New Roman"/>
        </w:rPr>
        <w:t xml:space="preserve">the relationship between our definitions of success and a series of </w:t>
      </w:r>
      <w:r w:rsidR="002D1617">
        <w:rPr>
          <w:rFonts w:ascii="Times New Roman" w:hAnsi="Times New Roman" w:cs="Times New Roman"/>
        </w:rPr>
        <w:t xml:space="preserve">five </w:t>
      </w:r>
      <w:r w:rsidRPr="00B912DC">
        <w:rPr>
          <w:rFonts w:ascii="Times New Roman" w:hAnsi="Times New Roman" w:cs="Times New Roman"/>
        </w:rPr>
        <w:t>explanatory variables</w:t>
      </w:r>
      <w:r>
        <w:rPr>
          <w:rFonts w:ascii="Times New Roman" w:hAnsi="Times New Roman" w:cs="Times New Roman"/>
        </w:rPr>
        <w:t xml:space="preserve"> (</w:t>
      </w:r>
      <w:r w:rsidRPr="00B912DC">
        <w:rPr>
          <w:rFonts w:ascii="Times New Roman" w:hAnsi="Times New Roman" w:cs="Times New Roman"/>
        </w:rPr>
        <w:t xml:space="preserve">listed down the far-left column of Table </w:t>
      </w:r>
      <w:r w:rsidR="00DB4EAD">
        <w:rPr>
          <w:rFonts w:ascii="Times New Roman" w:hAnsi="Times New Roman" w:cs="Times New Roman"/>
        </w:rPr>
        <w:t>42</w:t>
      </w:r>
      <w:r w:rsidR="00B20E78">
        <w:rPr>
          <w:rFonts w:ascii="Times New Roman" w:hAnsi="Times New Roman" w:cs="Times New Roman"/>
        </w:rPr>
        <w:t>)</w:t>
      </w:r>
      <w:r w:rsidRPr="00B912DC">
        <w:rPr>
          <w:rFonts w:ascii="Times New Roman" w:hAnsi="Times New Roman" w:cs="Times New Roman"/>
        </w:rPr>
        <w:t xml:space="preserve"> that we derive</w:t>
      </w:r>
      <w:r w:rsidR="00B20E78">
        <w:rPr>
          <w:rFonts w:ascii="Times New Roman" w:hAnsi="Times New Roman" w:cs="Times New Roman"/>
        </w:rPr>
        <w:t>d</w:t>
      </w:r>
      <w:r w:rsidRPr="00B912DC">
        <w:rPr>
          <w:rFonts w:ascii="Times New Roman" w:hAnsi="Times New Roman" w:cs="Times New Roman"/>
        </w:rPr>
        <w:t xml:space="preserve"> from the PACER </w:t>
      </w:r>
      <w:r w:rsidR="006174EC">
        <w:rPr>
          <w:rFonts w:ascii="Times New Roman" w:hAnsi="Times New Roman" w:cs="Times New Roman"/>
        </w:rPr>
        <w:t>c</w:t>
      </w:r>
      <w:r w:rsidRPr="00B912DC">
        <w:rPr>
          <w:rFonts w:ascii="Times New Roman" w:hAnsi="Times New Roman" w:cs="Times New Roman"/>
        </w:rPr>
        <w:t xml:space="preserve">ase </w:t>
      </w:r>
      <w:r w:rsidR="006174EC">
        <w:rPr>
          <w:rFonts w:ascii="Times New Roman" w:hAnsi="Times New Roman" w:cs="Times New Roman"/>
        </w:rPr>
        <w:t>r</w:t>
      </w:r>
      <w:r w:rsidRPr="00B912DC">
        <w:rPr>
          <w:rFonts w:ascii="Times New Roman" w:hAnsi="Times New Roman" w:cs="Times New Roman"/>
        </w:rPr>
        <w:t xml:space="preserve">eports. All of the explanatory variables in Table </w:t>
      </w:r>
      <w:r w:rsidR="00DB4EAD">
        <w:rPr>
          <w:rFonts w:ascii="Times New Roman" w:hAnsi="Times New Roman" w:cs="Times New Roman"/>
        </w:rPr>
        <w:t>42</w:t>
      </w:r>
      <w:r w:rsidR="008E1FC5">
        <w:rPr>
          <w:rFonts w:ascii="Times New Roman" w:hAnsi="Times New Roman" w:cs="Times New Roman"/>
        </w:rPr>
        <w:t xml:space="preserve"> </w:t>
      </w:r>
      <w:r w:rsidRPr="00B912DC">
        <w:rPr>
          <w:rFonts w:ascii="Times New Roman" w:hAnsi="Times New Roman" w:cs="Times New Roman"/>
        </w:rPr>
        <w:t>are dichotomous</w:t>
      </w:r>
      <w:r w:rsidR="00416B60">
        <w:rPr>
          <w:rFonts w:ascii="Times New Roman" w:hAnsi="Times New Roman" w:cs="Times New Roman"/>
        </w:rPr>
        <w:t>—that is</w:t>
      </w:r>
      <w:r w:rsidRPr="00B912DC">
        <w:rPr>
          <w:rFonts w:ascii="Times New Roman" w:hAnsi="Times New Roman" w:cs="Times New Roman"/>
        </w:rPr>
        <w:t xml:space="preserve">, a filer is either </w:t>
      </w:r>
      <w:r w:rsidRPr="00A82B81">
        <w:rPr>
          <w:rFonts w:ascii="Times New Roman" w:hAnsi="Times New Roman" w:cs="Times New Roman"/>
        </w:rPr>
        <w:t>pro se</w:t>
      </w:r>
      <w:r w:rsidRPr="00B912DC">
        <w:rPr>
          <w:rFonts w:ascii="Times New Roman" w:hAnsi="Times New Roman" w:cs="Times New Roman"/>
          <w:i/>
        </w:rPr>
        <w:t xml:space="preserve"> </w:t>
      </w:r>
      <w:r w:rsidRPr="00B912DC">
        <w:rPr>
          <w:rFonts w:ascii="Times New Roman" w:hAnsi="Times New Roman" w:cs="Times New Roman"/>
        </w:rPr>
        <w:t>or not, a debtor either expects assets to be available for creditors or not.</w:t>
      </w:r>
      <w:r>
        <w:rPr>
          <w:rFonts w:ascii="Times New Roman" w:hAnsi="Times New Roman" w:cs="Times New Roman"/>
        </w:rPr>
        <w:t xml:space="preserve"> </w:t>
      </w:r>
      <w:r w:rsidRPr="00B912DC">
        <w:rPr>
          <w:rFonts w:ascii="Times New Roman" w:hAnsi="Times New Roman" w:cs="Times New Roman"/>
        </w:rPr>
        <w:t>Columns (A)(1) and (B)(1) provide the average or mean rate</w:t>
      </w:r>
      <w:r w:rsidR="00B20E78">
        <w:rPr>
          <w:rFonts w:ascii="Times New Roman" w:hAnsi="Times New Roman" w:cs="Times New Roman"/>
        </w:rPr>
        <w:t>s</w:t>
      </w:r>
      <w:r w:rsidRPr="00B912DC">
        <w:rPr>
          <w:rFonts w:ascii="Times New Roman" w:hAnsi="Times New Roman" w:cs="Times New Roman"/>
        </w:rPr>
        <w:t xml:space="preserve"> of success when the variable in the far-left column of Table</w:t>
      </w:r>
      <w:r w:rsidR="001C2DA5">
        <w:rPr>
          <w:rFonts w:ascii="Times New Roman" w:hAnsi="Times New Roman" w:cs="Times New Roman"/>
        </w:rPr>
        <w:t xml:space="preserve"> 4</w:t>
      </w:r>
      <w:r w:rsidR="00DB4EAD">
        <w:rPr>
          <w:rFonts w:ascii="Times New Roman" w:hAnsi="Times New Roman" w:cs="Times New Roman"/>
        </w:rPr>
        <w:t>2</w:t>
      </w:r>
      <w:r w:rsidRPr="00B912DC">
        <w:rPr>
          <w:rFonts w:ascii="Times New Roman" w:hAnsi="Times New Roman" w:cs="Times New Roman"/>
        </w:rPr>
        <w:t xml:space="preserve"> is </w:t>
      </w:r>
      <w:r w:rsidRPr="00B912DC">
        <w:rPr>
          <w:rFonts w:ascii="Times New Roman" w:hAnsi="Times New Roman" w:cs="Times New Roman"/>
          <w:i/>
        </w:rPr>
        <w:t>not</w:t>
      </w:r>
      <w:r w:rsidRPr="00B912DC">
        <w:rPr>
          <w:rFonts w:ascii="Times New Roman" w:hAnsi="Times New Roman" w:cs="Times New Roman"/>
        </w:rPr>
        <w:t xml:space="preserve"> present. </w:t>
      </w:r>
      <w:r w:rsidR="00416B60">
        <w:rPr>
          <w:rFonts w:ascii="Times New Roman" w:hAnsi="Times New Roman" w:cs="Times New Roman"/>
        </w:rPr>
        <w:t>That is</w:t>
      </w:r>
      <w:r w:rsidRPr="00B912DC">
        <w:rPr>
          <w:rFonts w:ascii="Times New Roman" w:hAnsi="Times New Roman" w:cs="Times New Roman"/>
        </w:rPr>
        <w:t>, the case was filed in 2013 instead of 2010, debts were not</w:t>
      </w:r>
      <w:r w:rsidRPr="00B912DC">
        <w:rPr>
          <w:rFonts w:ascii="Times New Roman" w:hAnsi="Times New Roman" w:cs="Times New Roman"/>
          <w:i/>
        </w:rPr>
        <w:t xml:space="preserve"> </w:t>
      </w:r>
      <w:r w:rsidRPr="00B912DC">
        <w:rPr>
          <w:rFonts w:ascii="Times New Roman" w:hAnsi="Times New Roman" w:cs="Times New Roman"/>
        </w:rPr>
        <w:t xml:space="preserve">primarily business in nature, the debtor expected assets would be available for payout to creditors, the case was not a joint filing, </w:t>
      </w:r>
      <w:r w:rsidR="00B20E78">
        <w:rPr>
          <w:rFonts w:ascii="Times New Roman" w:hAnsi="Times New Roman" w:cs="Times New Roman"/>
        </w:rPr>
        <w:t>or</w:t>
      </w:r>
      <w:r w:rsidRPr="00B912DC">
        <w:rPr>
          <w:rFonts w:ascii="Times New Roman" w:hAnsi="Times New Roman" w:cs="Times New Roman"/>
        </w:rPr>
        <w:t xml:space="preserve"> the debtor </w:t>
      </w:r>
      <w:r w:rsidR="00302904">
        <w:rPr>
          <w:rFonts w:ascii="Times New Roman" w:hAnsi="Times New Roman" w:cs="Times New Roman"/>
        </w:rPr>
        <w:t>was represented by</w:t>
      </w:r>
      <w:r w:rsidRPr="00B912DC">
        <w:rPr>
          <w:rFonts w:ascii="Times New Roman" w:hAnsi="Times New Roman" w:cs="Times New Roman"/>
        </w:rPr>
        <w:t xml:space="preserve"> an attorney. Columns (A)(2) and (B)(2) provide the average or mean rate</w:t>
      </w:r>
      <w:r w:rsidR="00B20E78">
        <w:rPr>
          <w:rFonts w:ascii="Times New Roman" w:hAnsi="Times New Roman" w:cs="Times New Roman"/>
        </w:rPr>
        <w:t>s</w:t>
      </w:r>
      <w:r w:rsidRPr="00B912DC">
        <w:rPr>
          <w:rFonts w:ascii="Times New Roman" w:hAnsi="Times New Roman" w:cs="Times New Roman"/>
        </w:rPr>
        <w:t xml:space="preserve"> of success when the variable in the far-left column of Table </w:t>
      </w:r>
      <w:r w:rsidR="000E337A">
        <w:rPr>
          <w:rFonts w:ascii="Times New Roman" w:hAnsi="Times New Roman" w:cs="Times New Roman"/>
        </w:rPr>
        <w:t>4</w:t>
      </w:r>
      <w:r w:rsidR="00DB4EAD">
        <w:rPr>
          <w:rFonts w:ascii="Times New Roman" w:hAnsi="Times New Roman" w:cs="Times New Roman"/>
        </w:rPr>
        <w:t>2</w:t>
      </w:r>
      <w:r w:rsidRPr="00B912DC">
        <w:rPr>
          <w:rFonts w:ascii="Times New Roman" w:hAnsi="Times New Roman" w:cs="Times New Roman"/>
        </w:rPr>
        <w:t xml:space="preserve"> </w:t>
      </w:r>
      <w:r w:rsidRPr="00B912DC">
        <w:rPr>
          <w:rFonts w:ascii="Times New Roman" w:hAnsi="Times New Roman" w:cs="Times New Roman"/>
          <w:i/>
        </w:rPr>
        <w:t xml:space="preserve">is </w:t>
      </w:r>
      <w:r w:rsidRPr="00B912DC">
        <w:rPr>
          <w:rFonts w:ascii="Times New Roman" w:hAnsi="Times New Roman" w:cs="Times New Roman"/>
        </w:rPr>
        <w:t xml:space="preserve">present. </w:t>
      </w:r>
      <w:r w:rsidR="00416B60">
        <w:rPr>
          <w:rFonts w:ascii="Times New Roman" w:hAnsi="Times New Roman" w:cs="Times New Roman"/>
        </w:rPr>
        <w:t>That is</w:t>
      </w:r>
      <w:r w:rsidRPr="00B912DC">
        <w:rPr>
          <w:rFonts w:ascii="Times New Roman" w:hAnsi="Times New Roman" w:cs="Times New Roman"/>
        </w:rPr>
        <w:t xml:space="preserve">, the case was filed in 2010, debts were primarily business in nature, the debtor checked the no-asset box on the petition, the case was a joint filing, </w:t>
      </w:r>
      <w:r w:rsidR="00B20E78">
        <w:rPr>
          <w:rFonts w:ascii="Times New Roman" w:hAnsi="Times New Roman" w:cs="Times New Roman"/>
        </w:rPr>
        <w:t>or</w:t>
      </w:r>
      <w:r w:rsidRPr="00B912DC">
        <w:rPr>
          <w:rFonts w:ascii="Times New Roman" w:hAnsi="Times New Roman" w:cs="Times New Roman"/>
        </w:rPr>
        <w:t xml:space="preserve"> the debtor proceeded in chapter 11 on a </w:t>
      </w:r>
      <w:r w:rsidRPr="00A82B81">
        <w:rPr>
          <w:rFonts w:ascii="Times New Roman" w:hAnsi="Times New Roman" w:cs="Times New Roman"/>
        </w:rPr>
        <w:t>pro se</w:t>
      </w:r>
      <w:r w:rsidRPr="00B912DC">
        <w:rPr>
          <w:rFonts w:ascii="Times New Roman" w:hAnsi="Times New Roman" w:cs="Times New Roman"/>
          <w:i/>
        </w:rPr>
        <w:t xml:space="preserve"> </w:t>
      </w:r>
      <w:r w:rsidRPr="00B912DC">
        <w:rPr>
          <w:rFonts w:ascii="Times New Roman" w:hAnsi="Times New Roman" w:cs="Times New Roman"/>
        </w:rPr>
        <w:t>basis</w:t>
      </w:r>
      <w:r w:rsidRPr="000806ED">
        <w:rPr>
          <w:rFonts w:ascii="Times New Roman" w:hAnsi="Times New Roman" w:cs="Times New Roman"/>
        </w:rPr>
        <w:t>.</w:t>
      </w:r>
      <w:r w:rsidRPr="00B912DC">
        <w:rPr>
          <w:rFonts w:ascii="Times New Roman" w:hAnsi="Times New Roman" w:cs="Times New Roman"/>
        </w:rPr>
        <w:t xml:space="preserve"> Columns (A)(3) and (B)(3) provide the p-value for the difference in success rates in Columns (1) and (2).</w:t>
      </w:r>
      <w:r w:rsidRPr="00B912DC">
        <w:rPr>
          <w:rStyle w:val="FootnoteReference"/>
          <w:rFonts w:ascii="Times New Roman" w:hAnsi="Times New Roman" w:cs="Times New Roman"/>
        </w:rPr>
        <w:footnoteReference w:id="198"/>
      </w:r>
      <w:r w:rsidRPr="00B912DC">
        <w:rPr>
          <w:rFonts w:ascii="Times New Roman" w:hAnsi="Times New Roman" w:cs="Times New Roman"/>
        </w:rPr>
        <w:t xml:space="preserve"> Finally, the numbers in parentheses in Columns (A) and (B) are the numb</w:t>
      </w:r>
      <w:r w:rsidR="00416B60">
        <w:rPr>
          <w:rFonts w:ascii="Times New Roman" w:hAnsi="Times New Roman" w:cs="Times New Roman"/>
        </w:rPr>
        <w:t xml:space="preserve">er of cases or observations. </w:t>
      </w:r>
      <w:r w:rsidR="002D1617">
        <w:rPr>
          <w:rFonts w:ascii="Times New Roman" w:hAnsi="Times New Roman" w:cs="Times New Roman"/>
        </w:rPr>
        <w:t xml:space="preserve"> </w:t>
      </w:r>
    </w:p>
    <w:p w14:paraId="4E580FAE" w14:textId="17C21926" w:rsidR="002D1617" w:rsidRDefault="002D1617" w:rsidP="002D1617">
      <w:pPr>
        <w:spacing w:line="480" w:lineRule="auto"/>
        <w:ind w:firstLine="720"/>
        <w:rPr>
          <w:rFonts w:ascii="Times New Roman" w:hAnsi="Times New Roman" w:cs="Times New Roman"/>
        </w:rPr>
      </w:pPr>
      <w:r w:rsidRPr="00B912DC">
        <w:rPr>
          <w:rFonts w:ascii="Times New Roman" w:hAnsi="Times New Roman" w:cs="Times New Roman"/>
        </w:rPr>
        <w:t xml:space="preserve">Table </w:t>
      </w:r>
      <w:r>
        <w:rPr>
          <w:rFonts w:ascii="Times New Roman" w:hAnsi="Times New Roman" w:cs="Times New Roman"/>
        </w:rPr>
        <w:t>42</w:t>
      </w:r>
      <w:r w:rsidRPr="00B912DC">
        <w:rPr>
          <w:rFonts w:ascii="Times New Roman" w:hAnsi="Times New Roman" w:cs="Times New Roman"/>
        </w:rPr>
        <w:t xml:space="preserve"> shows</w:t>
      </w:r>
      <w:r>
        <w:rPr>
          <w:rFonts w:ascii="Times New Roman" w:hAnsi="Times New Roman" w:cs="Times New Roman"/>
        </w:rPr>
        <w:t xml:space="preserve"> that,</w:t>
      </w:r>
      <w:r w:rsidRPr="00B912DC">
        <w:rPr>
          <w:rFonts w:ascii="Times New Roman" w:hAnsi="Times New Roman" w:cs="Times New Roman"/>
        </w:rPr>
        <w:t xml:space="preserve"> with the exception of </w:t>
      </w:r>
      <w:r>
        <w:rPr>
          <w:rFonts w:ascii="Times New Roman" w:hAnsi="Times New Roman" w:cs="Times New Roman"/>
        </w:rPr>
        <w:t>the year of filing</w:t>
      </w:r>
      <w:r w:rsidRPr="00B912DC">
        <w:rPr>
          <w:rFonts w:ascii="Times New Roman" w:hAnsi="Times New Roman" w:cs="Times New Roman"/>
        </w:rPr>
        <w:t>, all of the variables listed in the far-left column were statistically signifi</w:t>
      </w:r>
      <w:r>
        <w:rPr>
          <w:rFonts w:ascii="Times New Roman" w:hAnsi="Times New Roman" w:cs="Times New Roman"/>
        </w:rPr>
        <w:t>cant predictors of plan success—</w:t>
      </w:r>
      <w:r w:rsidRPr="00B912DC">
        <w:rPr>
          <w:rFonts w:ascii="Times New Roman" w:hAnsi="Times New Roman" w:cs="Times New Roman"/>
        </w:rPr>
        <w:t>both with and without a 545-day time constraint. Macroeconomic conditions improved between 2010 and</w:t>
      </w:r>
      <w:r w:rsidR="0097212C">
        <w:rPr>
          <w:rFonts w:ascii="Times New Roman" w:hAnsi="Times New Roman" w:cs="Times New Roman"/>
        </w:rPr>
        <w:t xml:space="preserve"> </w:t>
      </w:r>
      <w:r w:rsidRPr="00B912DC">
        <w:rPr>
          <w:rFonts w:ascii="Times New Roman" w:hAnsi="Times New Roman" w:cs="Times New Roman"/>
        </w:rPr>
        <w:t>2013,</w:t>
      </w:r>
      <w:r w:rsidRPr="00B912DC">
        <w:rPr>
          <w:rStyle w:val="FootnoteReference"/>
          <w:rFonts w:ascii="Times New Roman" w:hAnsi="Times New Roman" w:cs="Times New Roman"/>
        </w:rPr>
        <w:footnoteReference w:id="199"/>
      </w:r>
      <w:r w:rsidRPr="00B912DC">
        <w:rPr>
          <w:rFonts w:ascii="Times New Roman" w:hAnsi="Times New Roman" w:cs="Times New Roman"/>
        </w:rPr>
        <w:t xml:space="preserve"> and there were many more individual chapter 11 filings in 2010.</w:t>
      </w:r>
      <w:r w:rsidRPr="00B912DC">
        <w:rPr>
          <w:rStyle w:val="FootnoteReference"/>
          <w:rFonts w:ascii="Times New Roman" w:hAnsi="Times New Roman" w:cs="Times New Roman"/>
        </w:rPr>
        <w:footnoteReference w:id="200"/>
      </w:r>
      <w:r w:rsidRPr="00B912DC">
        <w:rPr>
          <w:rFonts w:ascii="Times New Roman" w:hAnsi="Times New Roman" w:cs="Times New Roman"/>
        </w:rPr>
        <w:t xml:space="preserve"> </w:t>
      </w:r>
      <w:r>
        <w:rPr>
          <w:rFonts w:ascii="Times New Roman" w:hAnsi="Times New Roman" w:cs="Times New Roman"/>
        </w:rPr>
        <w:t>Therefore, w</w:t>
      </w:r>
      <w:r w:rsidRPr="00B912DC">
        <w:rPr>
          <w:rFonts w:ascii="Times New Roman" w:hAnsi="Times New Roman" w:cs="Times New Roman"/>
        </w:rPr>
        <w:t xml:space="preserve">e were surprised to find that cases filed in 2010 had strikingly similar dispositions at 545 days </w:t>
      </w:r>
      <w:r>
        <w:rPr>
          <w:rFonts w:ascii="Times New Roman" w:hAnsi="Times New Roman" w:cs="Times New Roman"/>
        </w:rPr>
        <w:t>to</w:t>
      </w:r>
      <w:r w:rsidRPr="00B912DC">
        <w:rPr>
          <w:rFonts w:ascii="Times New Roman" w:hAnsi="Times New Roman" w:cs="Times New Roman"/>
        </w:rPr>
        <w:t xml:space="preserve"> those filed in 2013; the difference of less than a half of a percent (49.68% versus 49.22%) is neither statistically nor practically significant (p-value of .72). </w:t>
      </w:r>
    </w:p>
    <w:p w14:paraId="4D1006CE" w14:textId="0C4B7FD4" w:rsidR="00CE6237" w:rsidRDefault="00CE6237" w:rsidP="00CE6237">
      <w:pPr>
        <w:spacing w:line="480" w:lineRule="auto"/>
        <w:ind w:firstLine="720"/>
        <w:rPr>
          <w:rFonts w:ascii="Times New Roman" w:hAnsi="Times New Roman" w:cs="Times New Roman"/>
        </w:rPr>
      </w:pPr>
      <w:r>
        <w:rPr>
          <w:rFonts w:ascii="Times New Roman" w:hAnsi="Times New Roman" w:cs="Times New Roman"/>
        </w:rPr>
        <w:t xml:space="preserve">The second variable in the table, however, is a statistically significant predictor of success. We found that </w:t>
      </w:r>
      <w:r w:rsidRPr="00B912DC">
        <w:rPr>
          <w:rFonts w:ascii="Times New Roman" w:hAnsi="Times New Roman" w:cs="Times New Roman"/>
        </w:rPr>
        <w:t>cases with primarily business debts succeeded more often than cases with primarily non-business debts.  Although the difference is just a little over 2% at 545 days</w:t>
      </w:r>
      <w:r>
        <w:rPr>
          <w:rFonts w:ascii="Times New Roman" w:hAnsi="Times New Roman" w:cs="Times New Roman"/>
        </w:rPr>
        <w:t xml:space="preserve"> (48.39% versus 50.63%)</w:t>
      </w:r>
      <w:r w:rsidRPr="00B912DC">
        <w:rPr>
          <w:rFonts w:ascii="Times New Roman" w:hAnsi="Times New Roman" w:cs="Times New Roman"/>
        </w:rPr>
        <w:t>,</w:t>
      </w:r>
      <w:r>
        <w:rPr>
          <w:rFonts w:ascii="Times New Roman" w:hAnsi="Times New Roman" w:cs="Times New Roman"/>
        </w:rPr>
        <w:t xml:space="preserve"> for </w:t>
      </w:r>
      <w:r>
        <w:rPr>
          <w:rFonts w:ascii="Times New Roman" w:hAnsi="Times New Roman" w:cs="Times New Roman"/>
          <w:i/>
        </w:rPr>
        <w:t>Su</w:t>
      </w:r>
      <w:r w:rsidR="00391D25">
        <w:rPr>
          <w:rFonts w:ascii="Times New Roman" w:hAnsi="Times New Roman" w:cs="Times New Roman"/>
          <w:i/>
        </w:rPr>
        <w:t>rvive</w:t>
      </w:r>
      <w:r>
        <w:rPr>
          <w:rFonts w:ascii="Times New Roman" w:hAnsi="Times New Roman" w:cs="Times New Roman"/>
          <w:i/>
        </w:rPr>
        <w:t xml:space="preserve">2010, </w:t>
      </w:r>
      <w:r w:rsidRPr="00B912DC">
        <w:rPr>
          <w:rFonts w:ascii="Times New Roman" w:hAnsi="Times New Roman" w:cs="Times New Roman"/>
        </w:rPr>
        <w:t>it increases to over 7%</w:t>
      </w:r>
      <w:r>
        <w:rPr>
          <w:rFonts w:ascii="Times New Roman" w:hAnsi="Times New Roman" w:cs="Times New Roman"/>
        </w:rPr>
        <w:t xml:space="preserve"> (29.29% versus 36.54%).</w:t>
      </w:r>
      <w:r w:rsidRPr="00B912DC">
        <w:rPr>
          <w:rFonts w:ascii="Times New Roman" w:hAnsi="Times New Roman" w:cs="Times New Roman"/>
        </w:rPr>
        <w:t xml:space="preserve"> </w:t>
      </w:r>
    </w:p>
    <w:p w14:paraId="61C7E7AF" w14:textId="7C225729" w:rsidR="00CE6237" w:rsidRDefault="00CE6237" w:rsidP="002D1617">
      <w:pPr>
        <w:spacing w:line="480" w:lineRule="auto"/>
        <w:ind w:firstLine="720"/>
        <w:rPr>
          <w:rFonts w:ascii="Times New Roman" w:hAnsi="Times New Roman" w:cs="Times New Roman"/>
        </w:rPr>
      </w:pPr>
      <w:r w:rsidRPr="00B912DC">
        <w:rPr>
          <w:rFonts w:ascii="Times New Roman" w:hAnsi="Times New Roman" w:cs="Times New Roman"/>
        </w:rPr>
        <w:t>Statisticians sometimes measure how well a variable predicts success in terms of odds-ratios. An odds-ratio is a ratio of ratios</w:t>
      </w:r>
      <w:r>
        <w:rPr>
          <w:rFonts w:ascii="Times New Roman" w:hAnsi="Times New Roman" w:cs="Times New Roman"/>
        </w:rPr>
        <w:t>—</w:t>
      </w:r>
      <w:r w:rsidRPr="00B912DC">
        <w:rPr>
          <w:rFonts w:ascii="Times New Roman" w:hAnsi="Times New Roman" w:cs="Times New Roman"/>
        </w:rPr>
        <w:t>the probability of success divided by the probability of failure of one group over the probability of success divided by the probability of failure of the other group.</w:t>
      </w:r>
      <w:r w:rsidRPr="00B912DC">
        <w:rPr>
          <w:rStyle w:val="FootnoteReference"/>
          <w:rFonts w:ascii="Times New Roman" w:hAnsi="Times New Roman" w:cs="Times New Roman"/>
        </w:rPr>
        <w:footnoteReference w:id="201"/>
      </w:r>
      <w:r w:rsidRPr="00B912DC">
        <w:rPr>
          <w:rFonts w:ascii="Times New Roman" w:hAnsi="Times New Roman" w:cs="Times New Roman"/>
        </w:rPr>
        <w:t xml:space="preserve"> If we use </w:t>
      </w:r>
      <w:r w:rsidRPr="00B912DC">
        <w:rPr>
          <w:rFonts w:ascii="Times New Roman" w:hAnsi="Times New Roman" w:cs="Times New Roman"/>
          <w:i/>
        </w:rPr>
        <w:t>Su</w:t>
      </w:r>
      <w:r w:rsidR="00391D25">
        <w:rPr>
          <w:rFonts w:ascii="Times New Roman" w:hAnsi="Times New Roman" w:cs="Times New Roman"/>
          <w:i/>
        </w:rPr>
        <w:t>rvive</w:t>
      </w:r>
      <w:r w:rsidRPr="00B912DC">
        <w:rPr>
          <w:rFonts w:ascii="Times New Roman" w:hAnsi="Times New Roman" w:cs="Times New Roman"/>
          <w:i/>
        </w:rPr>
        <w:t xml:space="preserve">545 </w:t>
      </w:r>
      <w:r w:rsidRPr="00B912DC">
        <w:rPr>
          <w:rFonts w:ascii="Times New Roman" w:hAnsi="Times New Roman" w:cs="Times New Roman"/>
        </w:rPr>
        <w:t>as the outcome measure</w:t>
      </w:r>
      <w:r>
        <w:rPr>
          <w:rFonts w:ascii="Times New Roman" w:hAnsi="Times New Roman" w:cs="Times New Roman"/>
        </w:rPr>
        <w:t>, then</w:t>
      </w:r>
      <w:r w:rsidRPr="00B912DC">
        <w:rPr>
          <w:rFonts w:ascii="Times New Roman" w:hAnsi="Times New Roman" w:cs="Times New Roman"/>
        </w:rPr>
        <w:t xml:space="preserve"> the odds-ratio </w:t>
      </w:r>
      <w:r>
        <w:rPr>
          <w:rFonts w:ascii="Times New Roman" w:hAnsi="Times New Roman" w:cs="Times New Roman"/>
        </w:rPr>
        <w:t xml:space="preserve">for primarily business versus primarily non-business debts </w:t>
      </w:r>
      <w:r w:rsidRPr="00B912DC">
        <w:rPr>
          <w:rFonts w:ascii="Times New Roman" w:hAnsi="Times New Roman" w:cs="Times New Roman"/>
        </w:rPr>
        <w:t xml:space="preserve">is 1.09; if </w:t>
      </w:r>
      <w:r w:rsidRPr="00B912DC">
        <w:rPr>
          <w:rFonts w:ascii="Times New Roman" w:hAnsi="Times New Roman" w:cs="Times New Roman"/>
          <w:i/>
        </w:rPr>
        <w:t>Su</w:t>
      </w:r>
      <w:r w:rsidR="00391D25">
        <w:rPr>
          <w:rFonts w:ascii="Times New Roman" w:hAnsi="Times New Roman" w:cs="Times New Roman"/>
          <w:i/>
        </w:rPr>
        <w:t>rvive</w:t>
      </w:r>
      <w:r w:rsidRPr="00B912DC">
        <w:rPr>
          <w:rFonts w:ascii="Times New Roman" w:hAnsi="Times New Roman" w:cs="Times New Roman"/>
          <w:i/>
        </w:rPr>
        <w:t xml:space="preserve">2010 </w:t>
      </w:r>
      <w:r w:rsidRPr="00B912DC">
        <w:rPr>
          <w:rFonts w:ascii="Times New Roman" w:hAnsi="Times New Roman" w:cs="Times New Roman"/>
        </w:rPr>
        <w:t>is the measure, then the odds-ratio is about 1.39.</w:t>
      </w:r>
    </w:p>
    <w:p w14:paraId="56530597" w14:textId="2C297C23" w:rsidR="00CE6237" w:rsidRDefault="00CE6237" w:rsidP="009B3F13">
      <w:pPr>
        <w:spacing w:line="480" w:lineRule="auto"/>
        <w:ind w:firstLine="720"/>
        <w:rPr>
          <w:rFonts w:ascii="Times New Roman" w:hAnsi="Times New Roman" w:cs="Times New Roman"/>
        </w:rPr>
      </w:pPr>
      <w:r>
        <w:rPr>
          <w:rFonts w:ascii="Times New Roman" w:hAnsi="Times New Roman" w:cs="Times New Roman"/>
        </w:rPr>
        <w:t>T</w:t>
      </w:r>
      <w:r w:rsidRPr="00B912DC">
        <w:rPr>
          <w:rFonts w:ascii="Times New Roman" w:hAnsi="Times New Roman" w:cs="Times New Roman"/>
        </w:rPr>
        <w:t>he debtor</w:t>
      </w:r>
      <w:r>
        <w:rPr>
          <w:rFonts w:ascii="Times New Roman" w:hAnsi="Times New Roman" w:cs="Times New Roman"/>
        </w:rPr>
        <w:t>’s</w:t>
      </w:r>
      <w:r w:rsidRPr="00B912DC">
        <w:rPr>
          <w:rFonts w:ascii="Times New Roman" w:hAnsi="Times New Roman" w:cs="Times New Roman"/>
        </w:rPr>
        <w:t xml:space="preserve"> belief that assets will be available for general </w:t>
      </w:r>
      <w:r>
        <w:rPr>
          <w:rFonts w:ascii="Times New Roman" w:hAnsi="Times New Roman" w:cs="Times New Roman"/>
        </w:rPr>
        <w:t xml:space="preserve">unsecured </w:t>
      </w:r>
      <w:r w:rsidRPr="00B912DC">
        <w:rPr>
          <w:rFonts w:ascii="Times New Roman" w:hAnsi="Times New Roman" w:cs="Times New Roman"/>
        </w:rPr>
        <w:t xml:space="preserve">creditors is a very strong predictor of success. </w:t>
      </w:r>
      <w:r w:rsidR="009B3F13">
        <w:rPr>
          <w:rFonts w:ascii="Times New Roman" w:hAnsi="Times New Roman" w:cs="Times New Roman"/>
        </w:rPr>
        <w:t xml:space="preserve">As the </w:t>
      </w:r>
      <w:r w:rsidR="00B20E78">
        <w:rPr>
          <w:rFonts w:ascii="Times New Roman" w:hAnsi="Times New Roman" w:cs="Times New Roman"/>
        </w:rPr>
        <w:t xml:space="preserve">data </w:t>
      </w:r>
      <w:r w:rsidR="002D1617">
        <w:rPr>
          <w:rFonts w:ascii="Times New Roman" w:hAnsi="Times New Roman" w:cs="Times New Roman"/>
        </w:rPr>
        <w:t xml:space="preserve">in </w:t>
      </w:r>
      <w:r w:rsidR="00FC38D9" w:rsidRPr="00B912DC">
        <w:rPr>
          <w:rFonts w:ascii="Times New Roman" w:hAnsi="Times New Roman" w:cs="Times New Roman"/>
        </w:rPr>
        <w:t xml:space="preserve">Table </w:t>
      </w:r>
      <w:r w:rsidR="000E337A">
        <w:rPr>
          <w:rFonts w:ascii="Times New Roman" w:hAnsi="Times New Roman" w:cs="Times New Roman"/>
        </w:rPr>
        <w:t>4</w:t>
      </w:r>
      <w:r w:rsidR="00DB4EAD">
        <w:rPr>
          <w:rFonts w:ascii="Times New Roman" w:hAnsi="Times New Roman" w:cs="Times New Roman"/>
        </w:rPr>
        <w:t>2</w:t>
      </w:r>
      <w:r w:rsidR="000E337A" w:rsidRPr="00B912DC">
        <w:rPr>
          <w:rFonts w:ascii="Times New Roman" w:hAnsi="Times New Roman" w:cs="Times New Roman"/>
        </w:rPr>
        <w:t xml:space="preserve"> </w:t>
      </w:r>
      <w:r w:rsidR="00FC38D9" w:rsidRPr="00B912DC">
        <w:rPr>
          <w:rFonts w:ascii="Times New Roman" w:hAnsi="Times New Roman" w:cs="Times New Roman"/>
        </w:rPr>
        <w:t>show</w:t>
      </w:r>
      <w:r w:rsidR="009B3F13">
        <w:rPr>
          <w:rFonts w:ascii="Times New Roman" w:hAnsi="Times New Roman" w:cs="Times New Roman"/>
        </w:rPr>
        <w:t>,</w:t>
      </w:r>
      <w:r w:rsidR="00FC38D9" w:rsidRPr="00B912DC">
        <w:rPr>
          <w:rFonts w:ascii="Times New Roman" w:hAnsi="Times New Roman" w:cs="Times New Roman"/>
        </w:rPr>
        <w:t xml:space="preserve">  approximately 53% of the cases in which the debtor indicated on the petition that assets would be available to creditors (Column (</w:t>
      </w:r>
      <w:r w:rsidR="002D1617">
        <w:rPr>
          <w:rFonts w:ascii="Times New Roman" w:hAnsi="Times New Roman" w:cs="Times New Roman"/>
        </w:rPr>
        <w:t>A</w:t>
      </w:r>
      <w:r w:rsidR="00FC38D9" w:rsidRPr="00B912DC">
        <w:rPr>
          <w:rFonts w:ascii="Times New Roman" w:hAnsi="Times New Roman" w:cs="Times New Roman"/>
        </w:rPr>
        <w:t>)(1)) were successful 545 days after the start of chapter 11; by comparison, only about 23% of the no-asset cases (Column (</w:t>
      </w:r>
      <w:r w:rsidR="002D1617">
        <w:rPr>
          <w:rFonts w:ascii="Times New Roman" w:hAnsi="Times New Roman" w:cs="Times New Roman"/>
        </w:rPr>
        <w:t>A</w:t>
      </w:r>
      <w:r w:rsidR="00FC38D9" w:rsidRPr="00B912DC">
        <w:rPr>
          <w:rFonts w:ascii="Times New Roman" w:hAnsi="Times New Roman" w:cs="Times New Roman"/>
        </w:rPr>
        <w:t>)(2)) were successful in that same time frame. As the p-value in Column (</w:t>
      </w:r>
      <w:r w:rsidR="002D1617">
        <w:rPr>
          <w:rFonts w:ascii="Times New Roman" w:hAnsi="Times New Roman" w:cs="Times New Roman"/>
        </w:rPr>
        <w:t>A</w:t>
      </w:r>
      <w:r w:rsidR="00FC38D9" w:rsidRPr="00B912DC">
        <w:rPr>
          <w:rFonts w:ascii="Times New Roman" w:hAnsi="Times New Roman" w:cs="Times New Roman"/>
        </w:rPr>
        <w:t xml:space="preserve">)(3) indicates, the difference in success rates for asset versus no-asset cases is statistically significant (p&lt;0.01).   </w:t>
      </w:r>
    </w:p>
    <w:p w14:paraId="28720051" w14:textId="41364468" w:rsidR="00CE6237" w:rsidRPr="00B912DC" w:rsidRDefault="00CE6237" w:rsidP="00CE6237">
      <w:pPr>
        <w:spacing w:line="480" w:lineRule="auto"/>
        <w:ind w:firstLine="720"/>
        <w:rPr>
          <w:rFonts w:ascii="Times New Roman" w:hAnsi="Times New Roman" w:cs="Times New Roman"/>
        </w:rPr>
      </w:pPr>
      <w:r w:rsidRPr="00B912DC">
        <w:rPr>
          <w:rFonts w:ascii="Times New Roman" w:hAnsi="Times New Roman" w:cs="Times New Roman"/>
        </w:rPr>
        <w:t xml:space="preserve">At 545 days, the odds-ratio </w:t>
      </w:r>
      <w:r w:rsidR="00FD6F18">
        <w:rPr>
          <w:rFonts w:ascii="Times New Roman" w:hAnsi="Times New Roman" w:cs="Times New Roman"/>
        </w:rPr>
        <w:t xml:space="preserve">for asset versus no-asset cases </w:t>
      </w:r>
      <w:r w:rsidRPr="00B912DC">
        <w:rPr>
          <w:rFonts w:ascii="Times New Roman" w:hAnsi="Times New Roman" w:cs="Times New Roman"/>
        </w:rPr>
        <w:t xml:space="preserve">is </w:t>
      </w:r>
      <w:r w:rsidR="002B459E">
        <w:rPr>
          <w:rFonts w:ascii="Times New Roman" w:hAnsi="Times New Roman" w:cs="Times New Roman"/>
        </w:rPr>
        <w:t>3</w:t>
      </w:r>
      <w:r w:rsidRPr="00B912DC">
        <w:rPr>
          <w:rFonts w:ascii="Times New Roman" w:hAnsi="Times New Roman" w:cs="Times New Roman"/>
        </w:rPr>
        <w:t>.</w:t>
      </w:r>
      <w:r w:rsidR="002B459E">
        <w:rPr>
          <w:rFonts w:ascii="Times New Roman" w:hAnsi="Times New Roman" w:cs="Times New Roman"/>
        </w:rPr>
        <w:t>78</w:t>
      </w:r>
      <w:r w:rsidRPr="00B912DC">
        <w:rPr>
          <w:rFonts w:ascii="Times New Roman" w:hAnsi="Times New Roman" w:cs="Times New Roman"/>
        </w:rPr>
        <w:t xml:space="preserve">; the odds-ratio for </w:t>
      </w:r>
      <w:r w:rsidRPr="00B912DC">
        <w:rPr>
          <w:rFonts w:ascii="Times New Roman" w:hAnsi="Times New Roman" w:cs="Times New Roman"/>
          <w:i/>
        </w:rPr>
        <w:t>Su</w:t>
      </w:r>
      <w:r w:rsidR="002B459E">
        <w:rPr>
          <w:rFonts w:ascii="Times New Roman" w:hAnsi="Times New Roman" w:cs="Times New Roman"/>
          <w:i/>
        </w:rPr>
        <w:t>rvive</w:t>
      </w:r>
      <w:r w:rsidRPr="00B912DC">
        <w:rPr>
          <w:rFonts w:ascii="Times New Roman" w:hAnsi="Times New Roman" w:cs="Times New Roman"/>
          <w:i/>
        </w:rPr>
        <w:t xml:space="preserve">s2010 </w:t>
      </w:r>
      <w:r w:rsidRPr="00B912DC">
        <w:rPr>
          <w:rFonts w:ascii="Times New Roman" w:hAnsi="Times New Roman" w:cs="Times New Roman"/>
        </w:rPr>
        <w:t xml:space="preserve">is an astounding 17.03. Just 3.35% of the no-asset cases filed in 2010 qualified as successful under our measure compared to 37.12% of the cases </w:t>
      </w:r>
      <w:r>
        <w:rPr>
          <w:rFonts w:ascii="Times New Roman" w:hAnsi="Times New Roman" w:cs="Times New Roman"/>
        </w:rPr>
        <w:t xml:space="preserve">in which </w:t>
      </w:r>
      <w:r w:rsidRPr="00B912DC">
        <w:rPr>
          <w:rFonts w:ascii="Times New Roman" w:hAnsi="Times New Roman" w:cs="Times New Roman"/>
        </w:rPr>
        <w:t>the debtor indicated that assets would be available for general creditors.</w:t>
      </w:r>
      <w:r w:rsidRPr="00B912DC">
        <w:rPr>
          <w:rStyle w:val="FootnoteReference"/>
          <w:rFonts w:ascii="Times New Roman" w:hAnsi="Times New Roman" w:cs="Times New Roman"/>
        </w:rPr>
        <w:footnoteReference w:id="202"/>
      </w:r>
      <w:r w:rsidRPr="00B912DC">
        <w:rPr>
          <w:rFonts w:ascii="Times New Roman" w:hAnsi="Times New Roman" w:cs="Times New Roman"/>
        </w:rPr>
        <w:t xml:space="preserve"> </w:t>
      </w:r>
    </w:p>
    <w:p w14:paraId="07615D8E" w14:textId="3FF50E35" w:rsidR="00FC38D9" w:rsidRDefault="00CE6237" w:rsidP="00CE6237">
      <w:pPr>
        <w:spacing w:line="480" w:lineRule="auto"/>
        <w:ind w:firstLine="720"/>
        <w:rPr>
          <w:rFonts w:ascii="Times New Roman" w:hAnsi="Times New Roman" w:cs="Times New Roman"/>
        </w:rPr>
      </w:pPr>
      <w:r w:rsidRPr="00B912DC">
        <w:rPr>
          <w:rFonts w:ascii="Times New Roman" w:hAnsi="Times New Roman" w:cs="Times New Roman"/>
        </w:rPr>
        <w:t xml:space="preserve">There are at least </w:t>
      </w:r>
      <w:r w:rsidR="002B459E">
        <w:rPr>
          <w:rFonts w:ascii="Times New Roman" w:hAnsi="Times New Roman" w:cs="Times New Roman"/>
        </w:rPr>
        <w:t>four</w:t>
      </w:r>
      <w:r w:rsidRPr="00B912DC">
        <w:rPr>
          <w:rFonts w:ascii="Times New Roman" w:hAnsi="Times New Roman" w:cs="Times New Roman"/>
        </w:rPr>
        <w:t xml:space="preserve"> possible explanations for why no-asset cases </w:t>
      </w:r>
      <w:r>
        <w:rPr>
          <w:rFonts w:ascii="Times New Roman" w:hAnsi="Times New Roman" w:cs="Times New Roman"/>
        </w:rPr>
        <w:t xml:space="preserve">in our PACER sample </w:t>
      </w:r>
      <w:r w:rsidRPr="00B912DC">
        <w:rPr>
          <w:rFonts w:ascii="Times New Roman" w:hAnsi="Times New Roman" w:cs="Times New Roman"/>
        </w:rPr>
        <w:t>fare so poorly</w:t>
      </w:r>
      <w:r>
        <w:rPr>
          <w:rFonts w:ascii="Times New Roman" w:hAnsi="Times New Roman" w:cs="Times New Roman"/>
        </w:rPr>
        <w:t>, with a success rate sharply lower than what we estimate for our random sample</w:t>
      </w:r>
      <w:r w:rsidRPr="00B912DC">
        <w:rPr>
          <w:rFonts w:ascii="Times New Roman" w:hAnsi="Times New Roman" w:cs="Times New Roman"/>
        </w:rPr>
        <w:t>.</w:t>
      </w:r>
      <w:r>
        <w:rPr>
          <w:rStyle w:val="FootnoteReference"/>
          <w:rFonts w:ascii="Times New Roman" w:hAnsi="Times New Roman" w:cs="Times New Roman"/>
        </w:rPr>
        <w:footnoteReference w:id="203"/>
      </w:r>
      <w:r w:rsidRPr="00B912DC">
        <w:rPr>
          <w:rFonts w:ascii="Times New Roman" w:hAnsi="Times New Roman" w:cs="Times New Roman"/>
        </w:rPr>
        <w:t xml:space="preserve"> First, some chapter 13 trustees and judges </w:t>
      </w:r>
      <w:r>
        <w:rPr>
          <w:rFonts w:ascii="Times New Roman" w:hAnsi="Times New Roman" w:cs="Times New Roman"/>
        </w:rPr>
        <w:t>will only</w:t>
      </w:r>
      <w:r w:rsidRPr="00B912DC">
        <w:rPr>
          <w:rFonts w:ascii="Times New Roman" w:hAnsi="Times New Roman" w:cs="Times New Roman"/>
        </w:rPr>
        <w:t xml:space="preserve"> approve plans </w:t>
      </w:r>
      <w:r>
        <w:rPr>
          <w:rFonts w:ascii="Times New Roman" w:hAnsi="Times New Roman" w:cs="Times New Roman"/>
        </w:rPr>
        <w:t>that</w:t>
      </w:r>
      <w:r w:rsidRPr="00B912DC">
        <w:rPr>
          <w:rFonts w:ascii="Times New Roman" w:hAnsi="Times New Roman" w:cs="Times New Roman"/>
        </w:rPr>
        <w:t xml:space="preserve"> offer minimum repayment to general unsecured creditors;</w:t>
      </w:r>
      <w:r w:rsidRPr="00B912DC">
        <w:rPr>
          <w:rStyle w:val="FootnoteReference"/>
          <w:rFonts w:ascii="Times New Roman" w:hAnsi="Times New Roman" w:cs="Times New Roman"/>
        </w:rPr>
        <w:footnoteReference w:id="204"/>
      </w:r>
      <w:r w:rsidRPr="00B912DC">
        <w:rPr>
          <w:rFonts w:ascii="Times New Roman" w:hAnsi="Times New Roman" w:cs="Times New Roman"/>
        </w:rPr>
        <w:t xml:space="preserve"> perhaps a similar phenomenon is at work in individual chapter 11 bankruptcies. Second, classes of claims that receive nothing under a plan are conclusively presumed to vote against the plan,</w:t>
      </w:r>
      <w:r w:rsidRPr="00B912DC">
        <w:rPr>
          <w:rStyle w:val="FootnoteReference"/>
          <w:rFonts w:ascii="Times New Roman" w:hAnsi="Times New Roman" w:cs="Times New Roman"/>
        </w:rPr>
        <w:footnoteReference w:id="205"/>
      </w:r>
      <w:r w:rsidRPr="00B912DC">
        <w:rPr>
          <w:rFonts w:ascii="Times New Roman" w:hAnsi="Times New Roman" w:cs="Times New Roman"/>
        </w:rPr>
        <w:t xml:space="preserve"> </w:t>
      </w:r>
      <w:r>
        <w:rPr>
          <w:rFonts w:ascii="Times New Roman" w:hAnsi="Times New Roman" w:cs="Times New Roman"/>
        </w:rPr>
        <w:t>so</w:t>
      </w:r>
      <w:r w:rsidRPr="00B912DC">
        <w:rPr>
          <w:rFonts w:ascii="Times New Roman" w:hAnsi="Times New Roman" w:cs="Times New Roman"/>
        </w:rPr>
        <w:t xml:space="preserve"> debtors </w:t>
      </w:r>
      <w:r>
        <w:rPr>
          <w:rFonts w:ascii="Times New Roman" w:hAnsi="Times New Roman" w:cs="Times New Roman"/>
        </w:rPr>
        <w:t xml:space="preserve">proposing such plans must </w:t>
      </w:r>
      <w:r w:rsidRPr="00B912DC">
        <w:rPr>
          <w:rFonts w:ascii="Times New Roman" w:hAnsi="Times New Roman" w:cs="Times New Roman"/>
        </w:rPr>
        <w:t>satisfy the cumbersome cramdown rules of chapter 11.</w:t>
      </w:r>
      <w:r w:rsidRPr="00B912DC">
        <w:rPr>
          <w:rStyle w:val="FootnoteReference"/>
          <w:rFonts w:ascii="Times New Roman" w:hAnsi="Times New Roman" w:cs="Times New Roman"/>
        </w:rPr>
        <w:footnoteReference w:id="206"/>
      </w:r>
      <w:r w:rsidRPr="00B912DC">
        <w:rPr>
          <w:rFonts w:ascii="Times New Roman" w:hAnsi="Times New Roman" w:cs="Times New Roman"/>
        </w:rPr>
        <w:t xml:space="preserve"> Third, </w:t>
      </w:r>
      <w:r>
        <w:rPr>
          <w:rFonts w:ascii="Times New Roman" w:hAnsi="Times New Roman" w:cs="Times New Roman"/>
        </w:rPr>
        <w:t xml:space="preserve">checking the “no asset” box on the petition </w:t>
      </w:r>
      <w:r w:rsidRPr="00B912DC">
        <w:rPr>
          <w:rFonts w:ascii="Times New Roman" w:hAnsi="Times New Roman" w:cs="Times New Roman"/>
        </w:rPr>
        <w:t xml:space="preserve">may </w:t>
      </w:r>
      <w:r>
        <w:rPr>
          <w:rFonts w:ascii="Times New Roman" w:hAnsi="Times New Roman" w:cs="Times New Roman"/>
        </w:rPr>
        <w:t>signal that a debtor cannot</w:t>
      </w:r>
      <w:r w:rsidRPr="00B912DC">
        <w:rPr>
          <w:rFonts w:ascii="Times New Roman" w:hAnsi="Times New Roman" w:cs="Times New Roman"/>
        </w:rPr>
        <w:t xml:space="preserve"> </w:t>
      </w:r>
      <w:r>
        <w:rPr>
          <w:rFonts w:ascii="Times New Roman" w:hAnsi="Times New Roman" w:cs="Times New Roman"/>
        </w:rPr>
        <w:t xml:space="preserve">even </w:t>
      </w:r>
      <w:r w:rsidRPr="00B912DC">
        <w:rPr>
          <w:rFonts w:ascii="Times New Roman" w:hAnsi="Times New Roman" w:cs="Times New Roman"/>
        </w:rPr>
        <w:t>afford to pay expenses and secured claims and</w:t>
      </w:r>
      <w:r>
        <w:rPr>
          <w:rFonts w:ascii="Times New Roman" w:hAnsi="Times New Roman" w:cs="Times New Roman"/>
        </w:rPr>
        <w:t xml:space="preserve">, thus, </w:t>
      </w:r>
      <w:r w:rsidRPr="00B912DC">
        <w:rPr>
          <w:rFonts w:ascii="Times New Roman" w:hAnsi="Times New Roman" w:cs="Times New Roman"/>
        </w:rPr>
        <w:t>will be unable to confirm and complete a plan of reorganization.</w:t>
      </w:r>
      <w:r w:rsidR="002B459E">
        <w:rPr>
          <w:rFonts w:ascii="Times New Roman" w:hAnsi="Times New Roman" w:cs="Times New Roman"/>
        </w:rPr>
        <w:t xml:space="preserve"> Finally, the extreme odds-ratio could be due to coding problems in the PA</w:t>
      </w:r>
      <w:r w:rsidR="00B10269">
        <w:rPr>
          <w:rFonts w:ascii="Times New Roman" w:hAnsi="Times New Roman" w:cs="Times New Roman"/>
        </w:rPr>
        <w:t>CER Case Reports that overstate</w:t>
      </w:r>
      <w:r w:rsidR="002B459E">
        <w:rPr>
          <w:rFonts w:ascii="Times New Roman" w:hAnsi="Times New Roman" w:cs="Times New Roman"/>
        </w:rPr>
        <w:t xml:space="preserve"> the number of cases in which the debtor marks the petition as a no-asset case.</w:t>
      </w:r>
      <w:r w:rsidR="002B459E">
        <w:rPr>
          <w:rStyle w:val="FootnoteReference"/>
          <w:rFonts w:ascii="Times New Roman" w:hAnsi="Times New Roman" w:cs="Times New Roman"/>
        </w:rPr>
        <w:footnoteReference w:id="207"/>
      </w:r>
      <w:r w:rsidRPr="00B912DC">
        <w:rPr>
          <w:rFonts w:ascii="Times New Roman" w:hAnsi="Times New Roman" w:cs="Times New Roman"/>
        </w:rPr>
        <w:t xml:space="preserve"> </w:t>
      </w:r>
    </w:p>
    <w:p w14:paraId="3D4EC7F5" w14:textId="572A7FFB" w:rsidR="00FC38D9" w:rsidRPr="00B912DC" w:rsidRDefault="00FD6F18" w:rsidP="00FC38D9">
      <w:pPr>
        <w:spacing w:line="480" w:lineRule="auto"/>
        <w:ind w:firstLine="720"/>
        <w:rPr>
          <w:rFonts w:ascii="Times New Roman" w:hAnsi="Times New Roman" w:cs="Times New Roman"/>
        </w:rPr>
      </w:pPr>
      <w:r>
        <w:rPr>
          <w:rFonts w:ascii="Times New Roman" w:hAnsi="Times New Roman" w:cs="Times New Roman"/>
        </w:rPr>
        <w:t>For t</w:t>
      </w:r>
      <w:r w:rsidR="00FC38D9" w:rsidRPr="00B912DC">
        <w:rPr>
          <w:rFonts w:ascii="Times New Roman" w:hAnsi="Times New Roman" w:cs="Times New Roman"/>
        </w:rPr>
        <w:t xml:space="preserve">he remaining </w:t>
      </w:r>
      <w:r>
        <w:rPr>
          <w:rFonts w:ascii="Times New Roman" w:hAnsi="Times New Roman" w:cs="Times New Roman"/>
        </w:rPr>
        <w:t xml:space="preserve">two </w:t>
      </w:r>
      <w:r w:rsidR="00FC38D9" w:rsidRPr="00B912DC">
        <w:rPr>
          <w:rFonts w:ascii="Times New Roman" w:hAnsi="Times New Roman" w:cs="Times New Roman"/>
        </w:rPr>
        <w:t xml:space="preserve">variables </w:t>
      </w:r>
      <w:r>
        <w:rPr>
          <w:rFonts w:ascii="Times New Roman" w:hAnsi="Times New Roman" w:cs="Times New Roman"/>
        </w:rPr>
        <w:t xml:space="preserve">in Table 42, </w:t>
      </w:r>
      <w:r w:rsidR="00FC38D9" w:rsidRPr="00B912DC">
        <w:rPr>
          <w:rFonts w:ascii="Times New Roman" w:hAnsi="Times New Roman" w:cs="Times New Roman"/>
        </w:rPr>
        <w:t xml:space="preserve">we </w:t>
      </w:r>
      <w:r w:rsidR="00C309F1">
        <w:rPr>
          <w:rFonts w:ascii="Times New Roman" w:hAnsi="Times New Roman" w:cs="Times New Roman"/>
        </w:rPr>
        <w:t>had to manipulate</w:t>
      </w:r>
      <w:r w:rsidR="00FC38D9" w:rsidRPr="00B912DC">
        <w:rPr>
          <w:rFonts w:ascii="Times New Roman" w:hAnsi="Times New Roman" w:cs="Times New Roman"/>
        </w:rPr>
        <w:t xml:space="preserve"> the PACER </w:t>
      </w:r>
      <w:r w:rsidR="006174EC">
        <w:rPr>
          <w:rFonts w:ascii="Times New Roman" w:hAnsi="Times New Roman" w:cs="Times New Roman"/>
        </w:rPr>
        <w:t>c</w:t>
      </w:r>
      <w:r w:rsidR="00FC38D9" w:rsidRPr="00B912DC">
        <w:rPr>
          <w:rFonts w:ascii="Times New Roman" w:hAnsi="Times New Roman" w:cs="Times New Roman"/>
        </w:rPr>
        <w:t xml:space="preserve">ase </w:t>
      </w:r>
      <w:r w:rsidR="006174EC">
        <w:rPr>
          <w:rFonts w:ascii="Times New Roman" w:hAnsi="Times New Roman" w:cs="Times New Roman"/>
        </w:rPr>
        <w:t>r</w:t>
      </w:r>
      <w:r w:rsidR="00FC38D9" w:rsidRPr="00B912DC">
        <w:rPr>
          <w:rFonts w:ascii="Times New Roman" w:hAnsi="Times New Roman" w:cs="Times New Roman"/>
        </w:rPr>
        <w:t xml:space="preserve">eport data. To determine whether a case was a joint filing, we looked for the word “and” in the case title. We excluded cases that were marked as an individual filing but had terms such as “LLC” or “Inc.” in the title, which indicated that these cases were misclassified entities. </w:t>
      </w:r>
      <w:r w:rsidR="00B06764">
        <w:rPr>
          <w:rFonts w:ascii="Times New Roman" w:hAnsi="Times New Roman" w:cs="Times New Roman"/>
        </w:rPr>
        <w:t>We found that jointly filed c</w:t>
      </w:r>
      <w:r w:rsidR="00FC38D9" w:rsidRPr="00B912DC">
        <w:rPr>
          <w:rFonts w:ascii="Times New Roman" w:hAnsi="Times New Roman" w:cs="Times New Roman"/>
        </w:rPr>
        <w:t xml:space="preserve">ases fared much better than cases with a single debtor; the odds-ratios were 1.71 and 1.74 for </w:t>
      </w:r>
      <w:r w:rsidR="00FC38D9" w:rsidRPr="00B912DC">
        <w:rPr>
          <w:rFonts w:ascii="Times New Roman" w:hAnsi="Times New Roman" w:cs="Times New Roman"/>
          <w:i/>
        </w:rPr>
        <w:t xml:space="preserve">Success545 </w:t>
      </w:r>
      <w:r w:rsidR="00FC38D9" w:rsidRPr="00B912DC">
        <w:rPr>
          <w:rFonts w:ascii="Times New Roman" w:hAnsi="Times New Roman" w:cs="Times New Roman"/>
        </w:rPr>
        <w:t xml:space="preserve">and </w:t>
      </w:r>
      <w:r w:rsidR="00FC38D9" w:rsidRPr="00B912DC">
        <w:rPr>
          <w:rFonts w:ascii="Times New Roman" w:hAnsi="Times New Roman" w:cs="Times New Roman"/>
          <w:i/>
        </w:rPr>
        <w:t>Success2010</w:t>
      </w:r>
      <w:r w:rsidR="00FC38D9" w:rsidRPr="003C6C4A">
        <w:rPr>
          <w:rFonts w:ascii="Times New Roman" w:hAnsi="Times New Roman" w:cs="Times New Roman"/>
        </w:rPr>
        <w:t xml:space="preserve">, </w:t>
      </w:r>
      <w:r w:rsidR="00FC38D9" w:rsidRPr="00B912DC">
        <w:rPr>
          <w:rFonts w:ascii="Times New Roman" w:hAnsi="Times New Roman" w:cs="Times New Roman"/>
        </w:rPr>
        <w:t>respectively. A debtor can only file jointly with his or her spouse,</w:t>
      </w:r>
      <w:r w:rsidR="00FC38D9" w:rsidRPr="00B912DC">
        <w:rPr>
          <w:rStyle w:val="FootnoteReference"/>
          <w:rFonts w:ascii="Times New Roman" w:hAnsi="Times New Roman" w:cs="Times New Roman"/>
        </w:rPr>
        <w:footnoteReference w:id="208"/>
      </w:r>
      <w:r w:rsidR="00FC38D9" w:rsidRPr="00B912DC">
        <w:rPr>
          <w:rFonts w:ascii="Times New Roman" w:hAnsi="Times New Roman" w:cs="Times New Roman"/>
        </w:rPr>
        <w:t xml:space="preserve"> and we initially thought that a joint filing was merely a proxy for the effects of marriage. </w:t>
      </w:r>
      <w:r w:rsidR="00D343E7">
        <w:rPr>
          <w:rFonts w:ascii="Times New Roman" w:hAnsi="Times New Roman" w:cs="Times New Roman"/>
        </w:rPr>
        <w:t>O</w:t>
      </w:r>
      <w:r w:rsidR="00FC38D9" w:rsidRPr="00B912DC">
        <w:rPr>
          <w:rFonts w:ascii="Times New Roman" w:hAnsi="Times New Roman" w:cs="Times New Roman"/>
        </w:rPr>
        <w:t>ur finding that many married debtors do not file jointly with their spouses</w:t>
      </w:r>
      <w:r w:rsidR="00D343E7">
        <w:rPr>
          <w:rFonts w:ascii="Times New Roman" w:hAnsi="Times New Roman" w:cs="Times New Roman"/>
        </w:rPr>
        <w:t>, however,</w:t>
      </w:r>
      <w:r w:rsidR="00FC38D9" w:rsidRPr="00B912DC">
        <w:rPr>
          <w:rFonts w:ascii="Times New Roman" w:hAnsi="Times New Roman" w:cs="Times New Roman"/>
        </w:rPr>
        <w:t xml:space="preserve"> shows that this is not a complete explanation.</w:t>
      </w:r>
      <w:r w:rsidR="00FC38D9" w:rsidRPr="00B912DC">
        <w:rPr>
          <w:rStyle w:val="FootnoteReference"/>
          <w:rFonts w:ascii="Times New Roman" w:hAnsi="Times New Roman" w:cs="Times New Roman"/>
        </w:rPr>
        <w:footnoteReference w:id="209"/>
      </w:r>
      <w:r w:rsidR="00FC38D9" w:rsidRPr="00B912DC">
        <w:rPr>
          <w:rFonts w:ascii="Times New Roman" w:hAnsi="Times New Roman" w:cs="Times New Roman"/>
        </w:rPr>
        <w:t xml:space="preserve">   </w:t>
      </w:r>
    </w:p>
    <w:p w14:paraId="1259E4C3" w14:textId="7C724B65" w:rsidR="00FC38D9" w:rsidRPr="00B912DC"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 xml:space="preserve"> </w:t>
      </w:r>
      <w:r w:rsidR="00FD6F18">
        <w:rPr>
          <w:rFonts w:ascii="Times New Roman" w:hAnsi="Times New Roman" w:cs="Times New Roman"/>
        </w:rPr>
        <w:t xml:space="preserve">We also found that pro se filing, the final variable in Table 42, </w:t>
      </w:r>
      <w:r w:rsidRPr="00B912DC">
        <w:rPr>
          <w:rFonts w:ascii="Times New Roman" w:hAnsi="Times New Roman" w:cs="Times New Roman"/>
        </w:rPr>
        <w:t>strongly predicts failure; the odds-ratios of represented to pro se filings are 5.26 and 5.14</w:t>
      </w:r>
      <w:r>
        <w:rPr>
          <w:rFonts w:ascii="Times New Roman" w:hAnsi="Times New Roman" w:cs="Times New Roman"/>
        </w:rPr>
        <w:t xml:space="preserve"> for </w:t>
      </w:r>
      <w:r>
        <w:rPr>
          <w:rFonts w:ascii="Times New Roman" w:hAnsi="Times New Roman" w:cs="Times New Roman"/>
          <w:i/>
        </w:rPr>
        <w:t xml:space="preserve">Success 545 </w:t>
      </w:r>
      <w:r>
        <w:rPr>
          <w:rFonts w:ascii="Times New Roman" w:hAnsi="Times New Roman" w:cs="Times New Roman"/>
        </w:rPr>
        <w:t xml:space="preserve">and </w:t>
      </w:r>
      <w:r w:rsidRPr="00B63C30">
        <w:rPr>
          <w:rFonts w:ascii="Times New Roman" w:hAnsi="Times New Roman" w:cs="Times New Roman"/>
          <w:i/>
        </w:rPr>
        <w:t>Success2010</w:t>
      </w:r>
      <w:r>
        <w:rPr>
          <w:rFonts w:ascii="Times New Roman" w:hAnsi="Times New Roman" w:cs="Times New Roman"/>
        </w:rPr>
        <w:t>, respectively</w:t>
      </w:r>
      <w:r w:rsidRPr="00B912DC">
        <w:rPr>
          <w:rFonts w:ascii="Times New Roman" w:hAnsi="Times New Roman" w:cs="Times New Roman"/>
        </w:rPr>
        <w:t xml:space="preserve">. Chapter 11 is extremely complicated, and few individuals </w:t>
      </w:r>
      <w:r w:rsidR="00D343E7">
        <w:rPr>
          <w:rFonts w:ascii="Times New Roman" w:hAnsi="Times New Roman" w:cs="Times New Roman"/>
        </w:rPr>
        <w:t>are</w:t>
      </w:r>
      <w:r w:rsidRPr="00B912DC">
        <w:rPr>
          <w:rFonts w:ascii="Times New Roman" w:hAnsi="Times New Roman" w:cs="Times New Roman"/>
        </w:rPr>
        <w:t xml:space="preserve"> able to competently handle their own case. </w:t>
      </w:r>
      <w:r w:rsidR="00FD6F18">
        <w:rPr>
          <w:rFonts w:ascii="Times New Roman" w:hAnsi="Times New Roman" w:cs="Times New Roman"/>
        </w:rPr>
        <w:t xml:space="preserve">We were surprised, however, that </w:t>
      </w:r>
      <w:r w:rsidRPr="00B912DC">
        <w:rPr>
          <w:rFonts w:ascii="Times New Roman" w:hAnsi="Times New Roman" w:cs="Times New Roman"/>
        </w:rPr>
        <w:t xml:space="preserve">pro se filing is not a stronger predictor of failure; perhaps this merely reflects the fact that we </w:t>
      </w:r>
      <w:r w:rsidR="00FD6F18">
        <w:rPr>
          <w:rFonts w:ascii="Times New Roman" w:hAnsi="Times New Roman" w:cs="Times New Roman"/>
        </w:rPr>
        <w:t xml:space="preserve">used </w:t>
      </w:r>
      <w:r w:rsidRPr="00B912DC">
        <w:rPr>
          <w:rFonts w:ascii="Times New Roman" w:hAnsi="Times New Roman" w:cs="Times New Roman"/>
        </w:rPr>
        <w:t xml:space="preserve">rough proxies for our measure of success. We return to this issue in Section </w:t>
      </w:r>
      <w:r w:rsidR="0091331A">
        <w:rPr>
          <w:rFonts w:ascii="Times New Roman" w:hAnsi="Times New Roman" w:cs="Times New Roman"/>
        </w:rPr>
        <w:t>IV.B.2</w:t>
      </w:r>
      <w:r w:rsidRPr="00B912DC">
        <w:rPr>
          <w:rFonts w:ascii="Times New Roman" w:hAnsi="Times New Roman" w:cs="Times New Roman"/>
        </w:rPr>
        <w:t>.</w:t>
      </w:r>
    </w:p>
    <w:p w14:paraId="1DA9CFC1" w14:textId="17BDE108" w:rsidR="00FC38D9" w:rsidRPr="00B912DC"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 xml:space="preserve">Many individual chapter 11 cases are filed by attorneys who do not appear to specialize in </w:t>
      </w:r>
      <w:r>
        <w:rPr>
          <w:rFonts w:ascii="Times New Roman" w:hAnsi="Times New Roman" w:cs="Times New Roman"/>
        </w:rPr>
        <w:t>chapter 11 practice</w:t>
      </w:r>
      <w:r w:rsidRPr="00B912DC">
        <w:rPr>
          <w:rFonts w:ascii="Times New Roman" w:hAnsi="Times New Roman" w:cs="Times New Roman"/>
        </w:rPr>
        <w:t xml:space="preserve">, and we wondered whether success is correlated with attorney experience. </w:t>
      </w:r>
      <w:r w:rsidR="00D343E7">
        <w:rPr>
          <w:rFonts w:ascii="Times New Roman" w:hAnsi="Times New Roman" w:cs="Times New Roman"/>
        </w:rPr>
        <w:t>Indeed, t</w:t>
      </w:r>
      <w:r w:rsidRPr="00B912DC">
        <w:rPr>
          <w:rFonts w:ascii="Times New Roman" w:hAnsi="Times New Roman" w:cs="Times New Roman"/>
        </w:rPr>
        <w:t xml:space="preserve">he number of times </w:t>
      </w:r>
      <w:r w:rsidR="00D343E7">
        <w:rPr>
          <w:rFonts w:ascii="Times New Roman" w:hAnsi="Times New Roman" w:cs="Times New Roman"/>
        </w:rPr>
        <w:t xml:space="preserve">a </w:t>
      </w:r>
      <w:r w:rsidRPr="00B912DC">
        <w:rPr>
          <w:rFonts w:ascii="Times New Roman" w:hAnsi="Times New Roman" w:cs="Times New Roman"/>
        </w:rPr>
        <w:t>listed attorney appears in our sample strongly predict</w:t>
      </w:r>
      <w:r>
        <w:rPr>
          <w:rFonts w:ascii="Times New Roman" w:hAnsi="Times New Roman" w:cs="Times New Roman"/>
        </w:rPr>
        <w:t>s</w:t>
      </w:r>
      <w:r w:rsidRPr="00B912DC">
        <w:rPr>
          <w:rFonts w:ascii="Times New Roman" w:hAnsi="Times New Roman" w:cs="Times New Roman"/>
        </w:rPr>
        <w:t xml:space="preserve"> success.</w:t>
      </w:r>
      <w:r w:rsidRPr="00B912DC">
        <w:rPr>
          <w:rStyle w:val="FootnoteReference"/>
          <w:rFonts w:ascii="Times New Roman" w:hAnsi="Times New Roman" w:cs="Times New Roman"/>
        </w:rPr>
        <w:footnoteReference w:id="210"/>
      </w:r>
      <w:r w:rsidRPr="00B912DC">
        <w:rPr>
          <w:rFonts w:ascii="Times New Roman" w:hAnsi="Times New Roman" w:cs="Times New Roman"/>
        </w:rPr>
        <w:t xml:space="preserve"> Logit regressions</w:t>
      </w:r>
      <w:r>
        <w:rPr>
          <w:rFonts w:ascii="Times New Roman" w:hAnsi="Times New Roman" w:cs="Times New Roman"/>
        </w:rPr>
        <w:t>,</w:t>
      </w:r>
      <w:r w:rsidRPr="00B912DC">
        <w:rPr>
          <w:rFonts w:ascii="Times New Roman" w:hAnsi="Times New Roman" w:cs="Times New Roman"/>
        </w:rPr>
        <w:t xml:space="preserve"> with the number of cases as the sole explanatory variable (and pro se cases omitted)</w:t>
      </w:r>
      <w:r>
        <w:rPr>
          <w:rFonts w:ascii="Times New Roman" w:hAnsi="Times New Roman" w:cs="Times New Roman"/>
        </w:rPr>
        <w:t>,</w:t>
      </w:r>
      <w:r w:rsidRPr="00B912DC">
        <w:rPr>
          <w:rFonts w:ascii="Times New Roman" w:hAnsi="Times New Roman" w:cs="Times New Roman"/>
        </w:rPr>
        <w:t xml:space="preserve"> yield odds-ratios of 1.012 for </w:t>
      </w:r>
      <w:r w:rsidRPr="00B912DC">
        <w:rPr>
          <w:rFonts w:ascii="Times New Roman" w:hAnsi="Times New Roman" w:cs="Times New Roman"/>
          <w:i/>
        </w:rPr>
        <w:t>Success545</w:t>
      </w:r>
      <w:r w:rsidRPr="00B912DC">
        <w:rPr>
          <w:rFonts w:ascii="Times New Roman" w:hAnsi="Times New Roman" w:cs="Times New Roman"/>
        </w:rPr>
        <w:t xml:space="preserve"> and 1.013 for </w:t>
      </w:r>
      <w:r w:rsidRPr="00B912DC">
        <w:rPr>
          <w:rFonts w:ascii="Times New Roman" w:hAnsi="Times New Roman" w:cs="Times New Roman"/>
          <w:i/>
        </w:rPr>
        <w:t>Success2010</w:t>
      </w:r>
      <w:r>
        <w:rPr>
          <w:rFonts w:ascii="Times New Roman" w:hAnsi="Times New Roman" w:cs="Times New Roman"/>
          <w:i/>
        </w:rPr>
        <w:t xml:space="preserve">.  </w:t>
      </w:r>
      <w:r>
        <w:rPr>
          <w:rFonts w:ascii="Times New Roman" w:hAnsi="Times New Roman" w:cs="Times New Roman"/>
        </w:rPr>
        <w:t>B</w:t>
      </w:r>
      <w:r w:rsidRPr="00B912DC">
        <w:rPr>
          <w:rFonts w:ascii="Times New Roman" w:hAnsi="Times New Roman" w:cs="Times New Roman"/>
        </w:rPr>
        <w:t xml:space="preserve">oth are significant at the 1% level.  </w:t>
      </w:r>
    </w:p>
    <w:p w14:paraId="1693DA76" w14:textId="0C8D6B34" w:rsidR="00FC38D9"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 xml:space="preserve">The effect of </w:t>
      </w:r>
      <w:r w:rsidR="00D343E7">
        <w:rPr>
          <w:rFonts w:ascii="Times New Roman" w:hAnsi="Times New Roman" w:cs="Times New Roman"/>
        </w:rPr>
        <w:t xml:space="preserve">attorney </w:t>
      </w:r>
      <w:r w:rsidRPr="00B912DC">
        <w:rPr>
          <w:rFonts w:ascii="Times New Roman" w:hAnsi="Times New Roman" w:cs="Times New Roman"/>
        </w:rPr>
        <w:t>experience is likely to be highly non-linear; the second case that an attorney handles is likely to provide a much more valuable lesson than the thirtieth case. We</w:t>
      </w:r>
      <w:r>
        <w:rPr>
          <w:rFonts w:ascii="Times New Roman" w:hAnsi="Times New Roman" w:cs="Times New Roman"/>
        </w:rPr>
        <w:t>,</w:t>
      </w:r>
      <w:r w:rsidRPr="00B912DC">
        <w:rPr>
          <w:rFonts w:ascii="Times New Roman" w:hAnsi="Times New Roman" w:cs="Times New Roman"/>
        </w:rPr>
        <w:t xml:space="preserve"> therefore</w:t>
      </w:r>
      <w:r>
        <w:rPr>
          <w:rFonts w:ascii="Times New Roman" w:hAnsi="Times New Roman" w:cs="Times New Roman"/>
        </w:rPr>
        <w:t>,</w:t>
      </w:r>
      <w:r w:rsidRPr="00B912DC">
        <w:rPr>
          <w:rFonts w:ascii="Times New Roman" w:hAnsi="Times New Roman" w:cs="Times New Roman"/>
        </w:rPr>
        <w:t xml:space="preserve"> reran the regressions with the log of the number of cases as the sole explanatory valuable and found odds-ratios of 1.26 and 1.22</w:t>
      </w:r>
      <w:r>
        <w:rPr>
          <w:rFonts w:ascii="Times New Roman" w:hAnsi="Times New Roman" w:cs="Times New Roman"/>
        </w:rPr>
        <w:t xml:space="preserve"> for </w:t>
      </w:r>
      <w:r>
        <w:rPr>
          <w:rFonts w:ascii="Times New Roman" w:hAnsi="Times New Roman" w:cs="Times New Roman"/>
          <w:i/>
        </w:rPr>
        <w:t xml:space="preserve">Success545 </w:t>
      </w:r>
      <w:r>
        <w:rPr>
          <w:rFonts w:ascii="Times New Roman" w:hAnsi="Times New Roman" w:cs="Times New Roman"/>
        </w:rPr>
        <w:t xml:space="preserve">and </w:t>
      </w:r>
      <w:r>
        <w:rPr>
          <w:rFonts w:ascii="Times New Roman" w:hAnsi="Times New Roman" w:cs="Times New Roman"/>
          <w:i/>
        </w:rPr>
        <w:t xml:space="preserve">Success2010, </w:t>
      </w:r>
      <w:r>
        <w:rPr>
          <w:rFonts w:ascii="Times New Roman" w:hAnsi="Times New Roman" w:cs="Times New Roman"/>
        </w:rPr>
        <w:t>respectively. B</w:t>
      </w:r>
      <w:r w:rsidRPr="00B912DC">
        <w:rPr>
          <w:rFonts w:ascii="Times New Roman" w:hAnsi="Times New Roman" w:cs="Times New Roman"/>
        </w:rPr>
        <w:t xml:space="preserve">oth were again significant at the 1% level.  </w:t>
      </w:r>
    </w:p>
    <w:p w14:paraId="41308EF3" w14:textId="7CCDE93D" w:rsidR="00FC38D9" w:rsidRPr="00B912DC"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Odds-ratios are difficult to comprehend, so we also divided our attorneys into three groups: (1) those who handled only 1 or 2 cases in our sample (Low Experience); (2) those who filed three to ten cases (Mid Experience); and (3) those who filed more than ten cases</w:t>
      </w:r>
      <w:r>
        <w:rPr>
          <w:rFonts w:ascii="Times New Roman" w:hAnsi="Times New Roman" w:cs="Times New Roman"/>
        </w:rPr>
        <w:t xml:space="preserve"> </w:t>
      </w:r>
      <w:r w:rsidRPr="00B912DC">
        <w:rPr>
          <w:rFonts w:ascii="Times New Roman" w:hAnsi="Times New Roman" w:cs="Times New Roman"/>
        </w:rPr>
        <w:t>(High Experience</w:t>
      </w:r>
      <w:r>
        <w:rPr>
          <w:rFonts w:ascii="Times New Roman" w:hAnsi="Times New Roman" w:cs="Times New Roman"/>
        </w:rPr>
        <w:t>)</w:t>
      </w:r>
      <w:r w:rsidRPr="00B912DC">
        <w:rPr>
          <w:rFonts w:ascii="Times New Roman" w:hAnsi="Times New Roman" w:cs="Times New Roman"/>
        </w:rPr>
        <w:t xml:space="preserve">. Table </w:t>
      </w:r>
      <w:r w:rsidR="007603BC">
        <w:rPr>
          <w:rFonts w:ascii="Times New Roman" w:hAnsi="Times New Roman" w:cs="Times New Roman"/>
        </w:rPr>
        <w:t>43</w:t>
      </w:r>
      <w:r w:rsidRPr="00B912DC">
        <w:rPr>
          <w:rFonts w:ascii="Times New Roman" w:hAnsi="Times New Roman" w:cs="Times New Roman"/>
        </w:rPr>
        <w:t xml:space="preserve"> summarizes the differences in su</w:t>
      </w:r>
      <w:r>
        <w:rPr>
          <w:rFonts w:ascii="Times New Roman" w:hAnsi="Times New Roman" w:cs="Times New Roman"/>
        </w:rPr>
        <w:t>c</w:t>
      </w:r>
      <w:r w:rsidR="0091331A">
        <w:rPr>
          <w:rFonts w:ascii="Times New Roman" w:hAnsi="Times New Roman" w:cs="Times New Roman"/>
        </w:rPr>
        <w:t>c</w:t>
      </w:r>
      <w:r>
        <w:rPr>
          <w:rFonts w:ascii="Times New Roman" w:hAnsi="Times New Roman" w:cs="Times New Roman"/>
        </w:rPr>
        <w:t>ess</w:t>
      </w:r>
      <w:r w:rsidRPr="00B912DC">
        <w:rPr>
          <w:rFonts w:ascii="Times New Roman" w:hAnsi="Times New Roman" w:cs="Times New Roman"/>
        </w:rPr>
        <w:t xml:space="preserve"> rates depending on the </w:t>
      </w:r>
      <w:r>
        <w:rPr>
          <w:rFonts w:ascii="Times New Roman" w:hAnsi="Times New Roman" w:cs="Times New Roman"/>
        </w:rPr>
        <w:t xml:space="preserve">experience of the </w:t>
      </w:r>
      <w:r w:rsidRPr="00B912DC">
        <w:rPr>
          <w:rFonts w:ascii="Times New Roman" w:hAnsi="Times New Roman" w:cs="Times New Roman"/>
        </w:rPr>
        <w:t>debtor’s attorney</w:t>
      </w:r>
      <w:r>
        <w:rPr>
          <w:rFonts w:ascii="Times New Roman" w:hAnsi="Times New Roman" w:cs="Times New Roman"/>
        </w:rPr>
        <w:t>.</w:t>
      </w:r>
      <w:r w:rsidRPr="00B912DC">
        <w:rPr>
          <w:rFonts w:ascii="Times New Roman" w:hAnsi="Times New Roman" w:cs="Times New Roman"/>
        </w:rPr>
        <w:t xml:space="preserve"> Nearly all differences in the success rates of the various groups are statistically significant at the 1% level. The one exception is the difference in success</w:t>
      </w:r>
      <w:r w:rsidRPr="00B912DC">
        <w:rPr>
          <w:rFonts w:ascii="Times New Roman" w:hAnsi="Times New Roman" w:cs="Times New Roman"/>
          <w:i/>
        </w:rPr>
        <w:t xml:space="preserve"> </w:t>
      </w:r>
      <w:r>
        <w:rPr>
          <w:rFonts w:ascii="Times New Roman" w:hAnsi="Times New Roman" w:cs="Times New Roman"/>
        </w:rPr>
        <w:t xml:space="preserve">rates </w:t>
      </w:r>
      <w:r w:rsidRPr="00B912DC">
        <w:rPr>
          <w:rFonts w:ascii="Times New Roman" w:hAnsi="Times New Roman" w:cs="Times New Roman"/>
        </w:rPr>
        <w:t>between the m</w:t>
      </w:r>
      <w:r>
        <w:rPr>
          <w:rFonts w:ascii="Times New Roman" w:hAnsi="Times New Roman" w:cs="Times New Roman"/>
        </w:rPr>
        <w:t>id</w:t>
      </w:r>
      <w:r w:rsidR="003C6C4A">
        <w:rPr>
          <w:rFonts w:ascii="Times New Roman" w:hAnsi="Times New Roman" w:cs="Times New Roman"/>
        </w:rPr>
        <w:t>-</w:t>
      </w:r>
      <w:r w:rsidRPr="00B912DC">
        <w:rPr>
          <w:rFonts w:ascii="Times New Roman" w:hAnsi="Times New Roman" w:cs="Times New Roman"/>
        </w:rPr>
        <w:t xml:space="preserve"> and high</w:t>
      </w:r>
      <w:r>
        <w:rPr>
          <w:rFonts w:ascii="Times New Roman" w:hAnsi="Times New Roman" w:cs="Times New Roman"/>
        </w:rPr>
        <w:t>-</w:t>
      </w:r>
      <w:r w:rsidRPr="00B912DC">
        <w:rPr>
          <w:rFonts w:ascii="Times New Roman" w:hAnsi="Times New Roman" w:cs="Times New Roman"/>
        </w:rPr>
        <w:t xml:space="preserve">experience attorneys; that difference has a p-value of 0.20.  </w:t>
      </w:r>
    </w:p>
    <w:p w14:paraId="7EE8CEF3" w14:textId="2F408142" w:rsidR="00FC38D9" w:rsidRPr="00741D07" w:rsidRDefault="00FC38D9" w:rsidP="003C6C4A">
      <w:pPr>
        <w:keepNext/>
        <w:keepLines/>
        <w:spacing w:line="480" w:lineRule="auto"/>
        <w:ind w:firstLine="720"/>
        <w:jc w:val="center"/>
        <w:rPr>
          <w:rFonts w:ascii="Times New Roman" w:hAnsi="Times New Roman" w:cs="Times New Roman"/>
          <w:b/>
        </w:rPr>
      </w:pPr>
      <w:r w:rsidRPr="00741D07">
        <w:rPr>
          <w:rFonts w:ascii="Times New Roman" w:hAnsi="Times New Roman" w:cs="Times New Roman"/>
          <w:b/>
        </w:rPr>
        <w:t xml:space="preserve">Table </w:t>
      </w:r>
      <w:r w:rsidR="00D7260E" w:rsidRPr="00741D07">
        <w:rPr>
          <w:rFonts w:ascii="Times New Roman" w:hAnsi="Times New Roman" w:cs="Times New Roman"/>
          <w:b/>
        </w:rPr>
        <w:t>4</w:t>
      </w:r>
      <w:r w:rsidR="00DB4EAD">
        <w:rPr>
          <w:rFonts w:ascii="Times New Roman" w:hAnsi="Times New Roman" w:cs="Times New Roman"/>
          <w:b/>
        </w:rPr>
        <w:t>3</w:t>
      </w:r>
      <w:r w:rsidRPr="00741D07">
        <w:rPr>
          <w:rFonts w:ascii="Times New Roman" w:hAnsi="Times New Roman" w:cs="Times New Roman"/>
          <w:b/>
        </w:rPr>
        <w:t>:  Success by Attorney Representation</w:t>
      </w:r>
    </w:p>
    <w:tbl>
      <w:tblPr>
        <w:tblStyle w:val="TableGrid"/>
        <w:tblW w:w="0" w:type="auto"/>
        <w:tblLook w:val="04A0" w:firstRow="1" w:lastRow="0" w:firstColumn="1" w:lastColumn="0" w:noHBand="0" w:noVBand="1"/>
      </w:tblPr>
      <w:tblGrid>
        <w:gridCol w:w="2869"/>
        <w:gridCol w:w="2871"/>
        <w:gridCol w:w="2877"/>
      </w:tblGrid>
      <w:tr w:rsidR="00FC38D9" w:rsidRPr="00B912DC" w14:paraId="2199831A" w14:textId="77777777" w:rsidTr="00DB4EAD">
        <w:tc>
          <w:tcPr>
            <w:tcW w:w="2952" w:type="dxa"/>
            <w:vMerge w:val="restart"/>
            <w:tcBorders>
              <w:top w:val="nil"/>
              <w:left w:val="nil"/>
              <w:right w:val="single" w:sz="18" w:space="0" w:color="auto"/>
            </w:tcBorders>
          </w:tcPr>
          <w:p w14:paraId="445835D7" w14:textId="77777777" w:rsidR="00FC38D9" w:rsidRPr="00B912DC" w:rsidRDefault="00FC38D9" w:rsidP="003C6C4A">
            <w:pPr>
              <w:keepNext/>
              <w:keepLines/>
              <w:jc w:val="center"/>
              <w:rPr>
                <w:rFonts w:ascii="Times New Roman" w:hAnsi="Times New Roman" w:cs="Times New Roman"/>
              </w:rPr>
            </w:pPr>
          </w:p>
        </w:tc>
        <w:tc>
          <w:tcPr>
            <w:tcW w:w="2952" w:type="dxa"/>
            <w:tcBorders>
              <w:top w:val="single" w:sz="18" w:space="0" w:color="auto"/>
              <w:left w:val="single" w:sz="18" w:space="0" w:color="auto"/>
              <w:bottom w:val="single" w:sz="18" w:space="0" w:color="auto"/>
              <w:right w:val="single" w:sz="18" w:space="0" w:color="auto"/>
            </w:tcBorders>
          </w:tcPr>
          <w:p w14:paraId="071652CC" w14:textId="77777777" w:rsidR="00FC38D9" w:rsidRPr="00B912DC" w:rsidRDefault="00FC38D9" w:rsidP="003C6C4A">
            <w:pPr>
              <w:keepNext/>
              <w:keepLines/>
              <w:jc w:val="center"/>
              <w:rPr>
                <w:rFonts w:ascii="Times New Roman" w:hAnsi="Times New Roman" w:cs="Times New Roman"/>
              </w:rPr>
            </w:pPr>
            <w:r w:rsidRPr="00B912DC">
              <w:rPr>
                <w:rFonts w:ascii="Times New Roman" w:hAnsi="Times New Roman" w:cs="Times New Roman"/>
              </w:rPr>
              <w:t>Success545</w:t>
            </w:r>
          </w:p>
        </w:tc>
        <w:tc>
          <w:tcPr>
            <w:tcW w:w="2952" w:type="dxa"/>
            <w:tcBorders>
              <w:top w:val="single" w:sz="18" w:space="0" w:color="auto"/>
              <w:left w:val="single" w:sz="18" w:space="0" w:color="auto"/>
              <w:bottom w:val="single" w:sz="18" w:space="0" w:color="auto"/>
              <w:right w:val="single" w:sz="18" w:space="0" w:color="auto"/>
            </w:tcBorders>
          </w:tcPr>
          <w:p w14:paraId="7E731FD7" w14:textId="77777777" w:rsidR="00FC38D9" w:rsidRPr="00B912DC" w:rsidRDefault="00FC38D9" w:rsidP="003C6C4A">
            <w:pPr>
              <w:keepNext/>
              <w:keepLines/>
              <w:jc w:val="center"/>
              <w:rPr>
                <w:rFonts w:ascii="Times New Roman" w:hAnsi="Times New Roman" w:cs="Times New Roman"/>
              </w:rPr>
            </w:pPr>
            <w:r w:rsidRPr="00B912DC">
              <w:rPr>
                <w:rFonts w:ascii="Times New Roman" w:hAnsi="Times New Roman" w:cs="Times New Roman"/>
              </w:rPr>
              <w:t>Success2010</w:t>
            </w:r>
          </w:p>
        </w:tc>
      </w:tr>
      <w:tr w:rsidR="00FC38D9" w:rsidRPr="00B912DC" w14:paraId="7D4291C5" w14:textId="77777777" w:rsidTr="00DB4EAD">
        <w:tc>
          <w:tcPr>
            <w:tcW w:w="2952" w:type="dxa"/>
            <w:vMerge/>
            <w:tcBorders>
              <w:left w:val="nil"/>
              <w:bottom w:val="single" w:sz="18" w:space="0" w:color="auto"/>
              <w:right w:val="single" w:sz="18" w:space="0" w:color="auto"/>
            </w:tcBorders>
          </w:tcPr>
          <w:p w14:paraId="19474A00" w14:textId="77777777" w:rsidR="00FC38D9" w:rsidRPr="00B912DC" w:rsidRDefault="00FC38D9" w:rsidP="003C6C4A">
            <w:pPr>
              <w:keepNext/>
              <w:keepLines/>
              <w:jc w:val="center"/>
              <w:rPr>
                <w:rFonts w:ascii="Times New Roman" w:hAnsi="Times New Roman" w:cs="Times New Roman"/>
              </w:rPr>
            </w:pPr>
          </w:p>
        </w:tc>
        <w:tc>
          <w:tcPr>
            <w:tcW w:w="2952" w:type="dxa"/>
            <w:tcBorders>
              <w:top w:val="single" w:sz="18" w:space="0" w:color="auto"/>
              <w:left w:val="single" w:sz="18" w:space="0" w:color="auto"/>
              <w:bottom w:val="single" w:sz="18" w:space="0" w:color="auto"/>
              <w:right w:val="single" w:sz="18" w:space="0" w:color="auto"/>
            </w:tcBorders>
          </w:tcPr>
          <w:p w14:paraId="5EEE9566" w14:textId="77777777" w:rsidR="00FC38D9" w:rsidRPr="00B912DC" w:rsidRDefault="00FC38D9" w:rsidP="003C6C4A">
            <w:pPr>
              <w:keepNext/>
              <w:keepLines/>
              <w:jc w:val="center"/>
              <w:rPr>
                <w:rFonts w:ascii="Times New Roman" w:hAnsi="Times New Roman" w:cs="Times New Roman"/>
              </w:rPr>
            </w:pPr>
            <w:r w:rsidRPr="00B912DC">
              <w:rPr>
                <w:rFonts w:ascii="Times New Roman" w:hAnsi="Times New Roman" w:cs="Times New Roman"/>
              </w:rPr>
              <w:t>Mean (# cases)</w:t>
            </w:r>
          </w:p>
        </w:tc>
        <w:tc>
          <w:tcPr>
            <w:tcW w:w="2952" w:type="dxa"/>
            <w:tcBorders>
              <w:top w:val="single" w:sz="18" w:space="0" w:color="auto"/>
              <w:left w:val="single" w:sz="18" w:space="0" w:color="auto"/>
              <w:bottom w:val="single" w:sz="18" w:space="0" w:color="auto"/>
              <w:right w:val="single" w:sz="18" w:space="0" w:color="auto"/>
            </w:tcBorders>
          </w:tcPr>
          <w:p w14:paraId="01E65B20" w14:textId="77777777" w:rsidR="00FC38D9" w:rsidRPr="00B912DC" w:rsidRDefault="00FC38D9" w:rsidP="003C6C4A">
            <w:pPr>
              <w:keepNext/>
              <w:keepLines/>
              <w:jc w:val="center"/>
              <w:rPr>
                <w:rFonts w:ascii="Times New Roman" w:hAnsi="Times New Roman" w:cs="Times New Roman"/>
              </w:rPr>
            </w:pPr>
            <w:r w:rsidRPr="00B912DC">
              <w:rPr>
                <w:rFonts w:ascii="Times New Roman" w:hAnsi="Times New Roman" w:cs="Times New Roman"/>
              </w:rPr>
              <w:t>Mean (# cases)</w:t>
            </w:r>
          </w:p>
        </w:tc>
      </w:tr>
      <w:tr w:rsidR="00FC38D9" w:rsidRPr="00B912DC" w14:paraId="6E53DD62" w14:textId="77777777" w:rsidTr="00DB4EAD">
        <w:tc>
          <w:tcPr>
            <w:tcW w:w="2952" w:type="dxa"/>
            <w:tcBorders>
              <w:top w:val="single" w:sz="18" w:space="0" w:color="auto"/>
              <w:right w:val="single" w:sz="18" w:space="0" w:color="auto"/>
            </w:tcBorders>
          </w:tcPr>
          <w:p w14:paraId="7DDF26C7" w14:textId="77777777" w:rsidR="00FC38D9" w:rsidRPr="00B912DC" w:rsidRDefault="00FC38D9" w:rsidP="003C6C4A">
            <w:pPr>
              <w:keepNext/>
              <w:keepLines/>
              <w:jc w:val="center"/>
              <w:rPr>
                <w:rFonts w:ascii="Times New Roman" w:hAnsi="Times New Roman" w:cs="Times New Roman"/>
              </w:rPr>
            </w:pPr>
            <w:r w:rsidRPr="00B912DC">
              <w:rPr>
                <w:rFonts w:ascii="Times New Roman" w:hAnsi="Times New Roman" w:cs="Times New Roman"/>
              </w:rPr>
              <w:t>Pro se</w:t>
            </w:r>
          </w:p>
        </w:tc>
        <w:tc>
          <w:tcPr>
            <w:tcW w:w="2952" w:type="dxa"/>
            <w:tcBorders>
              <w:top w:val="single" w:sz="18" w:space="0" w:color="auto"/>
              <w:left w:val="single" w:sz="18" w:space="0" w:color="auto"/>
              <w:right w:val="single" w:sz="18" w:space="0" w:color="auto"/>
            </w:tcBorders>
          </w:tcPr>
          <w:p w14:paraId="74DFACEE" w14:textId="77777777" w:rsidR="00FC38D9" w:rsidRPr="00B912DC" w:rsidRDefault="00FC38D9" w:rsidP="003C6C4A">
            <w:pPr>
              <w:keepNext/>
              <w:keepLines/>
              <w:jc w:val="center"/>
              <w:rPr>
                <w:rFonts w:ascii="Times New Roman" w:hAnsi="Times New Roman" w:cs="Times New Roman"/>
              </w:rPr>
            </w:pPr>
            <w:r w:rsidRPr="00B912DC">
              <w:rPr>
                <w:rFonts w:ascii="Times New Roman" w:hAnsi="Times New Roman" w:cs="Times New Roman"/>
              </w:rPr>
              <w:t>17.22% (546)</w:t>
            </w:r>
          </w:p>
        </w:tc>
        <w:tc>
          <w:tcPr>
            <w:tcW w:w="2952" w:type="dxa"/>
            <w:tcBorders>
              <w:top w:val="single" w:sz="18" w:space="0" w:color="auto"/>
              <w:left w:val="single" w:sz="18" w:space="0" w:color="auto"/>
              <w:right w:val="single" w:sz="18" w:space="0" w:color="auto"/>
            </w:tcBorders>
          </w:tcPr>
          <w:p w14:paraId="43FA246A" w14:textId="77777777" w:rsidR="00FC38D9" w:rsidRPr="00B912DC" w:rsidRDefault="00FC38D9" w:rsidP="003C6C4A">
            <w:pPr>
              <w:keepNext/>
              <w:keepLines/>
              <w:jc w:val="center"/>
              <w:rPr>
                <w:rFonts w:ascii="Times New Roman" w:hAnsi="Times New Roman" w:cs="Times New Roman"/>
              </w:rPr>
            </w:pPr>
            <w:r w:rsidRPr="00B912DC">
              <w:rPr>
                <w:rFonts w:ascii="Times New Roman" w:hAnsi="Times New Roman" w:cs="Times New Roman"/>
              </w:rPr>
              <w:t>9.38% (352)</w:t>
            </w:r>
          </w:p>
        </w:tc>
      </w:tr>
      <w:tr w:rsidR="00FC38D9" w:rsidRPr="00B912DC" w14:paraId="7C8798B6" w14:textId="77777777" w:rsidTr="00DB4EAD">
        <w:tc>
          <w:tcPr>
            <w:tcW w:w="2952" w:type="dxa"/>
            <w:tcBorders>
              <w:right w:val="single" w:sz="18" w:space="0" w:color="auto"/>
            </w:tcBorders>
          </w:tcPr>
          <w:p w14:paraId="2260E181" w14:textId="77777777" w:rsidR="00FC38D9" w:rsidRPr="00B912DC" w:rsidRDefault="00FC38D9" w:rsidP="003C6C4A">
            <w:pPr>
              <w:keepNext/>
              <w:keepLines/>
              <w:jc w:val="center"/>
              <w:rPr>
                <w:rFonts w:ascii="Times New Roman" w:hAnsi="Times New Roman" w:cs="Times New Roman"/>
              </w:rPr>
            </w:pPr>
            <w:r w:rsidRPr="00B912DC">
              <w:rPr>
                <w:rFonts w:ascii="Times New Roman" w:hAnsi="Times New Roman" w:cs="Times New Roman"/>
              </w:rPr>
              <w:t>Low Experience (1-2)</w:t>
            </w:r>
          </w:p>
        </w:tc>
        <w:tc>
          <w:tcPr>
            <w:tcW w:w="2952" w:type="dxa"/>
            <w:tcBorders>
              <w:left w:val="single" w:sz="18" w:space="0" w:color="auto"/>
              <w:right w:val="single" w:sz="18" w:space="0" w:color="auto"/>
            </w:tcBorders>
          </w:tcPr>
          <w:p w14:paraId="79B7D0BA" w14:textId="77777777" w:rsidR="00FC38D9" w:rsidRPr="00B912DC" w:rsidRDefault="00FC38D9" w:rsidP="003C6C4A">
            <w:pPr>
              <w:keepNext/>
              <w:keepLines/>
              <w:jc w:val="center"/>
              <w:rPr>
                <w:rFonts w:ascii="Times New Roman" w:hAnsi="Times New Roman" w:cs="Times New Roman"/>
              </w:rPr>
            </w:pPr>
            <w:r w:rsidRPr="00B912DC">
              <w:rPr>
                <w:rFonts w:ascii="Times New Roman" w:hAnsi="Times New Roman" w:cs="Times New Roman"/>
              </w:rPr>
              <w:t>45.35% (2,538)</w:t>
            </w:r>
          </w:p>
        </w:tc>
        <w:tc>
          <w:tcPr>
            <w:tcW w:w="2952" w:type="dxa"/>
            <w:tcBorders>
              <w:left w:val="single" w:sz="18" w:space="0" w:color="auto"/>
              <w:right w:val="single" w:sz="18" w:space="0" w:color="auto"/>
            </w:tcBorders>
          </w:tcPr>
          <w:p w14:paraId="1BCF589F" w14:textId="77777777" w:rsidR="00FC38D9" w:rsidRPr="00B912DC" w:rsidRDefault="00FC38D9" w:rsidP="003C6C4A">
            <w:pPr>
              <w:keepNext/>
              <w:keepLines/>
              <w:jc w:val="center"/>
              <w:rPr>
                <w:rFonts w:ascii="Times New Roman" w:hAnsi="Times New Roman" w:cs="Times New Roman"/>
              </w:rPr>
            </w:pPr>
            <w:r w:rsidRPr="00B912DC">
              <w:rPr>
                <w:rFonts w:ascii="Times New Roman" w:hAnsi="Times New Roman" w:cs="Times New Roman"/>
              </w:rPr>
              <w:t>29.10% (1,543)</w:t>
            </w:r>
          </w:p>
        </w:tc>
      </w:tr>
      <w:tr w:rsidR="00FC38D9" w:rsidRPr="00B912DC" w14:paraId="3772779C" w14:textId="77777777" w:rsidTr="00DB4EAD">
        <w:tc>
          <w:tcPr>
            <w:tcW w:w="2952" w:type="dxa"/>
            <w:tcBorders>
              <w:right w:val="single" w:sz="18" w:space="0" w:color="auto"/>
            </w:tcBorders>
          </w:tcPr>
          <w:p w14:paraId="78FA6CDC" w14:textId="77777777" w:rsidR="00FC38D9" w:rsidRPr="00B912DC" w:rsidRDefault="00FC38D9" w:rsidP="003C6C4A">
            <w:pPr>
              <w:keepNext/>
              <w:keepLines/>
              <w:jc w:val="center"/>
              <w:rPr>
                <w:rFonts w:ascii="Times New Roman" w:hAnsi="Times New Roman" w:cs="Times New Roman"/>
              </w:rPr>
            </w:pPr>
            <w:r w:rsidRPr="00B912DC">
              <w:rPr>
                <w:rFonts w:ascii="Times New Roman" w:hAnsi="Times New Roman" w:cs="Times New Roman"/>
              </w:rPr>
              <w:t>Mid Experience (3-10)</w:t>
            </w:r>
          </w:p>
        </w:tc>
        <w:tc>
          <w:tcPr>
            <w:tcW w:w="2952" w:type="dxa"/>
            <w:tcBorders>
              <w:left w:val="single" w:sz="18" w:space="0" w:color="auto"/>
              <w:right w:val="single" w:sz="18" w:space="0" w:color="auto"/>
            </w:tcBorders>
          </w:tcPr>
          <w:p w14:paraId="3A2F1FBF" w14:textId="77777777" w:rsidR="00FC38D9" w:rsidRPr="00B912DC" w:rsidRDefault="00FC38D9" w:rsidP="003C6C4A">
            <w:pPr>
              <w:keepNext/>
              <w:keepLines/>
              <w:jc w:val="center"/>
              <w:rPr>
                <w:rFonts w:ascii="Times New Roman" w:hAnsi="Times New Roman" w:cs="Times New Roman"/>
              </w:rPr>
            </w:pPr>
            <w:r w:rsidRPr="00B912DC">
              <w:rPr>
                <w:rFonts w:ascii="Times New Roman" w:hAnsi="Times New Roman" w:cs="Times New Roman"/>
              </w:rPr>
              <w:t>54.56% (2,399)</w:t>
            </w:r>
          </w:p>
        </w:tc>
        <w:tc>
          <w:tcPr>
            <w:tcW w:w="2952" w:type="dxa"/>
            <w:tcBorders>
              <w:left w:val="single" w:sz="18" w:space="0" w:color="auto"/>
              <w:right w:val="single" w:sz="18" w:space="0" w:color="auto"/>
            </w:tcBorders>
          </w:tcPr>
          <w:p w14:paraId="3CE1A48D" w14:textId="77777777" w:rsidR="00FC38D9" w:rsidRPr="00B912DC" w:rsidRDefault="00FC38D9" w:rsidP="003C6C4A">
            <w:pPr>
              <w:keepNext/>
              <w:keepLines/>
              <w:jc w:val="center"/>
              <w:rPr>
                <w:rFonts w:ascii="Times New Roman" w:hAnsi="Times New Roman" w:cs="Times New Roman"/>
              </w:rPr>
            </w:pPr>
            <w:r w:rsidRPr="00B912DC">
              <w:rPr>
                <w:rFonts w:ascii="Times New Roman" w:hAnsi="Times New Roman" w:cs="Times New Roman"/>
              </w:rPr>
              <w:t>37.79% (1,405)</w:t>
            </w:r>
          </w:p>
        </w:tc>
      </w:tr>
      <w:tr w:rsidR="00FC38D9" w:rsidRPr="00B912DC" w14:paraId="4BC33844" w14:textId="77777777" w:rsidTr="00DB4EAD">
        <w:tc>
          <w:tcPr>
            <w:tcW w:w="2952" w:type="dxa"/>
            <w:tcBorders>
              <w:right w:val="single" w:sz="18" w:space="0" w:color="auto"/>
            </w:tcBorders>
          </w:tcPr>
          <w:p w14:paraId="3D6372F7" w14:textId="77777777" w:rsidR="00FC38D9" w:rsidRPr="00B912DC" w:rsidRDefault="00FC38D9" w:rsidP="003C6C4A">
            <w:pPr>
              <w:keepNext/>
              <w:keepLines/>
              <w:jc w:val="center"/>
              <w:rPr>
                <w:rFonts w:ascii="Times New Roman" w:hAnsi="Times New Roman" w:cs="Times New Roman"/>
              </w:rPr>
            </w:pPr>
            <w:r w:rsidRPr="00B912DC">
              <w:rPr>
                <w:rFonts w:ascii="Times New Roman" w:hAnsi="Times New Roman" w:cs="Times New Roman"/>
              </w:rPr>
              <w:t>High Experience (11+)</w:t>
            </w:r>
          </w:p>
        </w:tc>
        <w:tc>
          <w:tcPr>
            <w:tcW w:w="2952" w:type="dxa"/>
            <w:tcBorders>
              <w:left w:val="single" w:sz="18" w:space="0" w:color="auto"/>
              <w:right w:val="single" w:sz="18" w:space="0" w:color="auto"/>
            </w:tcBorders>
          </w:tcPr>
          <w:p w14:paraId="2B3E38A9" w14:textId="77777777" w:rsidR="00FC38D9" w:rsidRPr="00B912DC" w:rsidRDefault="00FC38D9" w:rsidP="003C6C4A">
            <w:pPr>
              <w:keepNext/>
              <w:keepLines/>
              <w:jc w:val="center"/>
              <w:rPr>
                <w:rFonts w:ascii="Times New Roman" w:hAnsi="Times New Roman" w:cs="Times New Roman"/>
              </w:rPr>
            </w:pPr>
            <w:r w:rsidRPr="00B912DC">
              <w:rPr>
                <w:rFonts w:ascii="Times New Roman" w:hAnsi="Times New Roman" w:cs="Times New Roman"/>
              </w:rPr>
              <w:t>62.47% (739)</w:t>
            </w:r>
          </w:p>
        </w:tc>
        <w:tc>
          <w:tcPr>
            <w:tcW w:w="2952" w:type="dxa"/>
            <w:tcBorders>
              <w:left w:val="single" w:sz="18" w:space="0" w:color="auto"/>
              <w:right w:val="single" w:sz="18" w:space="0" w:color="auto"/>
            </w:tcBorders>
          </w:tcPr>
          <w:p w14:paraId="0D107773" w14:textId="77777777" w:rsidR="00FC38D9" w:rsidRPr="00B912DC" w:rsidRDefault="00FC38D9" w:rsidP="003C6C4A">
            <w:pPr>
              <w:keepNext/>
              <w:keepLines/>
              <w:jc w:val="center"/>
              <w:rPr>
                <w:rFonts w:ascii="Times New Roman" w:hAnsi="Times New Roman" w:cs="Times New Roman"/>
              </w:rPr>
            </w:pPr>
            <w:r w:rsidRPr="00B912DC">
              <w:rPr>
                <w:rFonts w:ascii="Times New Roman" w:hAnsi="Times New Roman" w:cs="Times New Roman"/>
              </w:rPr>
              <w:t>40.59% (749)</w:t>
            </w:r>
          </w:p>
        </w:tc>
      </w:tr>
    </w:tbl>
    <w:p w14:paraId="1B52591B" w14:textId="77777777" w:rsidR="00FC38D9" w:rsidRPr="00B912DC" w:rsidRDefault="00FC38D9" w:rsidP="00FC38D9">
      <w:pPr>
        <w:spacing w:line="480" w:lineRule="auto"/>
        <w:rPr>
          <w:rFonts w:ascii="Times New Roman" w:hAnsi="Times New Roman" w:cs="Times New Roman"/>
        </w:rPr>
      </w:pPr>
    </w:p>
    <w:p w14:paraId="41311077" w14:textId="74E7B72D" w:rsidR="00FC38D9"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Cases are not randomly assigned to attorneys</w:t>
      </w:r>
      <w:r>
        <w:rPr>
          <w:rFonts w:ascii="Times New Roman" w:hAnsi="Times New Roman" w:cs="Times New Roman"/>
        </w:rPr>
        <w:t xml:space="preserve">. As a result, our findings do not necessarily mean that </w:t>
      </w:r>
      <w:r w:rsidRPr="00B912DC">
        <w:rPr>
          <w:rFonts w:ascii="Times New Roman" w:hAnsi="Times New Roman" w:cs="Times New Roman"/>
        </w:rPr>
        <w:t xml:space="preserve">attorneys who rarely file individual chapter 11 cases are less competent than those who handle them on a regular basis. </w:t>
      </w:r>
      <w:r>
        <w:rPr>
          <w:rFonts w:ascii="Times New Roman" w:hAnsi="Times New Roman" w:cs="Times New Roman"/>
        </w:rPr>
        <w:t>Instead, d</w:t>
      </w:r>
      <w:r w:rsidRPr="00B912DC">
        <w:rPr>
          <w:rFonts w:ascii="Times New Roman" w:hAnsi="Times New Roman" w:cs="Times New Roman"/>
        </w:rPr>
        <w:t xml:space="preserve">ebtors who are more likely to succeed may seek out more experienced attorneys, and individuals may be more likely to file under chapter 11 (and, hence, attorneys will gain more experience) if the district has adopted rules and practices that make success more likely. The paucity of information that we have about the </w:t>
      </w:r>
      <w:r>
        <w:rPr>
          <w:rFonts w:ascii="Times New Roman" w:hAnsi="Times New Roman" w:cs="Times New Roman"/>
        </w:rPr>
        <w:t xml:space="preserve">PACER </w:t>
      </w:r>
      <w:r w:rsidRPr="00B912DC">
        <w:rPr>
          <w:rFonts w:ascii="Times New Roman" w:hAnsi="Times New Roman" w:cs="Times New Roman"/>
        </w:rPr>
        <w:t>cases prevents us from completely separating the treatment and selection effects</w:t>
      </w:r>
      <w:r>
        <w:rPr>
          <w:rFonts w:ascii="Times New Roman" w:hAnsi="Times New Roman" w:cs="Times New Roman"/>
        </w:rPr>
        <w:t xml:space="preserve">; we </w:t>
      </w:r>
      <w:r w:rsidRPr="00B912DC">
        <w:rPr>
          <w:rFonts w:ascii="Times New Roman" w:hAnsi="Times New Roman" w:cs="Times New Roman"/>
        </w:rPr>
        <w:t xml:space="preserve">mitigate </w:t>
      </w:r>
      <w:r w:rsidR="00F24F7D">
        <w:rPr>
          <w:rFonts w:ascii="Times New Roman" w:hAnsi="Times New Roman" w:cs="Times New Roman"/>
        </w:rPr>
        <w:t xml:space="preserve">(but do not completely solve) </w:t>
      </w:r>
      <w:r w:rsidRPr="00B912DC">
        <w:rPr>
          <w:rFonts w:ascii="Times New Roman" w:hAnsi="Times New Roman" w:cs="Times New Roman"/>
        </w:rPr>
        <w:t>th</w:t>
      </w:r>
      <w:r>
        <w:rPr>
          <w:rFonts w:ascii="Times New Roman" w:hAnsi="Times New Roman" w:cs="Times New Roman"/>
        </w:rPr>
        <w:t>is</w:t>
      </w:r>
      <w:r w:rsidRPr="00B912DC">
        <w:rPr>
          <w:rFonts w:ascii="Times New Roman" w:hAnsi="Times New Roman" w:cs="Times New Roman"/>
        </w:rPr>
        <w:t xml:space="preserve"> problem through regression analysis</w:t>
      </w:r>
      <w:r>
        <w:rPr>
          <w:rFonts w:ascii="Times New Roman" w:hAnsi="Times New Roman" w:cs="Times New Roman"/>
        </w:rPr>
        <w:t xml:space="preserve"> and present the </w:t>
      </w:r>
      <w:r w:rsidR="00B915BD">
        <w:rPr>
          <w:rFonts w:ascii="Times New Roman" w:hAnsi="Times New Roman" w:cs="Times New Roman"/>
        </w:rPr>
        <w:t>results</w:t>
      </w:r>
      <w:r w:rsidRPr="00B912DC">
        <w:rPr>
          <w:rFonts w:ascii="Times New Roman" w:hAnsi="Times New Roman" w:cs="Times New Roman"/>
          <w:i/>
        </w:rPr>
        <w:t xml:space="preserve"> </w:t>
      </w:r>
      <w:r>
        <w:rPr>
          <w:rFonts w:ascii="Times New Roman" w:hAnsi="Times New Roman" w:cs="Times New Roman"/>
        </w:rPr>
        <w:t>in</w:t>
      </w:r>
      <w:r w:rsidRPr="00B912DC">
        <w:rPr>
          <w:rFonts w:ascii="Times New Roman" w:hAnsi="Times New Roman" w:cs="Times New Roman"/>
        </w:rPr>
        <w:t xml:space="preserve"> Table</w:t>
      </w:r>
      <w:r w:rsidR="00B915BD">
        <w:rPr>
          <w:rFonts w:ascii="Times New Roman" w:hAnsi="Times New Roman" w:cs="Times New Roman"/>
        </w:rPr>
        <w:t xml:space="preserve"> 45</w:t>
      </w:r>
      <w:r w:rsidR="0024005B">
        <w:rPr>
          <w:rFonts w:ascii="Times New Roman" w:hAnsi="Times New Roman" w:cs="Times New Roman"/>
        </w:rPr>
        <w:t xml:space="preserve"> below</w:t>
      </w:r>
      <w:r w:rsidR="00A64CB2" w:rsidRPr="00B912DC">
        <w:rPr>
          <w:rFonts w:ascii="Times New Roman" w:hAnsi="Times New Roman" w:cs="Times New Roman"/>
        </w:rPr>
        <w:t xml:space="preserve">. </w:t>
      </w:r>
    </w:p>
    <w:p w14:paraId="675CFBA8" w14:textId="49F82E85" w:rsidR="0024005B" w:rsidRDefault="00FC38D9" w:rsidP="00FC38D9">
      <w:pPr>
        <w:spacing w:line="480" w:lineRule="auto"/>
        <w:ind w:firstLine="720"/>
        <w:rPr>
          <w:rFonts w:ascii="Times New Roman" w:hAnsi="Times New Roman" w:cs="Times New Roman"/>
        </w:rPr>
      </w:pPr>
      <w:r>
        <w:rPr>
          <w:rFonts w:ascii="Times New Roman" w:hAnsi="Times New Roman" w:cs="Times New Roman"/>
        </w:rPr>
        <w:t xml:space="preserve">The final variable we examined using the PACER case report data was the jurisdiction’s precedent, if any, on application of the absolute priority rule to individual chapter 11 cases. </w:t>
      </w:r>
      <w:r w:rsidRPr="00B912DC">
        <w:rPr>
          <w:rFonts w:ascii="Times New Roman" w:hAnsi="Times New Roman" w:cs="Times New Roman"/>
        </w:rPr>
        <w:t>Courts have split as to the proper interpretation of the exception that protects individual</w:t>
      </w:r>
      <w:r>
        <w:rPr>
          <w:rFonts w:ascii="Times New Roman" w:hAnsi="Times New Roman" w:cs="Times New Roman"/>
        </w:rPr>
        <w:t xml:space="preserve"> debtor</w:t>
      </w:r>
      <w:r w:rsidRPr="00B912DC">
        <w:rPr>
          <w:rFonts w:ascii="Times New Roman" w:hAnsi="Times New Roman" w:cs="Times New Roman"/>
        </w:rPr>
        <w:t>s from the full force of the absolute priority rule</w:t>
      </w:r>
      <w:r>
        <w:rPr>
          <w:rFonts w:ascii="Times New Roman" w:hAnsi="Times New Roman" w:cs="Times New Roman"/>
        </w:rPr>
        <w:t xml:space="preserve"> (“APR”)</w:t>
      </w:r>
      <w:r w:rsidRPr="00B912DC">
        <w:rPr>
          <w:rFonts w:ascii="Times New Roman" w:hAnsi="Times New Roman" w:cs="Times New Roman"/>
        </w:rPr>
        <w:t xml:space="preserve">.  </w:t>
      </w:r>
    </w:p>
    <w:p w14:paraId="17A76CE5" w14:textId="1C56CFF5" w:rsidR="00FA4FB3" w:rsidRDefault="00FA4FB3" w:rsidP="00FC38D9">
      <w:pPr>
        <w:spacing w:line="480" w:lineRule="auto"/>
        <w:ind w:firstLine="720"/>
        <w:rPr>
          <w:rFonts w:ascii="Times New Roman" w:hAnsi="Times New Roman" w:cs="Times New Roman"/>
        </w:rPr>
      </w:pPr>
      <w:r w:rsidRPr="00FD7142">
        <w:rPr>
          <w:rFonts w:ascii="Times New Roman" w:hAnsi="Times New Roman" w:cs="Times New Roman"/>
        </w:rPr>
        <w:t>The absolute priority rule requires that a junior class of claims or interests receive no part of the estate if a senior objecting class is not paid in full.</w:t>
      </w:r>
      <w:r w:rsidRPr="00FD7142">
        <w:rPr>
          <w:rStyle w:val="FootnoteReference"/>
          <w:rFonts w:ascii="Times New Roman" w:hAnsi="Times New Roman" w:cs="Times New Roman"/>
        </w:rPr>
        <w:footnoteReference w:id="211"/>
      </w:r>
      <w:r w:rsidRPr="00FD7142">
        <w:rPr>
          <w:rFonts w:ascii="Times New Roman" w:hAnsi="Times New Roman" w:cs="Times New Roman"/>
        </w:rPr>
        <w:t xml:space="preserve"> Whether, and how, the rule applies to individual debtors in chapter 11 became a significant issue following two amendments </w:t>
      </w:r>
      <w:r w:rsidR="00DC4216">
        <w:rPr>
          <w:rFonts w:ascii="Times New Roman" w:hAnsi="Times New Roman" w:cs="Times New Roman"/>
        </w:rPr>
        <w:t xml:space="preserve">to the Code </w:t>
      </w:r>
      <w:r w:rsidRPr="00FD7142">
        <w:rPr>
          <w:rFonts w:ascii="Times New Roman" w:hAnsi="Times New Roman" w:cs="Times New Roman"/>
        </w:rPr>
        <w:t>in 2005. First, language was added to the subsection setting out the rule: “except that in a case in which the debtor is an individual, the debtor may retain property included in the estate under section 1115, subject to the requirements of subsection (a)(14) of this section.”</w:t>
      </w:r>
      <w:r w:rsidRPr="00FD7142">
        <w:rPr>
          <w:rStyle w:val="FootnoteReference"/>
          <w:rFonts w:ascii="Times New Roman" w:hAnsi="Times New Roman" w:cs="Times New Roman"/>
        </w:rPr>
        <w:footnoteReference w:id="212"/>
      </w:r>
      <w:r w:rsidRPr="00FD7142">
        <w:rPr>
          <w:rFonts w:ascii="Times New Roman" w:hAnsi="Times New Roman" w:cs="Times New Roman"/>
        </w:rPr>
        <w:t xml:space="preserve"> Second, the amendments added § 1115, which defines property of the individual debtor’s bankruptcy estate to include postpetition earnings, “in addition to the property specified in section 541.”</w:t>
      </w:r>
      <w:r w:rsidRPr="00FD7142">
        <w:rPr>
          <w:rStyle w:val="FootnoteReference"/>
          <w:rFonts w:ascii="Times New Roman" w:hAnsi="Times New Roman" w:cs="Times New Roman"/>
        </w:rPr>
        <w:footnoteReference w:id="213"/>
      </w:r>
      <w:r w:rsidRPr="00FD7142">
        <w:rPr>
          <w:rFonts w:ascii="Times New Roman" w:hAnsi="Times New Roman" w:cs="Times New Roman"/>
        </w:rPr>
        <w:t xml:space="preserve"> The question is whether these amendments </w:t>
      </w:r>
      <w:r w:rsidRPr="00FD7142">
        <w:rPr>
          <w:rFonts w:ascii="Times New Roman" w:hAnsi="Times New Roman" w:cs="Times New Roman"/>
          <w:color w:val="000000"/>
        </w:rPr>
        <w:t xml:space="preserve">implicitly repealed the absolute priority rule with respect to individual chapter 11 cases. More specifically, the </w:t>
      </w:r>
      <w:r w:rsidRPr="00FD7142">
        <w:rPr>
          <w:rFonts w:ascii="Times New Roman" w:hAnsi="Times New Roman" w:cs="Times New Roman"/>
        </w:rPr>
        <w:t>issue is whether “all property . . . specified in section 541” and retained by the individual chapter 11 debtor under § 1115(a) refers to all of the property in the estate, or only to a portion of that property.</w:t>
      </w:r>
    </w:p>
    <w:p w14:paraId="12516CCA" w14:textId="0EAD2E59" w:rsidR="00FC38D9" w:rsidRPr="00B912DC"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Most courts (and all circuit courts) that have addressed the issue have adopted a “narrow” interpretation that only shields income earned aft</w:t>
      </w:r>
      <w:r w:rsidR="00DC4216">
        <w:rPr>
          <w:rFonts w:ascii="Times New Roman" w:hAnsi="Times New Roman" w:cs="Times New Roman"/>
        </w:rPr>
        <w:t xml:space="preserve">er the filing of the petition. </w:t>
      </w:r>
      <w:r w:rsidRPr="00B912DC">
        <w:rPr>
          <w:rFonts w:ascii="Times New Roman" w:hAnsi="Times New Roman" w:cs="Times New Roman"/>
        </w:rPr>
        <w:t>Some courts, however, have adopted a “broad” interpretation</w:t>
      </w:r>
      <w:r w:rsidR="0024005B">
        <w:rPr>
          <w:rFonts w:ascii="Times New Roman" w:hAnsi="Times New Roman" w:cs="Times New Roman"/>
        </w:rPr>
        <w:t>, holding</w:t>
      </w:r>
      <w:r w:rsidRPr="00B912DC">
        <w:rPr>
          <w:rFonts w:ascii="Times New Roman" w:hAnsi="Times New Roman" w:cs="Times New Roman"/>
        </w:rPr>
        <w:t xml:space="preserve"> that the absolute priority rule simply does not apply </w:t>
      </w:r>
      <w:r w:rsidR="006561BB">
        <w:rPr>
          <w:rFonts w:ascii="Times New Roman" w:hAnsi="Times New Roman" w:cs="Times New Roman"/>
        </w:rPr>
        <w:t xml:space="preserve">to individual </w:t>
      </w:r>
      <w:r w:rsidRPr="00B912DC">
        <w:rPr>
          <w:rFonts w:ascii="Times New Roman" w:hAnsi="Times New Roman" w:cs="Times New Roman"/>
        </w:rPr>
        <w:t>debtor</w:t>
      </w:r>
      <w:r w:rsidR="006561BB">
        <w:rPr>
          <w:rFonts w:ascii="Times New Roman" w:hAnsi="Times New Roman" w:cs="Times New Roman"/>
        </w:rPr>
        <w:t>s</w:t>
      </w:r>
      <w:r w:rsidR="0024005B">
        <w:rPr>
          <w:rFonts w:ascii="Times New Roman" w:hAnsi="Times New Roman" w:cs="Times New Roman"/>
        </w:rPr>
        <w:t xml:space="preserve">. This </w:t>
      </w:r>
      <w:r w:rsidR="006561BB">
        <w:rPr>
          <w:rFonts w:ascii="Times New Roman" w:hAnsi="Times New Roman" w:cs="Times New Roman"/>
        </w:rPr>
        <w:t xml:space="preserve">approach </w:t>
      </w:r>
      <w:r w:rsidR="0024005B">
        <w:rPr>
          <w:rFonts w:ascii="Times New Roman" w:hAnsi="Times New Roman" w:cs="Times New Roman"/>
        </w:rPr>
        <w:t>allows</w:t>
      </w:r>
      <w:r w:rsidR="00FA4FB3" w:rsidRPr="00FD7142">
        <w:rPr>
          <w:rFonts w:ascii="Times New Roman" w:hAnsi="Times New Roman" w:cs="Times New Roman"/>
        </w:rPr>
        <w:t xml:space="preserve"> an individual chapter 11 debtor to retain all property included in the bankruptcy estate by § 1115</w:t>
      </w:r>
      <w:r w:rsidRPr="00B912DC">
        <w:rPr>
          <w:rFonts w:ascii="Times New Roman" w:hAnsi="Times New Roman" w:cs="Times New Roman"/>
        </w:rPr>
        <w:t>.</w:t>
      </w:r>
      <w:r w:rsidRPr="00B912DC">
        <w:rPr>
          <w:rStyle w:val="FootnoteReference"/>
          <w:rFonts w:ascii="Times New Roman" w:hAnsi="Times New Roman" w:cs="Times New Roman"/>
        </w:rPr>
        <w:footnoteReference w:id="214"/>
      </w:r>
      <w:r w:rsidRPr="00B912DC">
        <w:rPr>
          <w:rFonts w:ascii="Times New Roman" w:hAnsi="Times New Roman" w:cs="Times New Roman"/>
        </w:rPr>
        <w:t xml:space="preserve">  </w:t>
      </w:r>
    </w:p>
    <w:p w14:paraId="58C746C4" w14:textId="73ECEADF" w:rsidR="00FC38D9" w:rsidRPr="005F7FD9"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 xml:space="preserve">To assess the importance of this split of authority, we defined a variable called </w:t>
      </w:r>
      <w:r w:rsidRPr="00B912DC">
        <w:rPr>
          <w:rFonts w:ascii="Times New Roman" w:hAnsi="Times New Roman" w:cs="Times New Roman"/>
          <w:i/>
        </w:rPr>
        <w:t xml:space="preserve">broad, </w:t>
      </w:r>
      <w:r w:rsidRPr="00B912DC">
        <w:rPr>
          <w:rFonts w:ascii="Times New Roman" w:hAnsi="Times New Roman" w:cs="Times New Roman"/>
        </w:rPr>
        <w:t xml:space="preserve">which we applied to any jurisdiction in which a court had adopted the broad interpretation of the exception to the APR and in which no subsequent court had adopted the narrow interpretation. We defined the variable </w:t>
      </w:r>
      <w:r w:rsidRPr="00B912DC">
        <w:rPr>
          <w:rFonts w:ascii="Times New Roman" w:hAnsi="Times New Roman" w:cs="Times New Roman"/>
          <w:i/>
        </w:rPr>
        <w:t>narrow</w:t>
      </w:r>
      <w:r w:rsidRPr="00B912DC">
        <w:rPr>
          <w:rFonts w:ascii="Times New Roman" w:hAnsi="Times New Roman" w:cs="Times New Roman"/>
        </w:rPr>
        <w:t xml:space="preserve"> in the opposite manner. </w:t>
      </w:r>
      <w:r>
        <w:rPr>
          <w:rFonts w:ascii="Times New Roman" w:hAnsi="Times New Roman" w:cs="Times New Roman"/>
        </w:rPr>
        <w:t>T</w:t>
      </w:r>
      <w:r w:rsidRPr="00B912DC">
        <w:rPr>
          <w:rFonts w:ascii="Times New Roman" w:hAnsi="Times New Roman" w:cs="Times New Roman"/>
        </w:rPr>
        <w:t>hese variables do not measure the effect of a broad or narrow exception to the APR</w:t>
      </w:r>
      <w:r>
        <w:rPr>
          <w:rFonts w:ascii="Times New Roman" w:hAnsi="Times New Roman" w:cs="Times New Roman"/>
        </w:rPr>
        <w:t>,</w:t>
      </w:r>
      <w:r w:rsidRPr="00B912DC">
        <w:rPr>
          <w:rFonts w:ascii="Times New Roman" w:hAnsi="Times New Roman" w:cs="Times New Roman"/>
        </w:rPr>
        <w:t xml:space="preserve"> but rather the effect of a broad or narrow precedent. Many of the decisions were made by bankruptcy courts and, therefore, have very little precedential value. Thus, we defined alternative measures that considered only circuit court and bankruptcy appellate panel decisions; we labeled those variables </w:t>
      </w:r>
      <w:r w:rsidRPr="00B912DC">
        <w:rPr>
          <w:rFonts w:ascii="Times New Roman" w:hAnsi="Times New Roman" w:cs="Times New Roman"/>
          <w:i/>
        </w:rPr>
        <w:t>broad</w:t>
      </w:r>
      <w:r>
        <w:rPr>
          <w:rFonts w:ascii="Times New Roman" w:hAnsi="Times New Roman" w:cs="Times New Roman"/>
          <w:i/>
        </w:rPr>
        <w:t xml:space="preserve"> </w:t>
      </w:r>
      <w:r w:rsidRPr="00B912DC">
        <w:rPr>
          <w:rFonts w:ascii="Times New Roman" w:hAnsi="Times New Roman" w:cs="Times New Roman"/>
          <w:i/>
        </w:rPr>
        <w:t>c</w:t>
      </w:r>
      <w:r>
        <w:rPr>
          <w:rFonts w:ascii="Times New Roman" w:hAnsi="Times New Roman" w:cs="Times New Roman"/>
          <w:i/>
        </w:rPr>
        <w:t>ircuit</w:t>
      </w:r>
      <w:r w:rsidRPr="00B912DC">
        <w:rPr>
          <w:rFonts w:ascii="Times New Roman" w:hAnsi="Times New Roman" w:cs="Times New Roman"/>
          <w:i/>
        </w:rPr>
        <w:t xml:space="preserve"> </w:t>
      </w:r>
      <w:r w:rsidRPr="00B912DC">
        <w:rPr>
          <w:rFonts w:ascii="Times New Roman" w:hAnsi="Times New Roman" w:cs="Times New Roman"/>
        </w:rPr>
        <w:t xml:space="preserve">and </w:t>
      </w:r>
      <w:r w:rsidRPr="00B912DC">
        <w:rPr>
          <w:rFonts w:ascii="Times New Roman" w:hAnsi="Times New Roman" w:cs="Times New Roman"/>
          <w:i/>
        </w:rPr>
        <w:t>narrow</w:t>
      </w:r>
      <w:r>
        <w:rPr>
          <w:rFonts w:ascii="Times New Roman" w:hAnsi="Times New Roman" w:cs="Times New Roman"/>
          <w:i/>
        </w:rPr>
        <w:t xml:space="preserve"> </w:t>
      </w:r>
      <w:r w:rsidRPr="00B912DC">
        <w:rPr>
          <w:rFonts w:ascii="Times New Roman" w:hAnsi="Times New Roman" w:cs="Times New Roman"/>
          <w:i/>
        </w:rPr>
        <w:t>c</w:t>
      </w:r>
      <w:r>
        <w:rPr>
          <w:rFonts w:ascii="Times New Roman" w:hAnsi="Times New Roman" w:cs="Times New Roman"/>
          <w:i/>
        </w:rPr>
        <w:t>ircuit</w:t>
      </w:r>
      <w:r w:rsidRPr="00B912DC">
        <w:rPr>
          <w:rFonts w:ascii="Times New Roman" w:hAnsi="Times New Roman" w:cs="Times New Roman"/>
        </w:rPr>
        <w:t xml:space="preserve">. </w:t>
      </w:r>
      <w:r w:rsidR="006561BB">
        <w:rPr>
          <w:rFonts w:ascii="Times New Roman" w:hAnsi="Times New Roman" w:cs="Times New Roman"/>
        </w:rPr>
        <w:t>Because t</w:t>
      </w:r>
      <w:r w:rsidRPr="00B912DC">
        <w:rPr>
          <w:rFonts w:ascii="Times New Roman" w:hAnsi="Times New Roman" w:cs="Times New Roman"/>
        </w:rPr>
        <w:t>here were no relevant circuit or BAP decisions in 2010</w:t>
      </w:r>
      <w:r w:rsidR="006561BB">
        <w:rPr>
          <w:rFonts w:ascii="Times New Roman" w:hAnsi="Times New Roman" w:cs="Times New Roman"/>
        </w:rPr>
        <w:t>,</w:t>
      </w:r>
      <w:r w:rsidRPr="00B912DC">
        <w:rPr>
          <w:rFonts w:ascii="Times New Roman" w:hAnsi="Times New Roman" w:cs="Times New Roman"/>
        </w:rPr>
        <w:t xml:space="preserve"> we did not use these measures when examining the 2010 cases. Finally, we used the rule in place six months after the debtor’s </w:t>
      </w:r>
      <w:r>
        <w:rPr>
          <w:rFonts w:ascii="Times New Roman" w:hAnsi="Times New Roman" w:cs="Times New Roman"/>
        </w:rPr>
        <w:t xml:space="preserve">bankruptcy </w:t>
      </w:r>
      <w:r w:rsidRPr="00B912DC">
        <w:rPr>
          <w:rFonts w:ascii="Times New Roman" w:hAnsi="Times New Roman" w:cs="Times New Roman"/>
        </w:rPr>
        <w:t>filing</w:t>
      </w:r>
      <w:r>
        <w:rPr>
          <w:rFonts w:ascii="Times New Roman" w:hAnsi="Times New Roman" w:cs="Times New Roman"/>
        </w:rPr>
        <w:t>,</w:t>
      </w:r>
      <w:r w:rsidRPr="00B912DC">
        <w:rPr>
          <w:rFonts w:ascii="Times New Roman" w:hAnsi="Times New Roman" w:cs="Times New Roman"/>
        </w:rPr>
        <w:t xml:space="preserve"> because nearly all plans </w:t>
      </w:r>
      <w:r w:rsidR="00B06764">
        <w:rPr>
          <w:rFonts w:ascii="Times New Roman" w:hAnsi="Times New Roman" w:cs="Times New Roman"/>
        </w:rPr>
        <w:t>were</w:t>
      </w:r>
      <w:r w:rsidRPr="00B912DC">
        <w:rPr>
          <w:rFonts w:ascii="Times New Roman" w:hAnsi="Times New Roman" w:cs="Times New Roman"/>
        </w:rPr>
        <w:t xml:space="preserve"> filed between three months and one year after the filing.</w:t>
      </w:r>
      <w:r w:rsidRPr="00B912DC">
        <w:rPr>
          <w:rStyle w:val="FootnoteReference"/>
          <w:rFonts w:ascii="Times New Roman" w:hAnsi="Times New Roman" w:cs="Times New Roman"/>
        </w:rPr>
        <w:footnoteReference w:id="215"/>
      </w:r>
      <w:r w:rsidRPr="00B912DC">
        <w:rPr>
          <w:rFonts w:ascii="Times New Roman" w:hAnsi="Times New Roman" w:cs="Times New Roman"/>
        </w:rPr>
        <w:t xml:space="preserve"> </w:t>
      </w:r>
      <w:r w:rsidRPr="005F7FD9">
        <w:rPr>
          <w:rFonts w:ascii="Times New Roman" w:hAnsi="Times New Roman" w:cs="Times New Roman"/>
        </w:rPr>
        <w:t xml:space="preserve">Table </w:t>
      </w:r>
      <w:r w:rsidR="00A64CB2">
        <w:rPr>
          <w:rFonts w:ascii="Times New Roman" w:hAnsi="Times New Roman" w:cs="Times New Roman"/>
        </w:rPr>
        <w:t>4</w:t>
      </w:r>
      <w:r w:rsidR="00594342">
        <w:rPr>
          <w:rFonts w:ascii="Times New Roman" w:hAnsi="Times New Roman" w:cs="Times New Roman"/>
        </w:rPr>
        <w:t>4</w:t>
      </w:r>
      <w:r w:rsidR="00A64CB2" w:rsidRPr="005F7FD9">
        <w:rPr>
          <w:rFonts w:ascii="Times New Roman" w:hAnsi="Times New Roman" w:cs="Times New Roman"/>
        </w:rPr>
        <w:t xml:space="preserve"> </w:t>
      </w:r>
      <w:r w:rsidRPr="005F7FD9">
        <w:rPr>
          <w:rFonts w:ascii="Times New Roman" w:hAnsi="Times New Roman" w:cs="Times New Roman"/>
        </w:rPr>
        <w:t>presents the results</w:t>
      </w:r>
      <w:r>
        <w:rPr>
          <w:rFonts w:ascii="Times New Roman" w:hAnsi="Times New Roman" w:cs="Times New Roman"/>
        </w:rPr>
        <w:t xml:space="preserve"> of our analysis for the PACER data</w:t>
      </w:r>
      <w:r w:rsidR="00DC4216">
        <w:rPr>
          <w:rFonts w:ascii="Times New Roman" w:hAnsi="Times New Roman" w:cs="Times New Roman"/>
        </w:rPr>
        <w:t xml:space="preserve">. </w:t>
      </w:r>
    </w:p>
    <w:p w14:paraId="1ADE96FD" w14:textId="77777777" w:rsidR="00AD05AA" w:rsidRDefault="00AD05AA" w:rsidP="00AD05AA">
      <w:pPr>
        <w:keepNext/>
        <w:keepLines/>
        <w:jc w:val="both"/>
        <w:rPr>
          <w:rFonts w:ascii="Times New Roman" w:hAnsi="Times New Roman" w:cs="Times New Roman"/>
          <w:b/>
        </w:rPr>
      </w:pPr>
      <w:r w:rsidRPr="005F7FD9">
        <w:rPr>
          <w:rFonts w:ascii="Times New Roman" w:hAnsi="Times New Roman" w:cs="Times New Roman"/>
          <w:b/>
        </w:rPr>
        <w:t xml:space="preserve">Table </w:t>
      </w:r>
      <w:r>
        <w:rPr>
          <w:rFonts w:ascii="Times New Roman" w:hAnsi="Times New Roman" w:cs="Times New Roman"/>
          <w:b/>
        </w:rPr>
        <w:t>44</w:t>
      </w:r>
      <w:r w:rsidRPr="005F7FD9">
        <w:rPr>
          <w:rFonts w:ascii="Times New Roman" w:hAnsi="Times New Roman" w:cs="Times New Roman"/>
          <w:b/>
        </w:rPr>
        <w:t xml:space="preserve">: Success and Interpretation of the </w:t>
      </w:r>
      <w:r>
        <w:rPr>
          <w:rFonts w:ascii="Times New Roman" w:hAnsi="Times New Roman" w:cs="Times New Roman"/>
          <w:b/>
        </w:rPr>
        <w:t>APR Exception—PACER Data</w:t>
      </w:r>
    </w:p>
    <w:p w14:paraId="68533875" w14:textId="77777777" w:rsidR="00AD05AA" w:rsidRPr="005F7FD9" w:rsidRDefault="00AD05AA" w:rsidP="00AD05AA">
      <w:pPr>
        <w:keepNext/>
        <w:keepLines/>
        <w:jc w:val="both"/>
        <w:rPr>
          <w:rFonts w:ascii="Times New Roman" w:hAnsi="Times New Roman" w:cs="Times New Roman"/>
          <w:b/>
        </w:rPr>
      </w:pPr>
    </w:p>
    <w:tbl>
      <w:tblPr>
        <w:tblStyle w:val="TableGrid"/>
        <w:tblW w:w="0" w:type="auto"/>
        <w:tblLook w:val="04A0" w:firstRow="1" w:lastRow="0" w:firstColumn="1" w:lastColumn="0" w:noHBand="0" w:noVBand="1"/>
      </w:tblPr>
      <w:tblGrid>
        <w:gridCol w:w="2858"/>
        <w:gridCol w:w="2865"/>
        <w:gridCol w:w="2871"/>
      </w:tblGrid>
      <w:tr w:rsidR="00AD05AA" w:rsidRPr="00B912DC" w14:paraId="0C1360D9" w14:textId="77777777" w:rsidTr="00AD05AA">
        <w:tc>
          <w:tcPr>
            <w:tcW w:w="2952" w:type="dxa"/>
            <w:vMerge w:val="restart"/>
            <w:tcBorders>
              <w:top w:val="single" w:sz="18" w:space="0" w:color="auto"/>
              <w:left w:val="single" w:sz="18" w:space="0" w:color="auto"/>
              <w:right w:val="single" w:sz="18" w:space="0" w:color="auto"/>
            </w:tcBorders>
          </w:tcPr>
          <w:p w14:paraId="5BA9C475" w14:textId="77777777" w:rsidR="00AD05AA" w:rsidRPr="00B912DC" w:rsidRDefault="00AD05AA" w:rsidP="00AD05AA">
            <w:pPr>
              <w:keepNext/>
              <w:keepLines/>
              <w:jc w:val="center"/>
              <w:rPr>
                <w:rFonts w:ascii="Times New Roman" w:hAnsi="Times New Roman" w:cs="Times New Roman"/>
                <w:i/>
              </w:rPr>
            </w:pPr>
            <w:r w:rsidRPr="00B912DC">
              <w:rPr>
                <w:rFonts w:ascii="Times New Roman" w:hAnsi="Times New Roman" w:cs="Times New Roman"/>
                <w:i/>
              </w:rPr>
              <w:t>Precedent</w:t>
            </w:r>
          </w:p>
        </w:tc>
        <w:tc>
          <w:tcPr>
            <w:tcW w:w="2952" w:type="dxa"/>
            <w:tcBorders>
              <w:top w:val="single" w:sz="18" w:space="0" w:color="auto"/>
              <w:left w:val="single" w:sz="18" w:space="0" w:color="auto"/>
              <w:bottom w:val="single" w:sz="18" w:space="0" w:color="auto"/>
              <w:right w:val="single" w:sz="18" w:space="0" w:color="auto"/>
            </w:tcBorders>
          </w:tcPr>
          <w:p w14:paraId="1AE2A22F" w14:textId="77777777" w:rsidR="00AD05AA" w:rsidRPr="00B912DC" w:rsidRDefault="00AD05AA" w:rsidP="00AD05AA">
            <w:pPr>
              <w:keepNext/>
              <w:keepLines/>
              <w:jc w:val="center"/>
              <w:rPr>
                <w:rFonts w:ascii="Times New Roman" w:hAnsi="Times New Roman" w:cs="Times New Roman"/>
              </w:rPr>
            </w:pPr>
            <w:r w:rsidRPr="00B912DC">
              <w:rPr>
                <w:rFonts w:ascii="Times New Roman" w:hAnsi="Times New Roman" w:cs="Times New Roman"/>
              </w:rPr>
              <w:t>(A)</w:t>
            </w:r>
          </w:p>
          <w:p w14:paraId="0374AB36" w14:textId="77777777" w:rsidR="00AD05AA" w:rsidRPr="00B912DC" w:rsidRDefault="00AD05AA" w:rsidP="00AD05AA">
            <w:pPr>
              <w:keepNext/>
              <w:keepLines/>
              <w:jc w:val="center"/>
              <w:rPr>
                <w:rFonts w:ascii="Times New Roman" w:hAnsi="Times New Roman" w:cs="Times New Roman"/>
              </w:rPr>
            </w:pPr>
            <w:r w:rsidRPr="00B912DC">
              <w:rPr>
                <w:rFonts w:ascii="Times New Roman" w:hAnsi="Times New Roman" w:cs="Times New Roman"/>
              </w:rPr>
              <w:t>Su</w:t>
            </w:r>
            <w:r>
              <w:rPr>
                <w:rFonts w:ascii="Times New Roman" w:hAnsi="Times New Roman" w:cs="Times New Roman"/>
              </w:rPr>
              <w:t>rvive</w:t>
            </w:r>
            <w:r w:rsidRPr="00B912DC">
              <w:rPr>
                <w:rFonts w:ascii="Times New Roman" w:hAnsi="Times New Roman" w:cs="Times New Roman"/>
              </w:rPr>
              <w:t>545</w:t>
            </w:r>
          </w:p>
        </w:tc>
        <w:tc>
          <w:tcPr>
            <w:tcW w:w="2952" w:type="dxa"/>
            <w:tcBorders>
              <w:top w:val="single" w:sz="18" w:space="0" w:color="auto"/>
              <w:left w:val="single" w:sz="18" w:space="0" w:color="auto"/>
              <w:bottom w:val="single" w:sz="18" w:space="0" w:color="auto"/>
              <w:right w:val="single" w:sz="18" w:space="0" w:color="auto"/>
            </w:tcBorders>
          </w:tcPr>
          <w:p w14:paraId="2DD8EAB2" w14:textId="77777777" w:rsidR="00AD05AA" w:rsidRPr="00B912DC" w:rsidRDefault="00AD05AA" w:rsidP="00AD05AA">
            <w:pPr>
              <w:keepNext/>
              <w:keepLines/>
              <w:jc w:val="center"/>
              <w:rPr>
                <w:rFonts w:ascii="Times New Roman" w:hAnsi="Times New Roman" w:cs="Times New Roman"/>
              </w:rPr>
            </w:pPr>
            <w:r w:rsidRPr="00B912DC">
              <w:rPr>
                <w:rFonts w:ascii="Times New Roman" w:hAnsi="Times New Roman" w:cs="Times New Roman"/>
              </w:rPr>
              <w:t>(B)</w:t>
            </w:r>
          </w:p>
          <w:p w14:paraId="75B06B5A" w14:textId="77777777" w:rsidR="00AD05AA" w:rsidRPr="00B912DC" w:rsidRDefault="00AD05AA" w:rsidP="00AD05AA">
            <w:pPr>
              <w:keepNext/>
              <w:keepLines/>
              <w:jc w:val="center"/>
              <w:rPr>
                <w:rFonts w:ascii="Times New Roman" w:hAnsi="Times New Roman" w:cs="Times New Roman"/>
              </w:rPr>
            </w:pPr>
            <w:r w:rsidRPr="00B912DC">
              <w:rPr>
                <w:rFonts w:ascii="Times New Roman" w:hAnsi="Times New Roman" w:cs="Times New Roman"/>
              </w:rPr>
              <w:t>Su</w:t>
            </w:r>
            <w:r>
              <w:rPr>
                <w:rFonts w:ascii="Times New Roman" w:hAnsi="Times New Roman" w:cs="Times New Roman"/>
              </w:rPr>
              <w:t>rvive</w:t>
            </w:r>
            <w:r w:rsidRPr="00B912DC">
              <w:rPr>
                <w:rFonts w:ascii="Times New Roman" w:hAnsi="Times New Roman" w:cs="Times New Roman"/>
              </w:rPr>
              <w:t>2010</w:t>
            </w:r>
          </w:p>
        </w:tc>
      </w:tr>
      <w:tr w:rsidR="00AD05AA" w:rsidRPr="00B912DC" w14:paraId="7E9FB606" w14:textId="77777777" w:rsidTr="00AD05AA">
        <w:tc>
          <w:tcPr>
            <w:tcW w:w="2952" w:type="dxa"/>
            <w:vMerge/>
            <w:tcBorders>
              <w:left w:val="single" w:sz="18" w:space="0" w:color="auto"/>
              <w:bottom w:val="single" w:sz="18" w:space="0" w:color="auto"/>
              <w:right w:val="single" w:sz="18" w:space="0" w:color="auto"/>
            </w:tcBorders>
          </w:tcPr>
          <w:p w14:paraId="5E770FC4" w14:textId="77777777" w:rsidR="00AD05AA" w:rsidRPr="00B912DC" w:rsidRDefault="00AD05AA" w:rsidP="00AD05AA">
            <w:pPr>
              <w:keepNext/>
              <w:keepLines/>
              <w:rPr>
                <w:rFonts w:ascii="Times New Roman" w:hAnsi="Times New Roman" w:cs="Times New Roman"/>
              </w:rPr>
            </w:pPr>
          </w:p>
        </w:tc>
        <w:tc>
          <w:tcPr>
            <w:tcW w:w="2952" w:type="dxa"/>
            <w:tcBorders>
              <w:top w:val="single" w:sz="18" w:space="0" w:color="auto"/>
              <w:left w:val="single" w:sz="18" w:space="0" w:color="auto"/>
              <w:bottom w:val="single" w:sz="18" w:space="0" w:color="auto"/>
              <w:right w:val="single" w:sz="18" w:space="0" w:color="auto"/>
            </w:tcBorders>
          </w:tcPr>
          <w:p w14:paraId="18A4AF1E" w14:textId="77777777" w:rsidR="00AD05AA" w:rsidRPr="00B912DC" w:rsidRDefault="00AD05AA" w:rsidP="00AD05AA">
            <w:pPr>
              <w:keepNext/>
              <w:keepLines/>
              <w:jc w:val="center"/>
              <w:rPr>
                <w:rFonts w:ascii="Times New Roman" w:hAnsi="Times New Roman" w:cs="Times New Roman"/>
              </w:rPr>
            </w:pPr>
            <w:r w:rsidRPr="00B912DC">
              <w:rPr>
                <w:rFonts w:ascii="Times New Roman" w:hAnsi="Times New Roman" w:cs="Times New Roman"/>
              </w:rPr>
              <w:t>Mean (# of cases)</w:t>
            </w:r>
          </w:p>
        </w:tc>
        <w:tc>
          <w:tcPr>
            <w:tcW w:w="2952" w:type="dxa"/>
            <w:tcBorders>
              <w:top w:val="single" w:sz="18" w:space="0" w:color="auto"/>
              <w:left w:val="single" w:sz="18" w:space="0" w:color="auto"/>
              <w:bottom w:val="single" w:sz="18" w:space="0" w:color="auto"/>
              <w:right w:val="single" w:sz="18" w:space="0" w:color="auto"/>
            </w:tcBorders>
          </w:tcPr>
          <w:p w14:paraId="00DECE5F" w14:textId="77777777" w:rsidR="00AD05AA" w:rsidRPr="00B912DC" w:rsidRDefault="00AD05AA" w:rsidP="00AD05AA">
            <w:pPr>
              <w:keepNext/>
              <w:keepLines/>
              <w:jc w:val="center"/>
              <w:rPr>
                <w:rFonts w:ascii="Times New Roman" w:hAnsi="Times New Roman" w:cs="Times New Roman"/>
              </w:rPr>
            </w:pPr>
            <w:r w:rsidRPr="00B912DC">
              <w:rPr>
                <w:rFonts w:ascii="Times New Roman" w:hAnsi="Times New Roman" w:cs="Times New Roman"/>
              </w:rPr>
              <w:t>Mean (# of cases)</w:t>
            </w:r>
          </w:p>
        </w:tc>
      </w:tr>
      <w:tr w:rsidR="00AD05AA" w:rsidRPr="00B912DC" w14:paraId="005CA8B6" w14:textId="77777777" w:rsidTr="00AD05AA">
        <w:tc>
          <w:tcPr>
            <w:tcW w:w="2952" w:type="dxa"/>
            <w:tcBorders>
              <w:top w:val="single" w:sz="18" w:space="0" w:color="auto"/>
              <w:right w:val="single" w:sz="18" w:space="0" w:color="auto"/>
            </w:tcBorders>
          </w:tcPr>
          <w:p w14:paraId="50170821" w14:textId="77777777" w:rsidR="00AD05AA" w:rsidRPr="00B912DC" w:rsidRDefault="00AD05AA" w:rsidP="00AD05AA">
            <w:pPr>
              <w:keepNext/>
              <w:keepLines/>
              <w:rPr>
                <w:rFonts w:ascii="Times New Roman" w:hAnsi="Times New Roman" w:cs="Times New Roman"/>
              </w:rPr>
            </w:pPr>
            <w:r w:rsidRPr="00B912DC">
              <w:rPr>
                <w:rFonts w:ascii="Times New Roman" w:hAnsi="Times New Roman" w:cs="Times New Roman"/>
              </w:rPr>
              <w:t>1) Broad</w:t>
            </w:r>
          </w:p>
        </w:tc>
        <w:tc>
          <w:tcPr>
            <w:tcW w:w="2952" w:type="dxa"/>
            <w:tcBorders>
              <w:top w:val="single" w:sz="18" w:space="0" w:color="auto"/>
              <w:left w:val="single" w:sz="18" w:space="0" w:color="auto"/>
              <w:right w:val="single" w:sz="18" w:space="0" w:color="auto"/>
            </w:tcBorders>
          </w:tcPr>
          <w:p w14:paraId="1E9FBA6C" w14:textId="77777777" w:rsidR="00AD05AA" w:rsidRPr="00B912DC" w:rsidRDefault="00AD05AA" w:rsidP="00AD05AA">
            <w:pPr>
              <w:keepNext/>
              <w:keepLines/>
              <w:jc w:val="center"/>
              <w:rPr>
                <w:rFonts w:ascii="Times New Roman" w:hAnsi="Times New Roman" w:cs="Times New Roman"/>
              </w:rPr>
            </w:pPr>
            <w:r>
              <w:rPr>
                <w:rFonts w:ascii="Times New Roman" w:hAnsi="Times New Roman" w:cs="Times New Roman"/>
              </w:rPr>
              <w:t>63.57</w:t>
            </w:r>
            <w:r w:rsidRPr="00B912DC">
              <w:rPr>
                <w:rFonts w:ascii="Times New Roman" w:hAnsi="Times New Roman" w:cs="Times New Roman"/>
              </w:rPr>
              <w:t>% (</w:t>
            </w:r>
            <w:r>
              <w:rPr>
                <w:rFonts w:ascii="Times New Roman" w:hAnsi="Times New Roman" w:cs="Times New Roman"/>
              </w:rPr>
              <w:t>840</w:t>
            </w:r>
            <w:r w:rsidRPr="00B912DC">
              <w:rPr>
                <w:rFonts w:ascii="Times New Roman" w:hAnsi="Times New Roman" w:cs="Times New Roman"/>
              </w:rPr>
              <w:t>)</w:t>
            </w:r>
          </w:p>
        </w:tc>
        <w:tc>
          <w:tcPr>
            <w:tcW w:w="2952" w:type="dxa"/>
            <w:tcBorders>
              <w:top w:val="single" w:sz="18" w:space="0" w:color="auto"/>
              <w:left w:val="single" w:sz="18" w:space="0" w:color="auto"/>
              <w:right w:val="single" w:sz="18" w:space="0" w:color="auto"/>
            </w:tcBorders>
          </w:tcPr>
          <w:p w14:paraId="70BF924E" w14:textId="77777777" w:rsidR="00AD05AA" w:rsidRPr="00B912DC" w:rsidRDefault="00AD05AA" w:rsidP="00AD05AA">
            <w:pPr>
              <w:keepNext/>
              <w:keepLines/>
              <w:jc w:val="center"/>
              <w:rPr>
                <w:rFonts w:ascii="Times New Roman" w:hAnsi="Times New Roman" w:cs="Times New Roman"/>
              </w:rPr>
            </w:pPr>
            <w:r w:rsidRPr="00B912DC">
              <w:rPr>
                <w:rFonts w:ascii="Times New Roman" w:hAnsi="Times New Roman" w:cs="Times New Roman"/>
              </w:rPr>
              <w:t xml:space="preserve">47.28% </w:t>
            </w:r>
            <w:r>
              <w:rPr>
                <w:rFonts w:ascii="Times New Roman" w:hAnsi="Times New Roman" w:cs="Times New Roman"/>
              </w:rPr>
              <w:t xml:space="preserve">  </w:t>
            </w:r>
            <w:r w:rsidRPr="00B912DC">
              <w:rPr>
                <w:rFonts w:ascii="Times New Roman" w:hAnsi="Times New Roman" w:cs="Times New Roman"/>
              </w:rPr>
              <w:t>(239)</w:t>
            </w:r>
          </w:p>
        </w:tc>
      </w:tr>
      <w:tr w:rsidR="00AD05AA" w:rsidRPr="00B912DC" w14:paraId="1D421CFE" w14:textId="77777777" w:rsidTr="00AD05AA">
        <w:tc>
          <w:tcPr>
            <w:tcW w:w="2952" w:type="dxa"/>
            <w:tcBorders>
              <w:right w:val="single" w:sz="18" w:space="0" w:color="auto"/>
            </w:tcBorders>
          </w:tcPr>
          <w:p w14:paraId="7DC0F0A8" w14:textId="77777777" w:rsidR="00AD05AA" w:rsidRPr="00B912DC" w:rsidRDefault="00AD05AA" w:rsidP="00AD05AA">
            <w:pPr>
              <w:keepNext/>
              <w:keepLines/>
              <w:rPr>
                <w:rFonts w:ascii="Times New Roman" w:hAnsi="Times New Roman" w:cs="Times New Roman"/>
              </w:rPr>
            </w:pPr>
            <w:r w:rsidRPr="00B912DC">
              <w:rPr>
                <w:rFonts w:ascii="Times New Roman" w:hAnsi="Times New Roman" w:cs="Times New Roman"/>
              </w:rPr>
              <w:t>2) No precedent</w:t>
            </w:r>
          </w:p>
        </w:tc>
        <w:tc>
          <w:tcPr>
            <w:tcW w:w="2952" w:type="dxa"/>
            <w:tcBorders>
              <w:left w:val="single" w:sz="18" w:space="0" w:color="auto"/>
              <w:right w:val="single" w:sz="18" w:space="0" w:color="auto"/>
            </w:tcBorders>
          </w:tcPr>
          <w:p w14:paraId="6DDD531E" w14:textId="77777777" w:rsidR="00AD05AA" w:rsidRPr="00B912DC" w:rsidRDefault="00AD05AA" w:rsidP="00AD05AA">
            <w:pPr>
              <w:keepNext/>
              <w:keepLines/>
              <w:jc w:val="center"/>
              <w:rPr>
                <w:rFonts w:ascii="Times New Roman" w:hAnsi="Times New Roman" w:cs="Times New Roman"/>
              </w:rPr>
            </w:pPr>
            <w:r w:rsidRPr="00B912DC">
              <w:rPr>
                <w:rFonts w:ascii="Times New Roman" w:hAnsi="Times New Roman" w:cs="Times New Roman"/>
              </w:rPr>
              <w:t>4</w:t>
            </w:r>
            <w:r>
              <w:rPr>
                <w:rFonts w:ascii="Times New Roman" w:hAnsi="Times New Roman" w:cs="Times New Roman"/>
              </w:rPr>
              <w:t>8.20</w:t>
            </w:r>
            <w:r w:rsidRPr="00B912DC">
              <w:rPr>
                <w:rFonts w:ascii="Times New Roman" w:hAnsi="Times New Roman" w:cs="Times New Roman"/>
              </w:rPr>
              <w:t>% (3,</w:t>
            </w:r>
            <w:r>
              <w:rPr>
                <w:rFonts w:ascii="Times New Roman" w:hAnsi="Times New Roman" w:cs="Times New Roman"/>
              </w:rPr>
              <w:t>834</w:t>
            </w:r>
            <w:r w:rsidRPr="00B912DC">
              <w:rPr>
                <w:rFonts w:ascii="Times New Roman" w:hAnsi="Times New Roman" w:cs="Times New Roman"/>
              </w:rPr>
              <w:t>)</w:t>
            </w:r>
          </w:p>
        </w:tc>
        <w:tc>
          <w:tcPr>
            <w:tcW w:w="2952" w:type="dxa"/>
            <w:tcBorders>
              <w:left w:val="single" w:sz="18" w:space="0" w:color="auto"/>
              <w:right w:val="single" w:sz="18" w:space="0" w:color="auto"/>
            </w:tcBorders>
          </w:tcPr>
          <w:p w14:paraId="5ECA9850" w14:textId="77777777" w:rsidR="00AD05AA" w:rsidRPr="00B912DC" w:rsidRDefault="00AD05AA" w:rsidP="00AD05AA">
            <w:pPr>
              <w:keepNext/>
              <w:keepLines/>
              <w:jc w:val="center"/>
              <w:rPr>
                <w:rFonts w:ascii="Times New Roman" w:hAnsi="Times New Roman" w:cs="Times New Roman"/>
              </w:rPr>
            </w:pPr>
            <w:r w:rsidRPr="00B912DC">
              <w:rPr>
                <w:rFonts w:ascii="Times New Roman" w:hAnsi="Times New Roman" w:cs="Times New Roman"/>
              </w:rPr>
              <w:t>32.</w:t>
            </w:r>
            <w:r>
              <w:rPr>
                <w:rFonts w:ascii="Times New Roman" w:hAnsi="Times New Roman" w:cs="Times New Roman"/>
              </w:rPr>
              <w:t>64</w:t>
            </w:r>
            <w:r w:rsidRPr="00B912DC">
              <w:rPr>
                <w:rFonts w:ascii="Times New Roman" w:hAnsi="Times New Roman" w:cs="Times New Roman"/>
              </w:rPr>
              <w:t>% (3,0</w:t>
            </w:r>
            <w:r>
              <w:rPr>
                <w:rFonts w:ascii="Times New Roman" w:hAnsi="Times New Roman" w:cs="Times New Roman"/>
              </w:rPr>
              <w:t>15</w:t>
            </w:r>
            <w:r w:rsidRPr="00B912DC">
              <w:rPr>
                <w:rFonts w:ascii="Times New Roman" w:hAnsi="Times New Roman" w:cs="Times New Roman"/>
              </w:rPr>
              <w:t>)</w:t>
            </w:r>
          </w:p>
        </w:tc>
      </w:tr>
      <w:tr w:rsidR="00AD05AA" w:rsidRPr="00B912DC" w14:paraId="6DBF93A8" w14:textId="77777777" w:rsidTr="00AD05AA">
        <w:tc>
          <w:tcPr>
            <w:tcW w:w="2952" w:type="dxa"/>
            <w:tcBorders>
              <w:bottom w:val="thinThickLargeGap" w:sz="24" w:space="0" w:color="auto"/>
              <w:right w:val="single" w:sz="18" w:space="0" w:color="auto"/>
            </w:tcBorders>
          </w:tcPr>
          <w:p w14:paraId="0C5EED48" w14:textId="77777777" w:rsidR="00AD05AA" w:rsidRPr="00B912DC" w:rsidRDefault="00AD05AA" w:rsidP="00AD05AA">
            <w:pPr>
              <w:keepNext/>
              <w:keepLines/>
              <w:rPr>
                <w:rFonts w:ascii="Times New Roman" w:hAnsi="Times New Roman" w:cs="Times New Roman"/>
              </w:rPr>
            </w:pPr>
            <w:r w:rsidRPr="00B912DC">
              <w:rPr>
                <w:rFonts w:ascii="Times New Roman" w:hAnsi="Times New Roman" w:cs="Times New Roman"/>
              </w:rPr>
              <w:t>3) Narrow</w:t>
            </w:r>
          </w:p>
        </w:tc>
        <w:tc>
          <w:tcPr>
            <w:tcW w:w="2952" w:type="dxa"/>
            <w:tcBorders>
              <w:left w:val="single" w:sz="18" w:space="0" w:color="auto"/>
              <w:bottom w:val="thinThickLargeGap" w:sz="24" w:space="0" w:color="auto"/>
              <w:right w:val="single" w:sz="18" w:space="0" w:color="auto"/>
            </w:tcBorders>
          </w:tcPr>
          <w:p w14:paraId="30C18EB1" w14:textId="77777777" w:rsidR="00AD05AA" w:rsidRPr="00B912DC" w:rsidRDefault="00AD05AA" w:rsidP="00AD05AA">
            <w:pPr>
              <w:keepNext/>
              <w:keepLines/>
              <w:jc w:val="center"/>
              <w:rPr>
                <w:rFonts w:ascii="Times New Roman" w:hAnsi="Times New Roman" w:cs="Times New Roman"/>
              </w:rPr>
            </w:pPr>
            <w:r w:rsidRPr="00B912DC">
              <w:rPr>
                <w:rFonts w:ascii="Times New Roman" w:hAnsi="Times New Roman" w:cs="Times New Roman"/>
              </w:rPr>
              <w:t>4</w:t>
            </w:r>
            <w:r>
              <w:rPr>
                <w:rFonts w:ascii="Times New Roman" w:hAnsi="Times New Roman" w:cs="Times New Roman"/>
              </w:rPr>
              <w:t>5.73</w:t>
            </w:r>
            <w:r w:rsidRPr="00B912DC">
              <w:rPr>
                <w:rFonts w:ascii="Times New Roman" w:hAnsi="Times New Roman" w:cs="Times New Roman"/>
              </w:rPr>
              <w:t>% (1,</w:t>
            </w:r>
            <w:r>
              <w:rPr>
                <w:rFonts w:ascii="Times New Roman" w:hAnsi="Times New Roman" w:cs="Times New Roman"/>
              </w:rPr>
              <w:t>992</w:t>
            </w:r>
            <w:r w:rsidRPr="00B912DC">
              <w:rPr>
                <w:rFonts w:ascii="Times New Roman" w:hAnsi="Times New Roman" w:cs="Times New Roman"/>
              </w:rPr>
              <w:t>)</w:t>
            </w:r>
          </w:p>
        </w:tc>
        <w:tc>
          <w:tcPr>
            <w:tcW w:w="2952" w:type="dxa"/>
            <w:tcBorders>
              <w:left w:val="single" w:sz="18" w:space="0" w:color="auto"/>
              <w:bottom w:val="thinThickLargeGap" w:sz="24" w:space="0" w:color="auto"/>
              <w:right w:val="single" w:sz="18" w:space="0" w:color="auto"/>
            </w:tcBorders>
          </w:tcPr>
          <w:p w14:paraId="0C8BE43C" w14:textId="77777777" w:rsidR="00AD05AA" w:rsidRPr="00B912DC" w:rsidRDefault="00AD05AA" w:rsidP="00AD05AA">
            <w:pPr>
              <w:keepNext/>
              <w:keepLines/>
              <w:jc w:val="center"/>
              <w:rPr>
                <w:rFonts w:ascii="Times New Roman" w:hAnsi="Times New Roman" w:cs="Times New Roman"/>
              </w:rPr>
            </w:pPr>
            <w:r w:rsidRPr="00B912DC">
              <w:rPr>
                <w:rFonts w:ascii="Times New Roman" w:hAnsi="Times New Roman" w:cs="Times New Roman"/>
              </w:rPr>
              <w:t>27.</w:t>
            </w:r>
            <w:r>
              <w:rPr>
                <w:rFonts w:ascii="Times New Roman" w:hAnsi="Times New Roman" w:cs="Times New Roman"/>
              </w:rPr>
              <w:t>67</w:t>
            </w:r>
            <w:r w:rsidRPr="00B912DC">
              <w:rPr>
                <w:rFonts w:ascii="Times New Roman" w:hAnsi="Times New Roman" w:cs="Times New Roman"/>
              </w:rPr>
              <w:t xml:space="preserve">% </w:t>
            </w:r>
            <w:r>
              <w:rPr>
                <w:rFonts w:ascii="Times New Roman" w:hAnsi="Times New Roman" w:cs="Times New Roman"/>
              </w:rPr>
              <w:t xml:space="preserve">  </w:t>
            </w:r>
            <w:r w:rsidRPr="00B912DC">
              <w:rPr>
                <w:rFonts w:ascii="Times New Roman" w:hAnsi="Times New Roman" w:cs="Times New Roman"/>
              </w:rPr>
              <w:t>(7</w:t>
            </w:r>
            <w:r>
              <w:rPr>
                <w:rFonts w:ascii="Times New Roman" w:hAnsi="Times New Roman" w:cs="Times New Roman"/>
              </w:rPr>
              <w:t>95</w:t>
            </w:r>
            <w:r w:rsidRPr="00B912DC">
              <w:rPr>
                <w:rFonts w:ascii="Times New Roman" w:hAnsi="Times New Roman" w:cs="Times New Roman"/>
              </w:rPr>
              <w:t>)</w:t>
            </w:r>
          </w:p>
        </w:tc>
      </w:tr>
      <w:tr w:rsidR="00AD05AA" w:rsidRPr="00B912DC" w14:paraId="793DA179" w14:textId="77777777" w:rsidTr="00AD05AA">
        <w:tc>
          <w:tcPr>
            <w:tcW w:w="2952" w:type="dxa"/>
            <w:tcBorders>
              <w:top w:val="thinThickLargeGap" w:sz="24" w:space="0" w:color="auto"/>
              <w:right w:val="single" w:sz="18" w:space="0" w:color="auto"/>
            </w:tcBorders>
          </w:tcPr>
          <w:p w14:paraId="69908745" w14:textId="77777777" w:rsidR="00AD05AA" w:rsidRPr="00B912DC" w:rsidRDefault="00AD05AA" w:rsidP="00AD05AA">
            <w:pPr>
              <w:keepNext/>
              <w:keepLines/>
              <w:rPr>
                <w:rFonts w:ascii="Times New Roman" w:hAnsi="Times New Roman" w:cs="Times New Roman"/>
              </w:rPr>
            </w:pPr>
            <w:r w:rsidRPr="00B912DC">
              <w:rPr>
                <w:rFonts w:ascii="Times New Roman" w:hAnsi="Times New Roman" w:cs="Times New Roman"/>
              </w:rPr>
              <w:t>4) Broad</w:t>
            </w:r>
            <w:r>
              <w:rPr>
                <w:rFonts w:ascii="Times New Roman" w:hAnsi="Times New Roman" w:cs="Times New Roman"/>
              </w:rPr>
              <w:t xml:space="preserve"> Circuit</w:t>
            </w:r>
          </w:p>
        </w:tc>
        <w:tc>
          <w:tcPr>
            <w:tcW w:w="2952" w:type="dxa"/>
            <w:tcBorders>
              <w:top w:val="thinThickLargeGap" w:sz="24" w:space="0" w:color="auto"/>
              <w:left w:val="single" w:sz="18" w:space="0" w:color="auto"/>
              <w:right w:val="single" w:sz="18" w:space="0" w:color="auto"/>
            </w:tcBorders>
          </w:tcPr>
          <w:p w14:paraId="68A249FD" w14:textId="77777777" w:rsidR="00AD05AA" w:rsidRPr="00B912DC" w:rsidRDefault="00AD05AA" w:rsidP="00AD05AA">
            <w:pPr>
              <w:keepNext/>
              <w:keepLines/>
              <w:jc w:val="center"/>
              <w:rPr>
                <w:rFonts w:ascii="Times New Roman" w:hAnsi="Times New Roman" w:cs="Times New Roman"/>
              </w:rPr>
            </w:pPr>
            <w:r w:rsidRPr="00B912DC">
              <w:rPr>
                <w:rFonts w:ascii="Times New Roman" w:hAnsi="Times New Roman" w:cs="Times New Roman"/>
              </w:rPr>
              <w:t xml:space="preserve">50.74% </w:t>
            </w:r>
            <w:r>
              <w:rPr>
                <w:rFonts w:ascii="Times New Roman" w:hAnsi="Times New Roman" w:cs="Times New Roman"/>
              </w:rPr>
              <w:t xml:space="preserve">   </w:t>
            </w:r>
            <w:r w:rsidRPr="00B912DC">
              <w:rPr>
                <w:rFonts w:ascii="Times New Roman" w:hAnsi="Times New Roman" w:cs="Times New Roman"/>
              </w:rPr>
              <w:t>(743)</w:t>
            </w:r>
          </w:p>
        </w:tc>
        <w:tc>
          <w:tcPr>
            <w:tcW w:w="2952" w:type="dxa"/>
            <w:tcBorders>
              <w:top w:val="thinThickLargeGap" w:sz="24" w:space="0" w:color="auto"/>
              <w:left w:val="single" w:sz="18" w:space="0" w:color="auto"/>
              <w:right w:val="single" w:sz="18" w:space="0" w:color="auto"/>
            </w:tcBorders>
          </w:tcPr>
          <w:p w14:paraId="34FD6CA4" w14:textId="77777777" w:rsidR="00AD05AA" w:rsidRPr="00B912DC" w:rsidRDefault="00AD05AA" w:rsidP="00AD05AA">
            <w:pPr>
              <w:keepNext/>
              <w:keepLines/>
              <w:jc w:val="center"/>
              <w:rPr>
                <w:rFonts w:ascii="Times New Roman" w:hAnsi="Times New Roman" w:cs="Times New Roman"/>
              </w:rPr>
            </w:pPr>
          </w:p>
        </w:tc>
      </w:tr>
      <w:tr w:rsidR="00AD05AA" w:rsidRPr="00B912DC" w14:paraId="171C7EF1" w14:textId="77777777" w:rsidTr="00AD05AA">
        <w:tc>
          <w:tcPr>
            <w:tcW w:w="2952" w:type="dxa"/>
            <w:tcBorders>
              <w:right w:val="single" w:sz="18" w:space="0" w:color="auto"/>
            </w:tcBorders>
          </w:tcPr>
          <w:p w14:paraId="4C688D40" w14:textId="77777777" w:rsidR="00AD05AA" w:rsidRPr="00B912DC" w:rsidRDefault="00AD05AA" w:rsidP="00AD05AA">
            <w:pPr>
              <w:keepNext/>
              <w:keepLines/>
              <w:rPr>
                <w:rFonts w:ascii="Times New Roman" w:hAnsi="Times New Roman" w:cs="Times New Roman"/>
              </w:rPr>
            </w:pPr>
            <w:r w:rsidRPr="00B912DC">
              <w:rPr>
                <w:rFonts w:ascii="Times New Roman" w:hAnsi="Times New Roman" w:cs="Times New Roman"/>
              </w:rPr>
              <w:t>5) No Circuit</w:t>
            </w:r>
          </w:p>
        </w:tc>
        <w:tc>
          <w:tcPr>
            <w:tcW w:w="2952" w:type="dxa"/>
            <w:tcBorders>
              <w:left w:val="single" w:sz="18" w:space="0" w:color="auto"/>
              <w:right w:val="single" w:sz="18" w:space="0" w:color="auto"/>
            </w:tcBorders>
          </w:tcPr>
          <w:p w14:paraId="61FFB879" w14:textId="77777777" w:rsidR="00AD05AA" w:rsidRPr="00B912DC" w:rsidRDefault="00AD05AA" w:rsidP="00AD05AA">
            <w:pPr>
              <w:keepNext/>
              <w:keepLines/>
              <w:jc w:val="center"/>
              <w:rPr>
                <w:rFonts w:ascii="Times New Roman" w:hAnsi="Times New Roman" w:cs="Times New Roman"/>
              </w:rPr>
            </w:pPr>
            <w:r w:rsidRPr="00B912DC">
              <w:rPr>
                <w:rFonts w:ascii="Times New Roman" w:hAnsi="Times New Roman" w:cs="Times New Roman"/>
              </w:rPr>
              <w:t xml:space="preserve">49.56% </w:t>
            </w:r>
            <w:r>
              <w:rPr>
                <w:rFonts w:ascii="Times New Roman" w:hAnsi="Times New Roman" w:cs="Times New Roman"/>
              </w:rPr>
              <w:t xml:space="preserve"> </w:t>
            </w:r>
            <w:r w:rsidRPr="00B912DC">
              <w:rPr>
                <w:rFonts w:ascii="Times New Roman" w:hAnsi="Times New Roman" w:cs="Times New Roman"/>
              </w:rPr>
              <w:t>(5,502)</w:t>
            </w:r>
          </w:p>
        </w:tc>
        <w:tc>
          <w:tcPr>
            <w:tcW w:w="2952" w:type="dxa"/>
            <w:tcBorders>
              <w:left w:val="single" w:sz="18" w:space="0" w:color="auto"/>
              <w:right w:val="single" w:sz="18" w:space="0" w:color="auto"/>
            </w:tcBorders>
          </w:tcPr>
          <w:p w14:paraId="2A54ED33" w14:textId="77777777" w:rsidR="00AD05AA" w:rsidRPr="00B912DC" w:rsidRDefault="00AD05AA" w:rsidP="00AD05AA">
            <w:pPr>
              <w:keepNext/>
              <w:keepLines/>
              <w:jc w:val="center"/>
              <w:rPr>
                <w:rFonts w:ascii="Times New Roman" w:hAnsi="Times New Roman" w:cs="Times New Roman"/>
              </w:rPr>
            </w:pPr>
          </w:p>
        </w:tc>
      </w:tr>
      <w:tr w:rsidR="00AD05AA" w:rsidRPr="00B912DC" w14:paraId="7980724B" w14:textId="77777777" w:rsidTr="00AD05AA">
        <w:tc>
          <w:tcPr>
            <w:tcW w:w="2952" w:type="dxa"/>
            <w:tcBorders>
              <w:right w:val="single" w:sz="18" w:space="0" w:color="auto"/>
            </w:tcBorders>
          </w:tcPr>
          <w:p w14:paraId="3B3EACFB" w14:textId="77777777" w:rsidR="00AD05AA" w:rsidRPr="00B912DC" w:rsidRDefault="00AD05AA" w:rsidP="00AD05AA">
            <w:pPr>
              <w:keepNext/>
              <w:keepLines/>
              <w:rPr>
                <w:rFonts w:ascii="Times New Roman" w:hAnsi="Times New Roman" w:cs="Times New Roman"/>
              </w:rPr>
            </w:pPr>
            <w:r w:rsidRPr="00B912DC">
              <w:rPr>
                <w:rFonts w:ascii="Times New Roman" w:hAnsi="Times New Roman" w:cs="Times New Roman"/>
              </w:rPr>
              <w:t>6) Narrow</w:t>
            </w:r>
            <w:r>
              <w:rPr>
                <w:rFonts w:ascii="Times New Roman" w:hAnsi="Times New Roman" w:cs="Times New Roman"/>
              </w:rPr>
              <w:t xml:space="preserve"> Circuit</w:t>
            </w:r>
          </w:p>
        </w:tc>
        <w:tc>
          <w:tcPr>
            <w:tcW w:w="2952" w:type="dxa"/>
            <w:tcBorders>
              <w:left w:val="single" w:sz="18" w:space="0" w:color="auto"/>
              <w:right w:val="single" w:sz="18" w:space="0" w:color="auto"/>
            </w:tcBorders>
          </w:tcPr>
          <w:p w14:paraId="6E7EF352" w14:textId="77777777" w:rsidR="00AD05AA" w:rsidRPr="00B912DC" w:rsidRDefault="00AD05AA" w:rsidP="00AD05AA">
            <w:pPr>
              <w:keepNext/>
              <w:keepLines/>
              <w:jc w:val="center"/>
              <w:rPr>
                <w:rFonts w:ascii="Times New Roman" w:hAnsi="Times New Roman" w:cs="Times New Roman"/>
              </w:rPr>
            </w:pPr>
            <w:r w:rsidRPr="00B912DC">
              <w:rPr>
                <w:rFonts w:ascii="Times New Roman" w:hAnsi="Times New Roman" w:cs="Times New Roman"/>
              </w:rPr>
              <w:t xml:space="preserve">44.89% </w:t>
            </w:r>
            <w:r>
              <w:rPr>
                <w:rFonts w:ascii="Times New Roman" w:hAnsi="Times New Roman" w:cs="Times New Roman"/>
              </w:rPr>
              <w:t xml:space="preserve">   </w:t>
            </w:r>
            <w:r w:rsidRPr="00B912DC">
              <w:rPr>
                <w:rFonts w:ascii="Times New Roman" w:hAnsi="Times New Roman" w:cs="Times New Roman"/>
              </w:rPr>
              <w:t>(189)</w:t>
            </w:r>
          </w:p>
        </w:tc>
        <w:tc>
          <w:tcPr>
            <w:tcW w:w="2952" w:type="dxa"/>
            <w:tcBorders>
              <w:left w:val="single" w:sz="18" w:space="0" w:color="auto"/>
              <w:right w:val="single" w:sz="18" w:space="0" w:color="auto"/>
            </w:tcBorders>
          </w:tcPr>
          <w:p w14:paraId="17497E56" w14:textId="77777777" w:rsidR="00AD05AA" w:rsidRPr="00B912DC" w:rsidRDefault="00AD05AA" w:rsidP="00AD05AA">
            <w:pPr>
              <w:keepNext/>
              <w:keepLines/>
              <w:jc w:val="center"/>
              <w:rPr>
                <w:rFonts w:ascii="Times New Roman" w:hAnsi="Times New Roman" w:cs="Times New Roman"/>
              </w:rPr>
            </w:pPr>
          </w:p>
        </w:tc>
      </w:tr>
    </w:tbl>
    <w:p w14:paraId="638F482C" w14:textId="77777777" w:rsidR="00FA4FB3" w:rsidRDefault="00FA4FB3" w:rsidP="00AD05AA">
      <w:pPr>
        <w:spacing w:line="480" w:lineRule="auto"/>
        <w:rPr>
          <w:rFonts w:ascii="Times New Roman" w:hAnsi="Times New Roman" w:cs="Times New Roman"/>
        </w:rPr>
      </w:pPr>
    </w:p>
    <w:p w14:paraId="3EEB55EA" w14:textId="73ECEA1F" w:rsidR="00FC38D9" w:rsidRPr="00B912DC"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 xml:space="preserve">The findings in Table </w:t>
      </w:r>
      <w:r w:rsidR="00A64CB2">
        <w:rPr>
          <w:rFonts w:ascii="Times New Roman" w:hAnsi="Times New Roman" w:cs="Times New Roman"/>
        </w:rPr>
        <w:t>4</w:t>
      </w:r>
      <w:r w:rsidR="00DB4EAD">
        <w:rPr>
          <w:rFonts w:ascii="Times New Roman" w:hAnsi="Times New Roman" w:cs="Times New Roman"/>
        </w:rPr>
        <w:t>4</w:t>
      </w:r>
      <w:r w:rsidR="00A64CB2" w:rsidRPr="00B912DC">
        <w:rPr>
          <w:rFonts w:ascii="Times New Roman" w:hAnsi="Times New Roman" w:cs="Times New Roman"/>
        </w:rPr>
        <w:t xml:space="preserve"> </w:t>
      </w:r>
      <w:r w:rsidRPr="00B912DC">
        <w:rPr>
          <w:rFonts w:ascii="Times New Roman" w:hAnsi="Times New Roman" w:cs="Times New Roman"/>
        </w:rPr>
        <w:t xml:space="preserve">are consistent with the theory that a more debtor-friendly </w:t>
      </w:r>
      <w:r w:rsidR="00FA4FB3">
        <w:rPr>
          <w:rFonts w:ascii="Times New Roman" w:hAnsi="Times New Roman" w:cs="Times New Roman"/>
        </w:rPr>
        <w:t xml:space="preserve">interpretation of the </w:t>
      </w:r>
      <w:r>
        <w:rPr>
          <w:rFonts w:ascii="Times New Roman" w:hAnsi="Times New Roman" w:cs="Times New Roman"/>
        </w:rPr>
        <w:t xml:space="preserve">APR </w:t>
      </w:r>
      <w:r w:rsidRPr="00B912DC">
        <w:rPr>
          <w:rFonts w:ascii="Times New Roman" w:hAnsi="Times New Roman" w:cs="Times New Roman"/>
        </w:rPr>
        <w:t xml:space="preserve">allows individuals in chapter 11 to succeed more often. The success rate rises uniformly as the </w:t>
      </w:r>
      <w:r>
        <w:rPr>
          <w:rFonts w:ascii="Times New Roman" w:hAnsi="Times New Roman" w:cs="Times New Roman"/>
        </w:rPr>
        <w:t xml:space="preserve">APR </w:t>
      </w:r>
      <w:r w:rsidRPr="00B912DC">
        <w:rPr>
          <w:rFonts w:ascii="Times New Roman" w:hAnsi="Times New Roman" w:cs="Times New Roman"/>
        </w:rPr>
        <w:t>interpretation becomes more debtor-</w:t>
      </w:r>
      <w:r w:rsidR="0077281D">
        <w:rPr>
          <w:rFonts w:ascii="Times New Roman" w:hAnsi="Times New Roman" w:cs="Times New Roman"/>
        </w:rPr>
        <w:t>friendly—</w:t>
      </w:r>
      <w:r w:rsidRPr="00B912DC">
        <w:rPr>
          <w:rFonts w:ascii="Times New Roman" w:hAnsi="Times New Roman" w:cs="Times New Roman"/>
        </w:rPr>
        <w:t xml:space="preserve">from the narrow view to no precedent to the broad view. </w:t>
      </w:r>
      <w:r w:rsidRPr="00B912DC">
        <w:rPr>
          <w:rFonts w:ascii="Times New Roman" w:hAnsi="Times New Roman" w:cs="Times New Roman"/>
          <w:i/>
        </w:rPr>
        <w:t xml:space="preserve">Compare, e.g., </w:t>
      </w:r>
      <w:r w:rsidRPr="00B912DC">
        <w:rPr>
          <w:rFonts w:ascii="Times New Roman" w:hAnsi="Times New Roman" w:cs="Times New Roman"/>
        </w:rPr>
        <w:t xml:space="preserve">Row (3), Column (A) </w:t>
      </w:r>
      <w:r w:rsidRPr="00B912DC">
        <w:rPr>
          <w:rFonts w:ascii="Times New Roman" w:hAnsi="Times New Roman" w:cs="Times New Roman"/>
          <w:i/>
        </w:rPr>
        <w:t xml:space="preserve">with </w:t>
      </w:r>
      <w:r w:rsidRPr="00B912DC">
        <w:rPr>
          <w:rFonts w:ascii="Times New Roman" w:hAnsi="Times New Roman" w:cs="Times New Roman"/>
        </w:rPr>
        <w:t xml:space="preserve">Row (1), Column (A) of Table </w:t>
      </w:r>
      <w:r w:rsidR="00A64CB2">
        <w:rPr>
          <w:rFonts w:ascii="Times New Roman" w:hAnsi="Times New Roman" w:cs="Times New Roman"/>
        </w:rPr>
        <w:t>4</w:t>
      </w:r>
      <w:r w:rsidR="00DB4EAD">
        <w:rPr>
          <w:rFonts w:ascii="Times New Roman" w:hAnsi="Times New Roman" w:cs="Times New Roman"/>
        </w:rPr>
        <w:t>4</w:t>
      </w:r>
      <w:r w:rsidR="00A64CB2" w:rsidRPr="00B912DC">
        <w:rPr>
          <w:rFonts w:ascii="Times New Roman" w:hAnsi="Times New Roman" w:cs="Times New Roman"/>
        </w:rPr>
        <w:t xml:space="preserve">. </w:t>
      </w:r>
      <w:r w:rsidRPr="00B912DC">
        <w:rPr>
          <w:rFonts w:ascii="Times New Roman" w:hAnsi="Times New Roman" w:cs="Times New Roman"/>
        </w:rPr>
        <w:t xml:space="preserve">If we consider all cases, then we can reject with 99% certainty (p&lt;0.01) the null hypothesis that the success rates do not vary with the court’s interpretation of the exception to the </w:t>
      </w:r>
      <w:r w:rsidR="006561BB">
        <w:rPr>
          <w:rFonts w:ascii="Times New Roman" w:hAnsi="Times New Roman" w:cs="Times New Roman"/>
        </w:rPr>
        <w:t>APR</w:t>
      </w:r>
      <w:r w:rsidRPr="00B912DC">
        <w:rPr>
          <w:rFonts w:ascii="Times New Roman" w:hAnsi="Times New Roman" w:cs="Times New Roman"/>
        </w:rPr>
        <w:t xml:space="preserve">. If we focus only on the circuit court cases, then </w:t>
      </w:r>
      <w:r>
        <w:rPr>
          <w:rFonts w:ascii="Times New Roman" w:hAnsi="Times New Roman" w:cs="Times New Roman"/>
        </w:rPr>
        <w:t xml:space="preserve">we cannot reject the hypothesis of no difference with 90% certainty; </w:t>
      </w:r>
      <w:r w:rsidRPr="00B912DC">
        <w:rPr>
          <w:rFonts w:ascii="Times New Roman" w:hAnsi="Times New Roman" w:cs="Times New Roman"/>
        </w:rPr>
        <w:t xml:space="preserve">the p-value rises to 0.13.  </w:t>
      </w:r>
      <w:r w:rsidRPr="00B912DC">
        <w:rPr>
          <w:rFonts w:ascii="Times New Roman" w:hAnsi="Times New Roman" w:cs="Times New Roman"/>
          <w:i/>
        </w:rPr>
        <w:t xml:space="preserve">See </w:t>
      </w:r>
      <w:r w:rsidRPr="00B912DC">
        <w:rPr>
          <w:rFonts w:ascii="Times New Roman" w:hAnsi="Times New Roman" w:cs="Times New Roman"/>
        </w:rPr>
        <w:t xml:space="preserve">Column (A), Rows 4-6 of Table </w:t>
      </w:r>
      <w:r w:rsidR="00A64CB2">
        <w:rPr>
          <w:rFonts w:ascii="Times New Roman" w:hAnsi="Times New Roman" w:cs="Times New Roman"/>
        </w:rPr>
        <w:t>4</w:t>
      </w:r>
      <w:r w:rsidR="00DB4EAD">
        <w:rPr>
          <w:rFonts w:ascii="Times New Roman" w:hAnsi="Times New Roman" w:cs="Times New Roman"/>
        </w:rPr>
        <w:t>4</w:t>
      </w:r>
      <w:r w:rsidR="00A64CB2" w:rsidRPr="00B912DC">
        <w:rPr>
          <w:rFonts w:ascii="Times New Roman" w:hAnsi="Times New Roman" w:cs="Times New Roman"/>
        </w:rPr>
        <w:t xml:space="preserve">. </w:t>
      </w:r>
      <w:r>
        <w:rPr>
          <w:rFonts w:ascii="Times New Roman" w:hAnsi="Times New Roman" w:cs="Times New Roman"/>
        </w:rPr>
        <w:t xml:space="preserve">Even if the court’s interpretation of the </w:t>
      </w:r>
      <w:r w:rsidR="00D95FFC">
        <w:rPr>
          <w:rFonts w:ascii="Times New Roman" w:hAnsi="Times New Roman" w:cs="Times New Roman"/>
        </w:rPr>
        <w:t xml:space="preserve">exception to the </w:t>
      </w:r>
      <w:r w:rsidRPr="00B912DC">
        <w:rPr>
          <w:rFonts w:ascii="Times New Roman" w:hAnsi="Times New Roman" w:cs="Times New Roman"/>
        </w:rPr>
        <w:t xml:space="preserve">APR </w:t>
      </w:r>
      <w:r>
        <w:rPr>
          <w:rFonts w:ascii="Times New Roman" w:hAnsi="Times New Roman" w:cs="Times New Roman"/>
        </w:rPr>
        <w:t xml:space="preserve">is correlated with the </w:t>
      </w:r>
      <w:r w:rsidRPr="00B912DC">
        <w:rPr>
          <w:rFonts w:ascii="Times New Roman" w:hAnsi="Times New Roman" w:cs="Times New Roman"/>
        </w:rPr>
        <w:t>rate of success</w:t>
      </w:r>
      <w:r>
        <w:rPr>
          <w:rFonts w:ascii="Times New Roman" w:hAnsi="Times New Roman" w:cs="Times New Roman"/>
        </w:rPr>
        <w:t>, this</w:t>
      </w:r>
      <w:r w:rsidRPr="00B912DC">
        <w:rPr>
          <w:rFonts w:ascii="Times New Roman" w:hAnsi="Times New Roman" w:cs="Times New Roman"/>
        </w:rPr>
        <w:t xml:space="preserve"> may be due to other factors that are themselves correlated with each variable (omitted variable bias).</w:t>
      </w:r>
      <w:r>
        <w:rPr>
          <w:rStyle w:val="FootnoteReference"/>
          <w:rFonts w:ascii="Times New Roman" w:hAnsi="Times New Roman" w:cs="Times New Roman"/>
        </w:rPr>
        <w:footnoteReference w:id="216"/>
      </w:r>
      <w:r w:rsidRPr="00B912DC">
        <w:rPr>
          <w:rFonts w:ascii="Times New Roman" w:hAnsi="Times New Roman" w:cs="Times New Roman"/>
        </w:rPr>
        <w:t xml:space="preserve"> For example, jurisdictions that adopt the broad interpretation may be more likely to have adopted other debtor-friendly rules or procedures. To address th</w:t>
      </w:r>
      <w:r>
        <w:rPr>
          <w:rFonts w:ascii="Times New Roman" w:hAnsi="Times New Roman" w:cs="Times New Roman"/>
        </w:rPr>
        <w:t xml:space="preserve">e </w:t>
      </w:r>
      <w:r w:rsidRPr="00B912DC">
        <w:rPr>
          <w:rFonts w:ascii="Times New Roman" w:hAnsi="Times New Roman" w:cs="Times New Roman"/>
        </w:rPr>
        <w:t>problem</w:t>
      </w:r>
      <w:r>
        <w:rPr>
          <w:rFonts w:ascii="Times New Roman" w:hAnsi="Times New Roman" w:cs="Times New Roman"/>
        </w:rPr>
        <w:t xml:space="preserve"> of omitted variable bias,</w:t>
      </w:r>
      <w:r w:rsidRPr="00B912DC">
        <w:rPr>
          <w:rFonts w:ascii="Times New Roman" w:hAnsi="Times New Roman" w:cs="Times New Roman"/>
        </w:rPr>
        <w:t xml:space="preserve"> we </w:t>
      </w:r>
      <w:r w:rsidR="006561BB">
        <w:rPr>
          <w:rFonts w:ascii="Times New Roman" w:hAnsi="Times New Roman" w:cs="Times New Roman"/>
        </w:rPr>
        <w:t>used</w:t>
      </w:r>
      <w:r w:rsidRPr="00B912DC">
        <w:rPr>
          <w:rFonts w:ascii="Times New Roman" w:hAnsi="Times New Roman" w:cs="Times New Roman"/>
        </w:rPr>
        <w:t xml:space="preserve"> regression analysis.</w:t>
      </w:r>
    </w:p>
    <w:p w14:paraId="3DDE3FD5" w14:textId="753F8949" w:rsidR="00B06764"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 xml:space="preserve">Table </w:t>
      </w:r>
      <w:r w:rsidR="00DB4EAD">
        <w:rPr>
          <w:rFonts w:ascii="Times New Roman" w:hAnsi="Times New Roman" w:cs="Times New Roman"/>
        </w:rPr>
        <w:t>45</w:t>
      </w:r>
      <w:r w:rsidR="00A64CB2">
        <w:rPr>
          <w:rFonts w:ascii="Times New Roman" w:hAnsi="Times New Roman" w:cs="Times New Roman"/>
        </w:rPr>
        <w:t xml:space="preserve"> </w:t>
      </w:r>
      <w:r w:rsidRPr="00B912DC">
        <w:rPr>
          <w:rFonts w:ascii="Times New Roman" w:hAnsi="Times New Roman" w:cs="Times New Roman"/>
        </w:rPr>
        <w:t>presents the results of six regressions that use the variables</w:t>
      </w:r>
      <w:r>
        <w:rPr>
          <w:rFonts w:ascii="Times New Roman" w:hAnsi="Times New Roman" w:cs="Times New Roman"/>
        </w:rPr>
        <w:t xml:space="preserve"> set forth in Tables </w:t>
      </w:r>
      <w:r w:rsidR="00A64CB2">
        <w:rPr>
          <w:rFonts w:ascii="Times New Roman" w:hAnsi="Times New Roman" w:cs="Times New Roman"/>
        </w:rPr>
        <w:t>4</w:t>
      </w:r>
      <w:r w:rsidR="00DB4EAD">
        <w:rPr>
          <w:rFonts w:ascii="Times New Roman" w:hAnsi="Times New Roman" w:cs="Times New Roman"/>
        </w:rPr>
        <w:t>2</w:t>
      </w:r>
      <w:r w:rsidR="00A64CB2">
        <w:rPr>
          <w:rFonts w:ascii="Times New Roman" w:hAnsi="Times New Roman" w:cs="Times New Roman"/>
        </w:rPr>
        <w:t xml:space="preserve"> </w:t>
      </w:r>
      <w:r>
        <w:rPr>
          <w:rFonts w:ascii="Times New Roman" w:hAnsi="Times New Roman" w:cs="Times New Roman"/>
        </w:rPr>
        <w:t xml:space="preserve">through </w:t>
      </w:r>
      <w:r w:rsidR="00A64CB2">
        <w:rPr>
          <w:rFonts w:ascii="Times New Roman" w:hAnsi="Times New Roman" w:cs="Times New Roman"/>
        </w:rPr>
        <w:t>4</w:t>
      </w:r>
      <w:r w:rsidR="00DB4EAD">
        <w:rPr>
          <w:rFonts w:ascii="Times New Roman" w:hAnsi="Times New Roman" w:cs="Times New Roman"/>
        </w:rPr>
        <w:t>4</w:t>
      </w:r>
      <w:r w:rsidR="00A64CB2">
        <w:rPr>
          <w:rFonts w:ascii="Times New Roman" w:hAnsi="Times New Roman" w:cs="Times New Roman"/>
        </w:rPr>
        <w:t xml:space="preserve">, </w:t>
      </w:r>
      <w:r w:rsidRPr="00B912DC">
        <w:rPr>
          <w:rFonts w:ascii="Times New Roman" w:hAnsi="Times New Roman" w:cs="Times New Roman"/>
        </w:rPr>
        <w:t xml:space="preserve">as well as the unemployment rate in the </w:t>
      </w:r>
      <w:r>
        <w:rPr>
          <w:rFonts w:ascii="Times New Roman" w:hAnsi="Times New Roman" w:cs="Times New Roman"/>
        </w:rPr>
        <w:t xml:space="preserve">relevant </w:t>
      </w:r>
      <w:r w:rsidR="00DC4216">
        <w:rPr>
          <w:rFonts w:ascii="Times New Roman" w:hAnsi="Times New Roman" w:cs="Times New Roman"/>
        </w:rPr>
        <w:t xml:space="preserve">judicial district. </w:t>
      </w:r>
      <w:r w:rsidRPr="00B912DC">
        <w:rPr>
          <w:rFonts w:ascii="Times New Roman" w:hAnsi="Times New Roman" w:cs="Times New Roman"/>
        </w:rPr>
        <w:t xml:space="preserve">The first two columns (A) and (B) </w:t>
      </w:r>
      <w:r>
        <w:rPr>
          <w:rFonts w:ascii="Times New Roman" w:hAnsi="Times New Roman" w:cs="Times New Roman"/>
        </w:rPr>
        <w:t xml:space="preserve">of Table </w:t>
      </w:r>
      <w:r w:rsidR="00DB4EAD">
        <w:rPr>
          <w:rFonts w:ascii="Times New Roman" w:hAnsi="Times New Roman" w:cs="Times New Roman"/>
        </w:rPr>
        <w:t>4</w:t>
      </w:r>
      <w:r w:rsidR="00A64CB2">
        <w:rPr>
          <w:rFonts w:ascii="Times New Roman" w:hAnsi="Times New Roman" w:cs="Times New Roman"/>
        </w:rPr>
        <w:t xml:space="preserve">5 </w:t>
      </w:r>
      <w:r>
        <w:rPr>
          <w:rFonts w:ascii="Times New Roman" w:hAnsi="Times New Roman" w:cs="Times New Roman"/>
        </w:rPr>
        <w:t xml:space="preserve">present the results </w:t>
      </w:r>
      <w:r w:rsidR="00836BC8">
        <w:rPr>
          <w:rFonts w:ascii="Times New Roman" w:hAnsi="Times New Roman" w:cs="Times New Roman"/>
        </w:rPr>
        <w:t xml:space="preserve">of </w:t>
      </w:r>
      <w:r w:rsidRPr="00B912DC">
        <w:rPr>
          <w:rFonts w:ascii="Times New Roman" w:hAnsi="Times New Roman" w:cs="Times New Roman"/>
        </w:rPr>
        <w:t>models</w:t>
      </w:r>
      <w:r w:rsidR="00836BC8">
        <w:rPr>
          <w:rFonts w:ascii="Times New Roman" w:hAnsi="Times New Roman" w:cs="Times New Roman"/>
        </w:rPr>
        <w:t xml:space="preserve"> that do not include fixed district effects</w:t>
      </w:r>
      <w:r w:rsidRPr="00B912DC">
        <w:rPr>
          <w:rFonts w:ascii="Times New Roman" w:hAnsi="Times New Roman" w:cs="Times New Roman"/>
        </w:rPr>
        <w:t>.</w:t>
      </w:r>
      <w:r w:rsidRPr="00B912DC">
        <w:rPr>
          <w:rStyle w:val="FootnoteReference"/>
          <w:rFonts w:ascii="Times New Roman" w:hAnsi="Times New Roman" w:cs="Times New Roman"/>
        </w:rPr>
        <w:footnoteReference w:id="217"/>
      </w:r>
      <w:r w:rsidRPr="00B912DC">
        <w:rPr>
          <w:rFonts w:ascii="Times New Roman" w:hAnsi="Times New Roman" w:cs="Times New Roman"/>
        </w:rPr>
        <w:t xml:space="preserve"> </w:t>
      </w:r>
      <w:r>
        <w:rPr>
          <w:rFonts w:ascii="Times New Roman" w:hAnsi="Times New Roman" w:cs="Times New Roman"/>
        </w:rPr>
        <w:t xml:space="preserve">Some variables are not included in every regression. If a variable is omitted, the corresponding cell is left blank. </w:t>
      </w:r>
    </w:p>
    <w:p w14:paraId="654BD8CF" w14:textId="673B2A09" w:rsidR="00FC38D9" w:rsidRPr="00B912DC"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 xml:space="preserve">Column </w:t>
      </w:r>
      <w:r>
        <w:rPr>
          <w:rFonts w:ascii="Times New Roman" w:hAnsi="Times New Roman" w:cs="Times New Roman"/>
        </w:rPr>
        <w:t>(</w:t>
      </w:r>
      <w:r w:rsidRPr="00B912DC">
        <w:rPr>
          <w:rFonts w:ascii="Times New Roman" w:hAnsi="Times New Roman" w:cs="Times New Roman"/>
        </w:rPr>
        <w:t>A</w:t>
      </w:r>
      <w:r>
        <w:rPr>
          <w:rFonts w:ascii="Times New Roman" w:hAnsi="Times New Roman" w:cs="Times New Roman"/>
        </w:rPr>
        <w:t>)</w:t>
      </w:r>
      <w:r w:rsidRPr="00B912DC">
        <w:rPr>
          <w:rFonts w:ascii="Times New Roman" w:hAnsi="Times New Roman" w:cs="Times New Roman"/>
        </w:rPr>
        <w:t xml:space="preserve"> restricts the sample to cases filed in 2010; outcome information is not limited to 545 days. Because there were no APR precedents on the circuit or BAP level in 2010, </w:t>
      </w:r>
      <w:r>
        <w:rPr>
          <w:rFonts w:ascii="Times New Roman" w:hAnsi="Times New Roman" w:cs="Times New Roman"/>
        </w:rPr>
        <w:t xml:space="preserve">the measures </w:t>
      </w:r>
      <w:r>
        <w:rPr>
          <w:rFonts w:ascii="Times New Roman" w:hAnsi="Times New Roman" w:cs="Times New Roman"/>
          <w:i/>
        </w:rPr>
        <w:t xml:space="preserve">broad </w:t>
      </w:r>
      <w:r>
        <w:rPr>
          <w:rFonts w:ascii="Times New Roman" w:hAnsi="Times New Roman" w:cs="Times New Roman"/>
        </w:rPr>
        <w:t xml:space="preserve">and </w:t>
      </w:r>
      <w:r>
        <w:rPr>
          <w:rFonts w:ascii="Times New Roman" w:hAnsi="Times New Roman" w:cs="Times New Roman"/>
          <w:i/>
        </w:rPr>
        <w:t xml:space="preserve">narrow </w:t>
      </w:r>
      <w:r>
        <w:rPr>
          <w:rFonts w:ascii="Times New Roman" w:hAnsi="Times New Roman" w:cs="Times New Roman"/>
        </w:rPr>
        <w:t xml:space="preserve">are used. The coefficients on </w:t>
      </w:r>
      <w:r>
        <w:rPr>
          <w:rFonts w:ascii="Times New Roman" w:hAnsi="Times New Roman" w:cs="Times New Roman"/>
          <w:i/>
        </w:rPr>
        <w:t xml:space="preserve">broad </w:t>
      </w:r>
      <w:r>
        <w:rPr>
          <w:rFonts w:ascii="Times New Roman" w:hAnsi="Times New Roman" w:cs="Times New Roman"/>
        </w:rPr>
        <w:t xml:space="preserve">and </w:t>
      </w:r>
      <w:r>
        <w:rPr>
          <w:rFonts w:ascii="Times New Roman" w:hAnsi="Times New Roman" w:cs="Times New Roman"/>
          <w:i/>
        </w:rPr>
        <w:t xml:space="preserve">narrow </w:t>
      </w:r>
      <w:r>
        <w:rPr>
          <w:rFonts w:ascii="Times New Roman" w:hAnsi="Times New Roman" w:cs="Times New Roman"/>
        </w:rPr>
        <w:t xml:space="preserve">should be interpreted relative to cases </w:t>
      </w:r>
      <w:r w:rsidR="0077281D">
        <w:rPr>
          <w:rFonts w:ascii="Times New Roman" w:hAnsi="Times New Roman" w:cs="Times New Roman"/>
        </w:rPr>
        <w:t>lacking</w:t>
      </w:r>
      <w:r>
        <w:rPr>
          <w:rFonts w:ascii="Times New Roman" w:hAnsi="Times New Roman" w:cs="Times New Roman"/>
        </w:rPr>
        <w:t xml:space="preserve"> relevant precedent (the omitted group). </w:t>
      </w:r>
      <w:r w:rsidRPr="00B912DC">
        <w:rPr>
          <w:rFonts w:ascii="Times New Roman" w:hAnsi="Times New Roman" w:cs="Times New Roman"/>
        </w:rPr>
        <w:t>Column (B) looks at the full sample</w:t>
      </w:r>
      <w:r>
        <w:rPr>
          <w:rFonts w:ascii="Times New Roman" w:hAnsi="Times New Roman" w:cs="Times New Roman"/>
        </w:rPr>
        <w:t>, 2010 and 2013</w:t>
      </w:r>
      <w:r w:rsidRPr="00B912DC">
        <w:rPr>
          <w:rFonts w:ascii="Times New Roman" w:hAnsi="Times New Roman" w:cs="Times New Roman"/>
        </w:rPr>
        <w:t xml:space="preserve">, </w:t>
      </w:r>
      <w:r>
        <w:rPr>
          <w:rFonts w:ascii="Times New Roman" w:hAnsi="Times New Roman" w:cs="Times New Roman"/>
        </w:rPr>
        <w:t xml:space="preserve">and </w:t>
      </w:r>
      <w:r w:rsidRPr="00B912DC">
        <w:rPr>
          <w:rFonts w:ascii="Times New Roman" w:hAnsi="Times New Roman" w:cs="Times New Roman"/>
        </w:rPr>
        <w:t>is limited to outcomes that occurred within 545 days of t</w:t>
      </w:r>
      <w:r>
        <w:rPr>
          <w:rFonts w:ascii="Times New Roman" w:hAnsi="Times New Roman" w:cs="Times New Roman"/>
        </w:rPr>
        <w:t xml:space="preserve">he start of </w:t>
      </w:r>
      <w:r w:rsidR="00763F31">
        <w:rPr>
          <w:rFonts w:ascii="Times New Roman" w:hAnsi="Times New Roman" w:cs="Times New Roman"/>
        </w:rPr>
        <w:t>each</w:t>
      </w:r>
      <w:r>
        <w:rPr>
          <w:rFonts w:ascii="Times New Roman" w:hAnsi="Times New Roman" w:cs="Times New Roman"/>
        </w:rPr>
        <w:t xml:space="preserve"> chapter 11 case. Column (B) also </w:t>
      </w:r>
      <w:r w:rsidRPr="00B912DC">
        <w:rPr>
          <w:rFonts w:ascii="Times New Roman" w:hAnsi="Times New Roman" w:cs="Times New Roman"/>
        </w:rPr>
        <w:t>considers only circuit court and bankruptcy appellate panel precedent. The numbers in parentheses are p-values.</w:t>
      </w:r>
    </w:p>
    <w:p w14:paraId="7AA55542" w14:textId="77777777" w:rsidR="00AD05AA" w:rsidRPr="00465506" w:rsidRDefault="00AD05AA" w:rsidP="00AD05AA">
      <w:pPr>
        <w:keepNext/>
        <w:keepLines/>
        <w:spacing w:line="480" w:lineRule="auto"/>
        <w:ind w:firstLine="720"/>
        <w:jc w:val="center"/>
        <w:rPr>
          <w:rFonts w:ascii="Times New Roman" w:hAnsi="Times New Roman" w:cs="Times New Roman"/>
          <w:b/>
        </w:rPr>
      </w:pPr>
      <w:r w:rsidRPr="00465506">
        <w:rPr>
          <w:rFonts w:ascii="Times New Roman" w:hAnsi="Times New Roman" w:cs="Times New Roman"/>
          <w:b/>
        </w:rPr>
        <w:t xml:space="preserve">Table </w:t>
      </w:r>
      <w:r>
        <w:rPr>
          <w:rFonts w:ascii="Times New Roman" w:hAnsi="Times New Roman" w:cs="Times New Roman"/>
          <w:b/>
        </w:rPr>
        <w:t>45</w:t>
      </w:r>
      <w:r w:rsidRPr="00465506">
        <w:rPr>
          <w:rFonts w:ascii="Times New Roman" w:hAnsi="Times New Roman" w:cs="Times New Roman"/>
          <w:b/>
        </w:rPr>
        <w:t>: Regressions of Su</w:t>
      </w:r>
      <w:r>
        <w:rPr>
          <w:rFonts w:ascii="Times New Roman" w:hAnsi="Times New Roman" w:cs="Times New Roman"/>
          <w:b/>
        </w:rPr>
        <w:t>rvival</w:t>
      </w:r>
      <w:r w:rsidRPr="00465506">
        <w:rPr>
          <w:rFonts w:ascii="Times New Roman" w:hAnsi="Times New Roman" w:cs="Times New Roman"/>
          <w:b/>
        </w:rPr>
        <w:t xml:space="preserve"> Rate</w:t>
      </w:r>
      <w:r>
        <w:rPr>
          <w:rFonts w:ascii="Times New Roman" w:hAnsi="Times New Roman" w:cs="Times New Roman"/>
          <w:b/>
        </w:rPr>
        <w:t>—PACER Data</w:t>
      </w:r>
    </w:p>
    <w:tbl>
      <w:tblPr>
        <w:tblStyle w:val="TableGrid"/>
        <w:tblW w:w="9052" w:type="dxa"/>
        <w:tblLayout w:type="fixed"/>
        <w:tblLook w:val="04A0" w:firstRow="1" w:lastRow="0" w:firstColumn="1" w:lastColumn="0" w:noHBand="0" w:noVBand="1"/>
      </w:tblPr>
      <w:tblGrid>
        <w:gridCol w:w="1818"/>
        <w:gridCol w:w="1260"/>
        <w:gridCol w:w="1260"/>
        <w:gridCol w:w="1170"/>
        <w:gridCol w:w="1170"/>
        <w:gridCol w:w="1170"/>
        <w:gridCol w:w="1204"/>
      </w:tblGrid>
      <w:tr w:rsidR="00AD05AA" w:rsidRPr="00506CEE" w14:paraId="577FE449" w14:textId="77777777" w:rsidTr="00AD05AA">
        <w:tc>
          <w:tcPr>
            <w:tcW w:w="1818" w:type="dxa"/>
            <w:tcBorders>
              <w:top w:val="single" w:sz="18" w:space="0" w:color="auto"/>
              <w:left w:val="single" w:sz="18" w:space="0" w:color="auto"/>
              <w:bottom w:val="single" w:sz="18" w:space="0" w:color="auto"/>
              <w:right w:val="single" w:sz="18" w:space="0" w:color="auto"/>
            </w:tcBorders>
          </w:tcPr>
          <w:p w14:paraId="33C4B140" w14:textId="77777777" w:rsidR="00AD05AA" w:rsidRPr="00F951E5" w:rsidRDefault="00AD05AA" w:rsidP="00AD05AA">
            <w:pPr>
              <w:keepNext/>
              <w:keepLines/>
              <w:jc w:val="center"/>
              <w:rPr>
                <w:rFonts w:ascii="Times New Roman" w:hAnsi="Times New Roman" w:cs="Times New Roman"/>
                <w:i/>
                <w:sz w:val="22"/>
                <w:szCs w:val="22"/>
              </w:rPr>
            </w:pPr>
            <w:r w:rsidRPr="00F951E5">
              <w:rPr>
                <w:rFonts w:ascii="Times New Roman" w:hAnsi="Times New Roman" w:cs="Times New Roman"/>
                <w:i/>
                <w:sz w:val="22"/>
                <w:szCs w:val="22"/>
              </w:rPr>
              <w:t>Variables</w:t>
            </w:r>
          </w:p>
        </w:tc>
        <w:tc>
          <w:tcPr>
            <w:tcW w:w="1260" w:type="dxa"/>
            <w:tcBorders>
              <w:top w:val="single" w:sz="18" w:space="0" w:color="auto"/>
              <w:left w:val="single" w:sz="18" w:space="0" w:color="auto"/>
              <w:bottom w:val="single" w:sz="18" w:space="0" w:color="auto"/>
            </w:tcBorders>
          </w:tcPr>
          <w:p w14:paraId="1BD0A9DC" w14:textId="77777777" w:rsidR="00AD05AA" w:rsidRPr="00F951E5"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(A)</w:t>
            </w:r>
          </w:p>
          <w:p w14:paraId="2F112CF2" w14:textId="77777777" w:rsidR="00AD05AA" w:rsidRPr="00F951E5" w:rsidRDefault="00AD05AA" w:rsidP="00AD05AA">
            <w:pPr>
              <w:keepNext/>
              <w:keepLines/>
              <w:jc w:val="center"/>
              <w:rPr>
                <w:rFonts w:ascii="Times New Roman" w:hAnsi="Times New Roman" w:cs="Times New Roman"/>
                <w:sz w:val="22"/>
                <w:szCs w:val="22"/>
              </w:rPr>
            </w:pPr>
            <w:r>
              <w:rPr>
                <w:rFonts w:ascii="Times New Roman" w:hAnsi="Times New Roman" w:cs="Times New Roman"/>
                <w:sz w:val="22"/>
                <w:szCs w:val="22"/>
              </w:rPr>
              <w:t>Survive 2010</w:t>
            </w:r>
          </w:p>
        </w:tc>
        <w:tc>
          <w:tcPr>
            <w:tcW w:w="1260" w:type="dxa"/>
            <w:tcBorders>
              <w:top w:val="single" w:sz="18" w:space="0" w:color="auto"/>
              <w:bottom w:val="single" w:sz="18" w:space="0" w:color="auto"/>
              <w:right w:val="single" w:sz="18" w:space="0" w:color="auto"/>
            </w:tcBorders>
          </w:tcPr>
          <w:p w14:paraId="40F61974" w14:textId="77777777" w:rsidR="00AD05AA" w:rsidRPr="00F951E5"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(B)</w:t>
            </w:r>
          </w:p>
          <w:p w14:paraId="3C3B534E" w14:textId="77777777" w:rsidR="00AD05AA"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Su</w:t>
            </w:r>
            <w:r>
              <w:rPr>
                <w:rFonts w:ascii="Times New Roman" w:hAnsi="Times New Roman" w:cs="Times New Roman"/>
                <w:sz w:val="22"/>
                <w:szCs w:val="22"/>
              </w:rPr>
              <w:t>rvive</w:t>
            </w:r>
          </w:p>
          <w:p w14:paraId="4AF79AD9" w14:textId="77777777" w:rsidR="00AD05AA" w:rsidRPr="00F951E5"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545</w:t>
            </w:r>
          </w:p>
        </w:tc>
        <w:tc>
          <w:tcPr>
            <w:tcW w:w="1170" w:type="dxa"/>
            <w:tcBorders>
              <w:top w:val="single" w:sz="18" w:space="0" w:color="auto"/>
              <w:left w:val="single" w:sz="18" w:space="0" w:color="auto"/>
              <w:bottom w:val="single" w:sz="18" w:space="0" w:color="auto"/>
            </w:tcBorders>
          </w:tcPr>
          <w:p w14:paraId="17FC4390" w14:textId="77777777" w:rsidR="00AD05AA" w:rsidRPr="00F951E5"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(C)</w:t>
            </w:r>
          </w:p>
          <w:p w14:paraId="43B89ECA" w14:textId="77777777" w:rsidR="00AD05AA" w:rsidRDefault="00AD05AA" w:rsidP="00AD05AA">
            <w:pPr>
              <w:keepNext/>
              <w:keepLines/>
              <w:jc w:val="center"/>
              <w:rPr>
                <w:rFonts w:ascii="Times New Roman" w:hAnsi="Times New Roman" w:cs="Times New Roman"/>
                <w:sz w:val="22"/>
                <w:szCs w:val="22"/>
              </w:rPr>
            </w:pPr>
            <w:r>
              <w:rPr>
                <w:rFonts w:ascii="Times New Roman" w:hAnsi="Times New Roman" w:cs="Times New Roman"/>
                <w:sz w:val="22"/>
                <w:szCs w:val="22"/>
              </w:rPr>
              <w:t>Survive</w:t>
            </w:r>
          </w:p>
          <w:p w14:paraId="1CB07D0F" w14:textId="77777777" w:rsidR="00AD05AA" w:rsidRPr="00F951E5" w:rsidRDefault="00AD05AA" w:rsidP="00AD05AA">
            <w:pPr>
              <w:keepNext/>
              <w:keepLines/>
              <w:jc w:val="center"/>
              <w:rPr>
                <w:rFonts w:ascii="Times New Roman" w:hAnsi="Times New Roman" w:cs="Times New Roman"/>
                <w:sz w:val="22"/>
                <w:szCs w:val="22"/>
              </w:rPr>
            </w:pPr>
            <w:r>
              <w:rPr>
                <w:rFonts w:ascii="Times New Roman" w:hAnsi="Times New Roman" w:cs="Times New Roman"/>
                <w:sz w:val="22"/>
                <w:szCs w:val="22"/>
              </w:rPr>
              <w:t>545</w:t>
            </w:r>
          </w:p>
        </w:tc>
        <w:tc>
          <w:tcPr>
            <w:tcW w:w="1170" w:type="dxa"/>
            <w:tcBorders>
              <w:top w:val="single" w:sz="18" w:space="0" w:color="auto"/>
              <w:bottom w:val="single" w:sz="18" w:space="0" w:color="auto"/>
              <w:right w:val="single" w:sz="18" w:space="0" w:color="auto"/>
            </w:tcBorders>
          </w:tcPr>
          <w:p w14:paraId="39BA5B7A" w14:textId="77777777" w:rsidR="00AD05AA" w:rsidRPr="00F951E5"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(D)</w:t>
            </w:r>
          </w:p>
          <w:p w14:paraId="3D54258C" w14:textId="77777777" w:rsidR="00AD05AA"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Su</w:t>
            </w:r>
            <w:r>
              <w:rPr>
                <w:rFonts w:ascii="Times New Roman" w:hAnsi="Times New Roman" w:cs="Times New Roman"/>
                <w:sz w:val="22"/>
                <w:szCs w:val="22"/>
              </w:rPr>
              <w:t>rvive</w:t>
            </w:r>
          </w:p>
          <w:p w14:paraId="6031379C" w14:textId="77777777" w:rsidR="00AD05AA" w:rsidRPr="00F951E5"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545</w:t>
            </w:r>
          </w:p>
        </w:tc>
        <w:tc>
          <w:tcPr>
            <w:tcW w:w="1170" w:type="dxa"/>
            <w:tcBorders>
              <w:top w:val="single" w:sz="18" w:space="0" w:color="auto"/>
              <w:left w:val="single" w:sz="18" w:space="0" w:color="auto"/>
              <w:bottom w:val="single" w:sz="18" w:space="0" w:color="auto"/>
            </w:tcBorders>
          </w:tcPr>
          <w:p w14:paraId="5B2F4E03" w14:textId="77777777" w:rsidR="00AD05AA" w:rsidRPr="00F951E5"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(E)</w:t>
            </w:r>
          </w:p>
          <w:p w14:paraId="40D0A9F9" w14:textId="77777777" w:rsidR="00AD05AA" w:rsidRDefault="00AD05AA" w:rsidP="00AD05AA">
            <w:pPr>
              <w:keepNext/>
              <w:keepLines/>
              <w:jc w:val="center"/>
              <w:rPr>
                <w:rFonts w:ascii="Times New Roman" w:hAnsi="Times New Roman" w:cs="Times New Roman"/>
                <w:sz w:val="22"/>
                <w:szCs w:val="22"/>
              </w:rPr>
            </w:pPr>
            <w:r>
              <w:rPr>
                <w:rFonts w:ascii="Times New Roman" w:hAnsi="Times New Roman" w:cs="Times New Roman"/>
                <w:sz w:val="22"/>
                <w:szCs w:val="22"/>
              </w:rPr>
              <w:t>Survive</w:t>
            </w:r>
          </w:p>
          <w:p w14:paraId="201589FA" w14:textId="77777777" w:rsidR="00AD05AA" w:rsidRPr="00F951E5" w:rsidRDefault="00AD05AA" w:rsidP="00AD05AA">
            <w:pPr>
              <w:keepNext/>
              <w:keepLines/>
              <w:jc w:val="center"/>
              <w:rPr>
                <w:rFonts w:ascii="Times New Roman" w:hAnsi="Times New Roman" w:cs="Times New Roman"/>
                <w:sz w:val="22"/>
                <w:szCs w:val="22"/>
              </w:rPr>
            </w:pPr>
            <w:r>
              <w:rPr>
                <w:rFonts w:ascii="Times New Roman" w:hAnsi="Times New Roman" w:cs="Times New Roman"/>
                <w:sz w:val="22"/>
                <w:szCs w:val="22"/>
              </w:rPr>
              <w:t>545</w:t>
            </w:r>
          </w:p>
        </w:tc>
        <w:tc>
          <w:tcPr>
            <w:tcW w:w="1204" w:type="dxa"/>
            <w:tcBorders>
              <w:top w:val="single" w:sz="18" w:space="0" w:color="auto"/>
              <w:bottom w:val="single" w:sz="18" w:space="0" w:color="auto"/>
              <w:right w:val="single" w:sz="18" w:space="0" w:color="auto"/>
            </w:tcBorders>
          </w:tcPr>
          <w:p w14:paraId="755B1176" w14:textId="77777777" w:rsidR="00AD05AA" w:rsidRPr="00F951E5"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(F)</w:t>
            </w:r>
          </w:p>
          <w:p w14:paraId="41B9CD4F" w14:textId="77777777" w:rsidR="00AD05AA" w:rsidRDefault="00AD05AA" w:rsidP="00AD05AA">
            <w:pPr>
              <w:keepNext/>
              <w:keepLines/>
              <w:jc w:val="center"/>
              <w:rPr>
                <w:rFonts w:ascii="Times New Roman" w:hAnsi="Times New Roman" w:cs="Times New Roman"/>
                <w:sz w:val="22"/>
                <w:szCs w:val="22"/>
              </w:rPr>
            </w:pPr>
            <w:r>
              <w:rPr>
                <w:rFonts w:ascii="Times New Roman" w:hAnsi="Times New Roman" w:cs="Times New Roman"/>
                <w:sz w:val="22"/>
                <w:szCs w:val="22"/>
              </w:rPr>
              <w:t>Survive</w:t>
            </w:r>
          </w:p>
          <w:p w14:paraId="100629D7" w14:textId="77777777" w:rsidR="00AD05AA" w:rsidRPr="00F951E5" w:rsidRDefault="00AD05AA" w:rsidP="00AD05AA">
            <w:pPr>
              <w:keepNext/>
              <w:keepLines/>
              <w:jc w:val="center"/>
              <w:rPr>
                <w:rFonts w:ascii="Times New Roman" w:hAnsi="Times New Roman" w:cs="Times New Roman"/>
                <w:sz w:val="22"/>
                <w:szCs w:val="22"/>
              </w:rPr>
            </w:pPr>
            <w:r>
              <w:rPr>
                <w:rFonts w:ascii="Times New Roman" w:hAnsi="Times New Roman" w:cs="Times New Roman"/>
                <w:sz w:val="22"/>
                <w:szCs w:val="22"/>
              </w:rPr>
              <w:t>545</w:t>
            </w:r>
          </w:p>
        </w:tc>
      </w:tr>
      <w:tr w:rsidR="00AD05AA" w:rsidRPr="00506CEE" w14:paraId="63A7BEF5" w14:textId="77777777" w:rsidTr="00AD05AA">
        <w:tc>
          <w:tcPr>
            <w:tcW w:w="1818" w:type="dxa"/>
            <w:tcBorders>
              <w:top w:val="single" w:sz="18" w:space="0" w:color="auto"/>
              <w:right w:val="single" w:sz="18" w:space="0" w:color="auto"/>
            </w:tcBorders>
          </w:tcPr>
          <w:p w14:paraId="6065B3C9" w14:textId="77777777" w:rsidR="00AD05AA" w:rsidRPr="00F951E5" w:rsidRDefault="00AD05AA" w:rsidP="00AD05AA">
            <w:pPr>
              <w:keepNext/>
              <w:keepLines/>
              <w:rPr>
                <w:rFonts w:ascii="Times New Roman" w:hAnsi="Times New Roman" w:cs="Times New Roman"/>
                <w:sz w:val="22"/>
                <w:szCs w:val="22"/>
              </w:rPr>
            </w:pPr>
            <w:r w:rsidRPr="00F951E5">
              <w:rPr>
                <w:rFonts w:ascii="Times New Roman" w:hAnsi="Times New Roman" w:cs="Times New Roman"/>
                <w:sz w:val="22"/>
                <w:szCs w:val="22"/>
              </w:rPr>
              <w:t>Chapter</w:t>
            </w:r>
          </w:p>
        </w:tc>
        <w:tc>
          <w:tcPr>
            <w:tcW w:w="1260" w:type="dxa"/>
            <w:tcBorders>
              <w:top w:val="single" w:sz="18" w:space="0" w:color="auto"/>
              <w:left w:val="single" w:sz="18" w:space="0" w:color="auto"/>
            </w:tcBorders>
          </w:tcPr>
          <w:p w14:paraId="38AF1C1B" w14:textId="77777777" w:rsidR="00AD05AA" w:rsidRPr="00F951E5"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11</w:t>
            </w:r>
          </w:p>
        </w:tc>
        <w:tc>
          <w:tcPr>
            <w:tcW w:w="1260" w:type="dxa"/>
            <w:tcBorders>
              <w:top w:val="single" w:sz="18" w:space="0" w:color="auto"/>
              <w:right w:val="single" w:sz="18" w:space="0" w:color="auto"/>
            </w:tcBorders>
          </w:tcPr>
          <w:p w14:paraId="30D61BD7" w14:textId="77777777" w:rsidR="00AD05AA" w:rsidRPr="00F951E5"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11</w:t>
            </w:r>
          </w:p>
        </w:tc>
        <w:tc>
          <w:tcPr>
            <w:tcW w:w="1170" w:type="dxa"/>
            <w:tcBorders>
              <w:top w:val="single" w:sz="18" w:space="0" w:color="auto"/>
              <w:left w:val="single" w:sz="18" w:space="0" w:color="auto"/>
            </w:tcBorders>
          </w:tcPr>
          <w:p w14:paraId="20F6CD64" w14:textId="77777777" w:rsidR="00AD05AA" w:rsidRPr="00F951E5"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11</w:t>
            </w:r>
          </w:p>
        </w:tc>
        <w:tc>
          <w:tcPr>
            <w:tcW w:w="1170" w:type="dxa"/>
            <w:tcBorders>
              <w:top w:val="single" w:sz="18" w:space="0" w:color="auto"/>
              <w:right w:val="single" w:sz="18" w:space="0" w:color="auto"/>
            </w:tcBorders>
          </w:tcPr>
          <w:p w14:paraId="37323757" w14:textId="77777777" w:rsidR="00AD05AA" w:rsidRPr="00F951E5"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11</w:t>
            </w:r>
          </w:p>
        </w:tc>
        <w:tc>
          <w:tcPr>
            <w:tcW w:w="1170" w:type="dxa"/>
            <w:tcBorders>
              <w:top w:val="single" w:sz="18" w:space="0" w:color="auto"/>
              <w:left w:val="single" w:sz="18" w:space="0" w:color="auto"/>
            </w:tcBorders>
          </w:tcPr>
          <w:p w14:paraId="1C81DF6C" w14:textId="77777777" w:rsidR="00AD05AA" w:rsidRPr="00F951E5"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13</w:t>
            </w:r>
          </w:p>
        </w:tc>
        <w:tc>
          <w:tcPr>
            <w:tcW w:w="1204" w:type="dxa"/>
            <w:tcBorders>
              <w:top w:val="single" w:sz="18" w:space="0" w:color="auto"/>
              <w:right w:val="single" w:sz="18" w:space="0" w:color="auto"/>
            </w:tcBorders>
          </w:tcPr>
          <w:p w14:paraId="3D64EB68" w14:textId="77777777" w:rsidR="00AD05AA" w:rsidRPr="00F951E5"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13</w:t>
            </w:r>
          </w:p>
        </w:tc>
      </w:tr>
      <w:tr w:rsidR="00AD05AA" w:rsidRPr="00506CEE" w14:paraId="69F1E314" w14:textId="77777777" w:rsidTr="00AD05AA">
        <w:tc>
          <w:tcPr>
            <w:tcW w:w="1818" w:type="dxa"/>
            <w:tcBorders>
              <w:bottom w:val="single" w:sz="18" w:space="0" w:color="auto"/>
              <w:right w:val="single" w:sz="18" w:space="0" w:color="auto"/>
            </w:tcBorders>
          </w:tcPr>
          <w:p w14:paraId="3555B677" w14:textId="77777777" w:rsidR="00AD05AA" w:rsidRPr="00F951E5" w:rsidRDefault="00AD05AA" w:rsidP="00AD05AA">
            <w:pPr>
              <w:keepNext/>
              <w:keepLines/>
              <w:rPr>
                <w:rFonts w:ascii="Times New Roman" w:hAnsi="Times New Roman" w:cs="Times New Roman"/>
                <w:sz w:val="22"/>
                <w:szCs w:val="22"/>
              </w:rPr>
            </w:pPr>
            <w:r w:rsidRPr="00F951E5">
              <w:rPr>
                <w:rFonts w:ascii="Times New Roman" w:hAnsi="Times New Roman" w:cs="Times New Roman"/>
                <w:sz w:val="22"/>
                <w:szCs w:val="22"/>
              </w:rPr>
              <w:t>Fixed Effects</w:t>
            </w:r>
          </w:p>
        </w:tc>
        <w:tc>
          <w:tcPr>
            <w:tcW w:w="1260" w:type="dxa"/>
            <w:tcBorders>
              <w:left w:val="single" w:sz="18" w:space="0" w:color="auto"/>
              <w:bottom w:val="single" w:sz="18" w:space="0" w:color="auto"/>
            </w:tcBorders>
          </w:tcPr>
          <w:p w14:paraId="3445B791" w14:textId="77777777" w:rsidR="00AD05AA" w:rsidRPr="00F951E5"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No</w:t>
            </w:r>
          </w:p>
        </w:tc>
        <w:tc>
          <w:tcPr>
            <w:tcW w:w="1260" w:type="dxa"/>
            <w:tcBorders>
              <w:bottom w:val="single" w:sz="18" w:space="0" w:color="auto"/>
              <w:right w:val="single" w:sz="18" w:space="0" w:color="auto"/>
            </w:tcBorders>
          </w:tcPr>
          <w:p w14:paraId="71A00253" w14:textId="77777777" w:rsidR="00AD05AA" w:rsidRPr="00F951E5"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No</w:t>
            </w:r>
          </w:p>
        </w:tc>
        <w:tc>
          <w:tcPr>
            <w:tcW w:w="1170" w:type="dxa"/>
            <w:tcBorders>
              <w:left w:val="single" w:sz="18" w:space="0" w:color="auto"/>
              <w:bottom w:val="single" w:sz="18" w:space="0" w:color="auto"/>
            </w:tcBorders>
          </w:tcPr>
          <w:p w14:paraId="22862363" w14:textId="77777777" w:rsidR="00AD05AA" w:rsidRPr="00F951E5"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Yes</w:t>
            </w:r>
          </w:p>
        </w:tc>
        <w:tc>
          <w:tcPr>
            <w:tcW w:w="1170" w:type="dxa"/>
            <w:tcBorders>
              <w:bottom w:val="single" w:sz="18" w:space="0" w:color="auto"/>
              <w:right w:val="single" w:sz="18" w:space="0" w:color="auto"/>
            </w:tcBorders>
          </w:tcPr>
          <w:p w14:paraId="0F0862E9" w14:textId="77777777" w:rsidR="00AD05AA" w:rsidRPr="00F951E5"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Yes</w:t>
            </w:r>
          </w:p>
        </w:tc>
        <w:tc>
          <w:tcPr>
            <w:tcW w:w="1170" w:type="dxa"/>
            <w:tcBorders>
              <w:left w:val="single" w:sz="18" w:space="0" w:color="auto"/>
              <w:bottom w:val="single" w:sz="18" w:space="0" w:color="auto"/>
            </w:tcBorders>
          </w:tcPr>
          <w:p w14:paraId="4FC7453B" w14:textId="77777777" w:rsidR="00AD05AA" w:rsidRPr="00F951E5"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Yes</w:t>
            </w:r>
          </w:p>
        </w:tc>
        <w:tc>
          <w:tcPr>
            <w:tcW w:w="1204" w:type="dxa"/>
            <w:tcBorders>
              <w:bottom w:val="single" w:sz="18" w:space="0" w:color="auto"/>
              <w:right w:val="single" w:sz="18" w:space="0" w:color="auto"/>
            </w:tcBorders>
          </w:tcPr>
          <w:p w14:paraId="2AB7D84E" w14:textId="77777777" w:rsidR="00AD05AA" w:rsidRPr="00F951E5" w:rsidRDefault="00AD05AA" w:rsidP="00AD05AA">
            <w:pPr>
              <w:keepNext/>
              <w:keepLines/>
              <w:jc w:val="center"/>
              <w:rPr>
                <w:rFonts w:ascii="Times New Roman" w:hAnsi="Times New Roman" w:cs="Times New Roman"/>
                <w:sz w:val="22"/>
                <w:szCs w:val="22"/>
              </w:rPr>
            </w:pPr>
            <w:r w:rsidRPr="00F951E5">
              <w:rPr>
                <w:rFonts w:ascii="Times New Roman" w:hAnsi="Times New Roman" w:cs="Times New Roman"/>
                <w:sz w:val="22"/>
                <w:szCs w:val="22"/>
              </w:rPr>
              <w:t>Yes</w:t>
            </w:r>
          </w:p>
        </w:tc>
      </w:tr>
      <w:tr w:rsidR="00AD05AA" w:rsidRPr="00506CEE" w14:paraId="0E8DF1D0" w14:textId="77777777" w:rsidTr="00AD05AA">
        <w:tc>
          <w:tcPr>
            <w:tcW w:w="1818" w:type="dxa"/>
            <w:tcBorders>
              <w:top w:val="single" w:sz="18" w:space="0" w:color="auto"/>
              <w:right w:val="single" w:sz="18" w:space="0" w:color="auto"/>
            </w:tcBorders>
          </w:tcPr>
          <w:p w14:paraId="7FA15FB0" w14:textId="77777777" w:rsidR="00AD05AA" w:rsidRPr="00F951E5" w:rsidRDefault="00AD05AA" w:rsidP="00AD05AA">
            <w:pPr>
              <w:keepNext/>
              <w:keepLines/>
              <w:rPr>
                <w:rFonts w:ascii="Times New Roman" w:hAnsi="Times New Roman" w:cs="Times New Roman"/>
                <w:sz w:val="22"/>
                <w:szCs w:val="22"/>
              </w:rPr>
            </w:pPr>
            <w:r w:rsidRPr="00F951E5">
              <w:rPr>
                <w:rFonts w:ascii="Times New Roman" w:hAnsi="Times New Roman" w:cs="Times New Roman"/>
                <w:sz w:val="22"/>
                <w:szCs w:val="22"/>
              </w:rPr>
              <w:t>1) Broad</w:t>
            </w:r>
          </w:p>
        </w:tc>
        <w:tc>
          <w:tcPr>
            <w:tcW w:w="1260" w:type="dxa"/>
            <w:tcBorders>
              <w:top w:val="single" w:sz="18" w:space="0" w:color="auto"/>
              <w:left w:val="single" w:sz="18" w:space="0" w:color="auto"/>
            </w:tcBorders>
          </w:tcPr>
          <w:p w14:paraId="6CE0D294"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hAnsi="Times New Roman" w:cs="Times New Roman"/>
                <w:sz w:val="22"/>
                <w:szCs w:val="22"/>
              </w:rPr>
              <w:t>0.10</w:t>
            </w:r>
            <w:r>
              <w:rPr>
                <w:rFonts w:ascii="Times New Roman" w:hAnsi="Times New Roman" w:cs="Times New Roman"/>
                <w:sz w:val="22"/>
                <w:szCs w:val="22"/>
              </w:rPr>
              <w:t>2</w:t>
            </w:r>
            <w:r w:rsidRPr="00F951E5">
              <w:rPr>
                <w:rFonts w:ascii="Times New Roman" w:hAnsi="Times New Roman" w:cs="Times New Roman"/>
                <w:sz w:val="22"/>
                <w:szCs w:val="22"/>
              </w:rPr>
              <w:t>*** (0.00</w:t>
            </w:r>
            <w:r>
              <w:rPr>
                <w:rFonts w:ascii="Times New Roman" w:hAnsi="Times New Roman" w:cs="Times New Roman"/>
                <w:sz w:val="22"/>
                <w:szCs w:val="22"/>
              </w:rPr>
              <w:t>)</w:t>
            </w:r>
          </w:p>
        </w:tc>
        <w:tc>
          <w:tcPr>
            <w:tcW w:w="1260" w:type="dxa"/>
            <w:tcBorders>
              <w:top w:val="single" w:sz="18" w:space="0" w:color="auto"/>
              <w:right w:val="single" w:sz="18" w:space="0" w:color="auto"/>
            </w:tcBorders>
          </w:tcPr>
          <w:p w14:paraId="07FB6A7C" w14:textId="77777777" w:rsidR="00AD05AA" w:rsidRPr="00F951E5" w:rsidRDefault="00AD05AA" w:rsidP="00AD05AA">
            <w:pPr>
              <w:keepNext/>
              <w:keepLines/>
              <w:jc w:val="right"/>
              <w:rPr>
                <w:rFonts w:ascii="Times New Roman" w:hAnsi="Times New Roman" w:cs="Times New Roman"/>
                <w:sz w:val="22"/>
                <w:szCs w:val="22"/>
              </w:rPr>
            </w:pPr>
          </w:p>
        </w:tc>
        <w:tc>
          <w:tcPr>
            <w:tcW w:w="1170" w:type="dxa"/>
            <w:tcBorders>
              <w:top w:val="single" w:sz="18" w:space="0" w:color="auto"/>
              <w:left w:val="single" w:sz="18" w:space="0" w:color="auto"/>
            </w:tcBorders>
            <w:vAlign w:val="bottom"/>
          </w:tcPr>
          <w:p w14:paraId="5330CE1E"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w:t>
            </w:r>
            <w:r>
              <w:rPr>
                <w:rFonts w:ascii="Times New Roman" w:eastAsia="Times New Roman" w:hAnsi="Times New Roman" w:cs="Times New Roman"/>
                <w:color w:val="000000"/>
                <w:sz w:val="22"/>
                <w:szCs w:val="22"/>
              </w:rPr>
              <w:t>16</w:t>
            </w:r>
            <w:r w:rsidRPr="00F951E5">
              <w:rPr>
                <w:rFonts w:ascii="Times New Roman" w:eastAsia="Times New Roman" w:hAnsi="Times New Roman" w:cs="Times New Roman"/>
                <w:color w:val="000000"/>
                <w:sz w:val="22"/>
                <w:szCs w:val="22"/>
              </w:rPr>
              <w:t xml:space="preserve"> (0.</w:t>
            </w:r>
            <w:r>
              <w:rPr>
                <w:rFonts w:ascii="Times New Roman" w:eastAsia="Times New Roman" w:hAnsi="Times New Roman" w:cs="Times New Roman"/>
                <w:color w:val="000000"/>
                <w:sz w:val="22"/>
                <w:szCs w:val="22"/>
              </w:rPr>
              <w:t>60</w:t>
            </w:r>
            <w:r w:rsidRPr="00F951E5">
              <w:rPr>
                <w:rFonts w:ascii="Times New Roman" w:eastAsia="Times New Roman" w:hAnsi="Times New Roman" w:cs="Times New Roman"/>
                <w:color w:val="000000"/>
                <w:sz w:val="22"/>
                <w:szCs w:val="22"/>
              </w:rPr>
              <w:t>)</w:t>
            </w:r>
          </w:p>
        </w:tc>
        <w:tc>
          <w:tcPr>
            <w:tcW w:w="1170" w:type="dxa"/>
            <w:tcBorders>
              <w:top w:val="single" w:sz="18" w:space="0" w:color="auto"/>
              <w:right w:val="single" w:sz="18" w:space="0" w:color="auto"/>
            </w:tcBorders>
            <w:vAlign w:val="bottom"/>
          </w:tcPr>
          <w:p w14:paraId="12604226" w14:textId="77777777" w:rsidR="00AD05AA" w:rsidRPr="00F951E5" w:rsidRDefault="00AD05AA" w:rsidP="00AD05AA">
            <w:pPr>
              <w:keepNext/>
              <w:keepLines/>
              <w:jc w:val="right"/>
              <w:rPr>
                <w:rFonts w:ascii="Times New Roman" w:hAnsi="Times New Roman" w:cs="Times New Roman"/>
                <w:sz w:val="22"/>
                <w:szCs w:val="22"/>
              </w:rPr>
            </w:pPr>
          </w:p>
        </w:tc>
        <w:tc>
          <w:tcPr>
            <w:tcW w:w="1170" w:type="dxa"/>
            <w:tcBorders>
              <w:top w:val="single" w:sz="18" w:space="0" w:color="auto"/>
              <w:left w:val="single" w:sz="18" w:space="0" w:color="auto"/>
            </w:tcBorders>
            <w:vAlign w:val="bottom"/>
          </w:tcPr>
          <w:p w14:paraId="11D658D7"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w:t>
            </w:r>
            <w:r>
              <w:rPr>
                <w:rFonts w:ascii="Times New Roman" w:eastAsia="Times New Roman" w:hAnsi="Times New Roman" w:cs="Times New Roman"/>
                <w:color w:val="000000"/>
                <w:sz w:val="22"/>
                <w:szCs w:val="22"/>
              </w:rPr>
              <w:t>26</w:t>
            </w:r>
            <w:r w:rsidRPr="00F951E5">
              <w:rPr>
                <w:rFonts w:ascii="Times New Roman" w:eastAsia="Times New Roman" w:hAnsi="Times New Roman" w:cs="Times New Roman"/>
                <w:color w:val="000000"/>
                <w:sz w:val="22"/>
                <w:szCs w:val="22"/>
              </w:rPr>
              <w:t>** (0.0</w:t>
            </w:r>
            <w:r>
              <w:rPr>
                <w:rFonts w:ascii="Times New Roman" w:eastAsia="Times New Roman" w:hAnsi="Times New Roman" w:cs="Times New Roman"/>
                <w:color w:val="000000"/>
                <w:sz w:val="22"/>
                <w:szCs w:val="22"/>
              </w:rPr>
              <w:t>2)</w:t>
            </w:r>
          </w:p>
        </w:tc>
        <w:tc>
          <w:tcPr>
            <w:tcW w:w="1204" w:type="dxa"/>
            <w:tcBorders>
              <w:top w:val="single" w:sz="18" w:space="0" w:color="auto"/>
              <w:right w:val="single" w:sz="18" w:space="0" w:color="auto"/>
            </w:tcBorders>
          </w:tcPr>
          <w:p w14:paraId="671AE9F3" w14:textId="77777777" w:rsidR="00AD05AA" w:rsidRPr="00F951E5" w:rsidRDefault="00AD05AA" w:rsidP="00AD05AA">
            <w:pPr>
              <w:keepNext/>
              <w:keepLines/>
              <w:jc w:val="right"/>
              <w:rPr>
                <w:rFonts w:ascii="Times New Roman" w:hAnsi="Times New Roman" w:cs="Times New Roman"/>
                <w:sz w:val="22"/>
                <w:szCs w:val="22"/>
              </w:rPr>
            </w:pPr>
          </w:p>
        </w:tc>
      </w:tr>
      <w:tr w:rsidR="00AD05AA" w:rsidRPr="00506CEE" w14:paraId="4F4A5FA0" w14:textId="77777777" w:rsidTr="00AD05AA">
        <w:tc>
          <w:tcPr>
            <w:tcW w:w="1818" w:type="dxa"/>
            <w:tcBorders>
              <w:right w:val="single" w:sz="18" w:space="0" w:color="auto"/>
            </w:tcBorders>
          </w:tcPr>
          <w:p w14:paraId="76826691" w14:textId="77777777" w:rsidR="00AD05AA" w:rsidRPr="00F951E5" w:rsidRDefault="00AD05AA" w:rsidP="00AD05AA">
            <w:pPr>
              <w:keepNext/>
              <w:keepLines/>
              <w:rPr>
                <w:rFonts w:ascii="Times New Roman" w:hAnsi="Times New Roman" w:cs="Times New Roman"/>
                <w:sz w:val="22"/>
                <w:szCs w:val="22"/>
              </w:rPr>
            </w:pPr>
            <w:r w:rsidRPr="00F951E5">
              <w:rPr>
                <w:rFonts w:ascii="Times New Roman" w:hAnsi="Times New Roman" w:cs="Times New Roman"/>
                <w:sz w:val="22"/>
                <w:szCs w:val="22"/>
              </w:rPr>
              <w:t>2) Narrow</w:t>
            </w:r>
          </w:p>
        </w:tc>
        <w:tc>
          <w:tcPr>
            <w:tcW w:w="1260" w:type="dxa"/>
            <w:tcBorders>
              <w:left w:val="single" w:sz="18" w:space="0" w:color="auto"/>
            </w:tcBorders>
          </w:tcPr>
          <w:p w14:paraId="03A5B6C0"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hAnsi="Times New Roman" w:cs="Times New Roman"/>
                <w:sz w:val="22"/>
                <w:szCs w:val="22"/>
              </w:rPr>
              <w:t>-0.0</w:t>
            </w:r>
            <w:r>
              <w:rPr>
                <w:rFonts w:ascii="Times New Roman" w:hAnsi="Times New Roman" w:cs="Times New Roman"/>
                <w:sz w:val="22"/>
                <w:szCs w:val="22"/>
              </w:rPr>
              <w:t>43</w:t>
            </w:r>
            <w:r w:rsidRPr="00F951E5">
              <w:rPr>
                <w:rFonts w:ascii="Times New Roman" w:hAnsi="Times New Roman" w:cs="Times New Roman"/>
                <w:sz w:val="22"/>
                <w:szCs w:val="22"/>
              </w:rPr>
              <w:t>** (0.0</w:t>
            </w:r>
            <w:r>
              <w:rPr>
                <w:rFonts w:ascii="Times New Roman" w:hAnsi="Times New Roman" w:cs="Times New Roman"/>
                <w:sz w:val="22"/>
                <w:szCs w:val="22"/>
              </w:rPr>
              <w:t>4)</w:t>
            </w:r>
          </w:p>
        </w:tc>
        <w:tc>
          <w:tcPr>
            <w:tcW w:w="1260" w:type="dxa"/>
            <w:tcBorders>
              <w:right w:val="single" w:sz="18" w:space="0" w:color="auto"/>
            </w:tcBorders>
          </w:tcPr>
          <w:p w14:paraId="076090C9" w14:textId="77777777" w:rsidR="00AD05AA" w:rsidRPr="00F951E5" w:rsidRDefault="00AD05AA" w:rsidP="00AD05AA">
            <w:pPr>
              <w:keepNext/>
              <w:keepLines/>
              <w:jc w:val="right"/>
              <w:rPr>
                <w:rFonts w:ascii="Times New Roman" w:hAnsi="Times New Roman" w:cs="Times New Roman"/>
                <w:sz w:val="22"/>
                <w:szCs w:val="22"/>
              </w:rPr>
            </w:pPr>
          </w:p>
        </w:tc>
        <w:tc>
          <w:tcPr>
            <w:tcW w:w="1170" w:type="dxa"/>
            <w:tcBorders>
              <w:left w:val="single" w:sz="18" w:space="0" w:color="auto"/>
            </w:tcBorders>
            <w:vAlign w:val="bottom"/>
          </w:tcPr>
          <w:p w14:paraId="1E9F28DE" w14:textId="77777777" w:rsidR="00AD05AA" w:rsidRDefault="00AD05AA" w:rsidP="00AD05AA">
            <w:pPr>
              <w:keepNext/>
              <w:keepLines/>
              <w:jc w:val="right"/>
              <w:rPr>
                <w:rFonts w:ascii="Times New Roman" w:hAnsi="Times New Roman" w:cs="Times New Roman"/>
                <w:sz w:val="22"/>
                <w:szCs w:val="22"/>
              </w:rPr>
            </w:pPr>
            <w:r w:rsidRPr="00F951E5">
              <w:rPr>
                <w:rFonts w:ascii="Times New Roman" w:hAnsi="Times New Roman" w:cs="Times New Roman"/>
                <w:sz w:val="22"/>
                <w:szCs w:val="22"/>
              </w:rPr>
              <w:t>.0</w:t>
            </w:r>
            <w:r>
              <w:rPr>
                <w:rFonts w:ascii="Times New Roman" w:hAnsi="Times New Roman" w:cs="Times New Roman"/>
                <w:sz w:val="22"/>
                <w:szCs w:val="22"/>
              </w:rPr>
              <w:t>15</w:t>
            </w:r>
          </w:p>
          <w:p w14:paraId="5AEF88D1"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hAnsi="Times New Roman" w:cs="Times New Roman"/>
                <w:sz w:val="22"/>
                <w:szCs w:val="22"/>
              </w:rPr>
              <w:t>(0.</w:t>
            </w:r>
            <w:r>
              <w:rPr>
                <w:rFonts w:ascii="Times New Roman" w:hAnsi="Times New Roman" w:cs="Times New Roman"/>
                <w:sz w:val="22"/>
                <w:szCs w:val="22"/>
              </w:rPr>
              <w:t>46</w:t>
            </w:r>
            <w:r w:rsidRPr="00F951E5">
              <w:rPr>
                <w:rFonts w:ascii="Times New Roman" w:hAnsi="Times New Roman" w:cs="Times New Roman"/>
                <w:sz w:val="22"/>
                <w:szCs w:val="22"/>
              </w:rPr>
              <w:t>)</w:t>
            </w:r>
          </w:p>
        </w:tc>
        <w:tc>
          <w:tcPr>
            <w:tcW w:w="1170" w:type="dxa"/>
            <w:tcBorders>
              <w:right w:val="single" w:sz="18" w:space="0" w:color="auto"/>
            </w:tcBorders>
            <w:vAlign w:val="bottom"/>
          </w:tcPr>
          <w:p w14:paraId="32608E4C" w14:textId="77777777" w:rsidR="00AD05AA" w:rsidRPr="00F951E5" w:rsidRDefault="00AD05AA" w:rsidP="00AD05AA">
            <w:pPr>
              <w:keepNext/>
              <w:keepLines/>
              <w:jc w:val="right"/>
              <w:rPr>
                <w:rFonts w:ascii="Times New Roman" w:hAnsi="Times New Roman" w:cs="Times New Roman"/>
                <w:sz w:val="22"/>
                <w:szCs w:val="22"/>
              </w:rPr>
            </w:pPr>
          </w:p>
        </w:tc>
        <w:tc>
          <w:tcPr>
            <w:tcW w:w="1170" w:type="dxa"/>
            <w:tcBorders>
              <w:left w:val="single" w:sz="18" w:space="0" w:color="auto"/>
            </w:tcBorders>
            <w:vAlign w:val="bottom"/>
          </w:tcPr>
          <w:p w14:paraId="3D3FC151"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hAnsi="Times New Roman" w:cs="Times New Roman"/>
                <w:sz w:val="22"/>
                <w:szCs w:val="22"/>
              </w:rPr>
              <w:t>0.0</w:t>
            </w:r>
            <w:r>
              <w:rPr>
                <w:rFonts w:ascii="Times New Roman" w:hAnsi="Times New Roman" w:cs="Times New Roman"/>
                <w:sz w:val="22"/>
                <w:szCs w:val="22"/>
              </w:rPr>
              <w:t>12**</w:t>
            </w:r>
            <w:r w:rsidRPr="00F951E5">
              <w:rPr>
                <w:rFonts w:ascii="Times New Roman" w:hAnsi="Times New Roman" w:cs="Times New Roman"/>
                <w:sz w:val="22"/>
                <w:szCs w:val="22"/>
              </w:rPr>
              <w:t xml:space="preserve"> (0.</w:t>
            </w:r>
            <w:r>
              <w:rPr>
                <w:rFonts w:ascii="Times New Roman" w:hAnsi="Times New Roman" w:cs="Times New Roman"/>
                <w:sz w:val="22"/>
                <w:szCs w:val="22"/>
              </w:rPr>
              <w:t>04</w:t>
            </w:r>
            <w:r w:rsidRPr="00F951E5">
              <w:rPr>
                <w:rFonts w:ascii="Times New Roman" w:hAnsi="Times New Roman" w:cs="Times New Roman"/>
                <w:sz w:val="22"/>
                <w:szCs w:val="22"/>
              </w:rPr>
              <w:t>)</w:t>
            </w:r>
          </w:p>
        </w:tc>
        <w:tc>
          <w:tcPr>
            <w:tcW w:w="1204" w:type="dxa"/>
            <w:tcBorders>
              <w:right w:val="single" w:sz="18" w:space="0" w:color="auto"/>
            </w:tcBorders>
          </w:tcPr>
          <w:p w14:paraId="51E813BF" w14:textId="77777777" w:rsidR="00AD05AA" w:rsidRPr="00F951E5" w:rsidRDefault="00AD05AA" w:rsidP="00AD05AA">
            <w:pPr>
              <w:keepNext/>
              <w:keepLines/>
              <w:jc w:val="right"/>
              <w:rPr>
                <w:rFonts w:ascii="Times New Roman" w:hAnsi="Times New Roman" w:cs="Times New Roman"/>
                <w:sz w:val="22"/>
                <w:szCs w:val="22"/>
              </w:rPr>
            </w:pPr>
          </w:p>
        </w:tc>
      </w:tr>
      <w:tr w:rsidR="00AD05AA" w:rsidRPr="00506CEE" w14:paraId="16987500" w14:textId="77777777" w:rsidTr="00AD05AA">
        <w:tc>
          <w:tcPr>
            <w:tcW w:w="1818" w:type="dxa"/>
            <w:tcBorders>
              <w:right w:val="single" w:sz="18" w:space="0" w:color="auto"/>
            </w:tcBorders>
          </w:tcPr>
          <w:p w14:paraId="734363C6" w14:textId="77777777" w:rsidR="00AD05AA" w:rsidRPr="00F951E5" w:rsidRDefault="00AD05AA" w:rsidP="00AD05AA">
            <w:pPr>
              <w:keepNext/>
              <w:keepLines/>
              <w:rPr>
                <w:rFonts w:ascii="Times New Roman" w:hAnsi="Times New Roman" w:cs="Times New Roman"/>
                <w:sz w:val="22"/>
                <w:szCs w:val="22"/>
              </w:rPr>
            </w:pPr>
            <w:r w:rsidRPr="00F951E5">
              <w:rPr>
                <w:rFonts w:ascii="Times New Roman" w:hAnsi="Times New Roman" w:cs="Times New Roman"/>
                <w:sz w:val="22"/>
                <w:szCs w:val="22"/>
              </w:rPr>
              <w:t>3) Broad circuit</w:t>
            </w:r>
          </w:p>
        </w:tc>
        <w:tc>
          <w:tcPr>
            <w:tcW w:w="1260" w:type="dxa"/>
            <w:tcBorders>
              <w:left w:val="single" w:sz="18" w:space="0" w:color="auto"/>
            </w:tcBorders>
          </w:tcPr>
          <w:p w14:paraId="7B579D49" w14:textId="77777777" w:rsidR="00AD05AA" w:rsidRPr="00F951E5" w:rsidRDefault="00AD05AA" w:rsidP="00AD05AA">
            <w:pPr>
              <w:keepNext/>
              <w:keepLines/>
              <w:jc w:val="right"/>
              <w:rPr>
                <w:rFonts w:ascii="Times New Roman" w:hAnsi="Times New Roman" w:cs="Times New Roman"/>
                <w:sz w:val="22"/>
                <w:szCs w:val="22"/>
              </w:rPr>
            </w:pPr>
          </w:p>
        </w:tc>
        <w:tc>
          <w:tcPr>
            <w:tcW w:w="1260" w:type="dxa"/>
            <w:tcBorders>
              <w:right w:val="single" w:sz="18" w:space="0" w:color="auto"/>
            </w:tcBorders>
          </w:tcPr>
          <w:p w14:paraId="6B39EB2F"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hAnsi="Times New Roman" w:cs="Times New Roman"/>
                <w:sz w:val="22"/>
                <w:szCs w:val="22"/>
              </w:rPr>
              <w:t>-0.027 (0.90)</w:t>
            </w:r>
          </w:p>
        </w:tc>
        <w:tc>
          <w:tcPr>
            <w:tcW w:w="1170" w:type="dxa"/>
            <w:tcBorders>
              <w:left w:val="single" w:sz="18" w:space="0" w:color="auto"/>
            </w:tcBorders>
          </w:tcPr>
          <w:p w14:paraId="2800590B" w14:textId="77777777" w:rsidR="00AD05AA" w:rsidRPr="00F951E5" w:rsidRDefault="00AD05AA" w:rsidP="00AD05AA">
            <w:pPr>
              <w:keepNext/>
              <w:keepLines/>
              <w:jc w:val="right"/>
              <w:rPr>
                <w:rFonts w:ascii="Times New Roman" w:hAnsi="Times New Roman" w:cs="Times New Roman"/>
                <w:sz w:val="22"/>
                <w:szCs w:val="22"/>
              </w:rPr>
            </w:pPr>
          </w:p>
        </w:tc>
        <w:tc>
          <w:tcPr>
            <w:tcW w:w="1170" w:type="dxa"/>
            <w:tcBorders>
              <w:right w:val="single" w:sz="18" w:space="0" w:color="auto"/>
            </w:tcBorders>
          </w:tcPr>
          <w:p w14:paraId="3064D549"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hAnsi="Times New Roman" w:cs="Times New Roman"/>
                <w:sz w:val="22"/>
                <w:szCs w:val="22"/>
              </w:rPr>
              <w:t>0.060* (0.09)</w:t>
            </w:r>
          </w:p>
        </w:tc>
        <w:tc>
          <w:tcPr>
            <w:tcW w:w="1170" w:type="dxa"/>
            <w:tcBorders>
              <w:left w:val="single" w:sz="18" w:space="0" w:color="auto"/>
            </w:tcBorders>
          </w:tcPr>
          <w:p w14:paraId="275726A4" w14:textId="77777777" w:rsidR="00AD05AA" w:rsidRPr="00F951E5" w:rsidRDefault="00AD05AA" w:rsidP="00AD05AA">
            <w:pPr>
              <w:keepNext/>
              <w:keepLines/>
              <w:jc w:val="right"/>
              <w:rPr>
                <w:rFonts w:ascii="Times New Roman" w:hAnsi="Times New Roman" w:cs="Times New Roman"/>
                <w:sz w:val="22"/>
                <w:szCs w:val="22"/>
              </w:rPr>
            </w:pPr>
          </w:p>
        </w:tc>
        <w:tc>
          <w:tcPr>
            <w:tcW w:w="1204" w:type="dxa"/>
            <w:tcBorders>
              <w:right w:val="single" w:sz="18" w:space="0" w:color="auto"/>
            </w:tcBorders>
          </w:tcPr>
          <w:p w14:paraId="5572223E"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hAnsi="Times New Roman" w:cs="Times New Roman"/>
                <w:sz w:val="22"/>
                <w:szCs w:val="22"/>
              </w:rPr>
              <w:t>0.032</w:t>
            </w:r>
            <w:r>
              <w:rPr>
                <w:rFonts w:ascii="Times New Roman" w:hAnsi="Times New Roman" w:cs="Times New Roman"/>
                <w:sz w:val="22"/>
                <w:szCs w:val="22"/>
              </w:rPr>
              <w:t>3</w:t>
            </w:r>
            <w:r w:rsidRPr="00F951E5">
              <w:rPr>
                <w:rFonts w:ascii="Times New Roman" w:hAnsi="Times New Roman" w:cs="Times New Roman"/>
                <w:sz w:val="22"/>
                <w:szCs w:val="22"/>
              </w:rPr>
              <w:t>*** (0.00)</w:t>
            </w:r>
          </w:p>
        </w:tc>
      </w:tr>
      <w:tr w:rsidR="00AD05AA" w:rsidRPr="00506CEE" w14:paraId="1A898043" w14:textId="77777777" w:rsidTr="00AD05AA">
        <w:tc>
          <w:tcPr>
            <w:tcW w:w="1818" w:type="dxa"/>
            <w:tcBorders>
              <w:right w:val="single" w:sz="18" w:space="0" w:color="auto"/>
            </w:tcBorders>
          </w:tcPr>
          <w:p w14:paraId="71CD379F" w14:textId="77777777" w:rsidR="00AD05AA" w:rsidRPr="00F951E5" w:rsidRDefault="00AD05AA" w:rsidP="00AD05AA">
            <w:pPr>
              <w:keepNext/>
              <w:keepLines/>
              <w:rPr>
                <w:rFonts w:ascii="Times New Roman" w:hAnsi="Times New Roman" w:cs="Times New Roman"/>
                <w:sz w:val="22"/>
                <w:szCs w:val="22"/>
              </w:rPr>
            </w:pPr>
            <w:r w:rsidRPr="00F951E5">
              <w:rPr>
                <w:rFonts w:ascii="Times New Roman" w:hAnsi="Times New Roman" w:cs="Times New Roman"/>
                <w:sz w:val="22"/>
                <w:szCs w:val="22"/>
              </w:rPr>
              <w:t>4) Narrow circuit</w:t>
            </w:r>
          </w:p>
        </w:tc>
        <w:tc>
          <w:tcPr>
            <w:tcW w:w="1260" w:type="dxa"/>
            <w:tcBorders>
              <w:left w:val="single" w:sz="18" w:space="0" w:color="auto"/>
            </w:tcBorders>
          </w:tcPr>
          <w:p w14:paraId="68DBB88F" w14:textId="77777777" w:rsidR="00AD05AA" w:rsidRPr="00F951E5" w:rsidRDefault="00AD05AA" w:rsidP="00AD05AA">
            <w:pPr>
              <w:keepNext/>
              <w:keepLines/>
              <w:jc w:val="right"/>
              <w:rPr>
                <w:rFonts w:ascii="Times New Roman" w:hAnsi="Times New Roman" w:cs="Times New Roman"/>
                <w:sz w:val="22"/>
                <w:szCs w:val="22"/>
              </w:rPr>
            </w:pPr>
          </w:p>
        </w:tc>
        <w:tc>
          <w:tcPr>
            <w:tcW w:w="1260" w:type="dxa"/>
            <w:tcBorders>
              <w:right w:val="single" w:sz="18" w:space="0" w:color="auto"/>
            </w:tcBorders>
          </w:tcPr>
          <w:p w14:paraId="50443212"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hAnsi="Times New Roman" w:cs="Times New Roman"/>
                <w:sz w:val="22"/>
                <w:szCs w:val="22"/>
              </w:rPr>
              <w:t>-0.066** (0.0</w:t>
            </w:r>
            <w:r>
              <w:rPr>
                <w:rFonts w:ascii="Times New Roman" w:hAnsi="Times New Roman" w:cs="Times New Roman"/>
                <w:sz w:val="22"/>
                <w:szCs w:val="22"/>
              </w:rPr>
              <w:t>2</w:t>
            </w:r>
            <w:r w:rsidRPr="00F951E5">
              <w:rPr>
                <w:rFonts w:ascii="Times New Roman" w:hAnsi="Times New Roman" w:cs="Times New Roman"/>
                <w:sz w:val="22"/>
                <w:szCs w:val="22"/>
              </w:rPr>
              <w:t>)</w:t>
            </w:r>
          </w:p>
        </w:tc>
        <w:tc>
          <w:tcPr>
            <w:tcW w:w="1170" w:type="dxa"/>
            <w:tcBorders>
              <w:left w:val="single" w:sz="18" w:space="0" w:color="auto"/>
            </w:tcBorders>
          </w:tcPr>
          <w:p w14:paraId="6341BA7F" w14:textId="77777777" w:rsidR="00AD05AA" w:rsidRPr="00F951E5" w:rsidRDefault="00AD05AA" w:rsidP="00AD05AA">
            <w:pPr>
              <w:keepNext/>
              <w:keepLines/>
              <w:jc w:val="right"/>
              <w:rPr>
                <w:rFonts w:ascii="Times New Roman" w:hAnsi="Times New Roman" w:cs="Times New Roman"/>
                <w:sz w:val="22"/>
                <w:szCs w:val="22"/>
              </w:rPr>
            </w:pPr>
          </w:p>
        </w:tc>
        <w:tc>
          <w:tcPr>
            <w:tcW w:w="1170" w:type="dxa"/>
            <w:tcBorders>
              <w:right w:val="single" w:sz="18" w:space="0" w:color="auto"/>
            </w:tcBorders>
          </w:tcPr>
          <w:p w14:paraId="6B9C91CB"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hAnsi="Times New Roman" w:cs="Times New Roman"/>
                <w:sz w:val="22"/>
                <w:szCs w:val="22"/>
              </w:rPr>
              <w:t>-0.0536 (0.1</w:t>
            </w:r>
            <w:r>
              <w:rPr>
                <w:rFonts w:ascii="Times New Roman" w:hAnsi="Times New Roman" w:cs="Times New Roman"/>
                <w:sz w:val="22"/>
                <w:szCs w:val="22"/>
              </w:rPr>
              <w:t>2</w:t>
            </w:r>
            <w:r w:rsidRPr="00F951E5">
              <w:rPr>
                <w:rFonts w:ascii="Times New Roman" w:hAnsi="Times New Roman" w:cs="Times New Roman"/>
                <w:sz w:val="22"/>
                <w:szCs w:val="22"/>
              </w:rPr>
              <w:t>)</w:t>
            </w:r>
          </w:p>
        </w:tc>
        <w:tc>
          <w:tcPr>
            <w:tcW w:w="1170" w:type="dxa"/>
            <w:tcBorders>
              <w:left w:val="single" w:sz="18" w:space="0" w:color="auto"/>
            </w:tcBorders>
          </w:tcPr>
          <w:p w14:paraId="70921C05" w14:textId="77777777" w:rsidR="00AD05AA" w:rsidRPr="00F951E5" w:rsidRDefault="00AD05AA" w:rsidP="00AD05AA">
            <w:pPr>
              <w:keepNext/>
              <w:keepLines/>
              <w:jc w:val="right"/>
              <w:rPr>
                <w:rFonts w:ascii="Times New Roman" w:hAnsi="Times New Roman" w:cs="Times New Roman"/>
                <w:sz w:val="22"/>
                <w:szCs w:val="22"/>
              </w:rPr>
            </w:pPr>
          </w:p>
        </w:tc>
        <w:tc>
          <w:tcPr>
            <w:tcW w:w="1204" w:type="dxa"/>
            <w:tcBorders>
              <w:right w:val="single" w:sz="18" w:space="0" w:color="auto"/>
            </w:tcBorders>
          </w:tcPr>
          <w:p w14:paraId="3049CEA6"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hAnsi="Times New Roman" w:cs="Times New Roman"/>
                <w:sz w:val="22"/>
                <w:szCs w:val="22"/>
              </w:rPr>
              <w:t>0.007 (0.2</w:t>
            </w:r>
            <w:r>
              <w:rPr>
                <w:rFonts w:ascii="Times New Roman" w:hAnsi="Times New Roman" w:cs="Times New Roman"/>
                <w:sz w:val="22"/>
                <w:szCs w:val="22"/>
              </w:rPr>
              <w:t>7</w:t>
            </w:r>
            <w:r w:rsidRPr="00F951E5">
              <w:rPr>
                <w:rFonts w:ascii="Times New Roman" w:hAnsi="Times New Roman" w:cs="Times New Roman"/>
                <w:sz w:val="22"/>
                <w:szCs w:val="22"/>
              </w:rPr>
              <w:t>)</w:t>
            </w:r>
          </w:p>
        </w:tc>
      </w:tr>
      <w:tr w:rsidR="00AD05AA" w:rsidRPr="00506CEE" w14:paraId="1B1C568F" w14:textId="77777777" w:rsidTr="00AD05AA">
        <w:tc>
          <w:tcPr>
            <w:tcW w:w="1818" w:type="dxa"/>
            <w:tcBorders>
              <w:right w:val="single" w:sz="18" w:space="0" w:color="auto"/>
            </w:tcBorders>
          </w:tcPr>
          <w:p w14:paraId="280A4888" w14:textId="77777777" w:rsidR="00AD05AA" w:rsidRPr="00F951E5" w:rsidRDefault="00AD05AA" w:rsidP="00AD05AA">
            <w:pPr>
              <w:keepNext/>
              <w:keepLines/>
              <w:rPr>
                <w:rFonts w:ascii="Times New Roman" w:hAnsi="Times New Roman" w:cs="Times New Roman"/>
                <w:sz w:val="22"/>
                <w:szCs w:val="22"/>
              </w:rPr>
            </w:pPr>
            <w:r w:rsidRPr="00F951E5">
              <w:rPr>
                <w:rFonts w:ascii="Times New Roman" w:hAnsi="Times New Roman" w:cs="Times New Roman"/>
                <w:sz w:val="22"/>
                <w:szCs w:val="22"/>
              </w:rPr>
              <w:t>5) Joint</w:t>
            </w:r>
          </w:p>
        </w:tc>
        <w:tc>
          <w:tcPr>
            <w:tcW w:w="1260" w:type="dxa"/>
            <w:tcBorders>
              <w:left w:val="single" w:sz="18" w:space="0" w:color="auto"/>
            </w:tcBorders>
            <w:vAlign w:val="bottom"/>
          </w:tcPr>
          <w:p w14:paraId="2D8D5A1B"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0.109***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c>
          <w:tcPr>
            <w:tcW w:w="1260" w:type="dxa"/>
            <w:tcBorders>
              <w:right w:val="single" w:sz="18" w:space="0" w:color="auto"/>
            </w:tcBorders>
            <w:vAlign w:val="bottom"/>
          </w:tcPr>
          <w:p w14:paraId="22C68957"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0.105***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c>
          <w:tcPr>
            <w:tcW w:w="1170" w:type="dxa"/>
            <w:tcBorders>
              <w:left w:val="single" w:sz="18" w:space="0" w:color="auto"/>
            </w:tcBorders>
            <w:vAlign w:val="bottom"/>
          </w:tcPr>
          <w:p w14:paraId="358F85AE"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0.0892*** (</w:t>
            </w:r>
            <w:r>
              <w:rPr>
                <w:rFonts w:ascii="Times New Roman" w:eastAsia="Times New Roman" w:hAnsi="Times New Roman" w:cs="Times New Roman"/>
                <w:color w:val="000000"/>
                <w:sz w:val="22"/>
                <w:szCs w:val="22"/>
              </w:rPr>
              <w:t>0.00</w:t>
            </w:r>
            <w:r w:rsidRPr="00F951E5">
              <w:rPr>
                <w:rFonts w:ascii="Times New Roman" w:eastAsia="Times New Roman" w:hAnsi="Times New Roman" w:cs="Times New Roman"/>
                <w:color w:val="000000"/>
                <w:sz w:val="22"/>
                <w:szCs w:val="22"/>
              </w:rPr>
              <w:t>)</w:t>
            </w:r>
          </w:p>
        </w:tc>
        <w:tc>
          <w:tcPr>
            <w:tcW w:w="1170" w:type="dxa"/>
            <w:tcBorders>
              <w:right w:val="single" w:sz="18" w:space="0" w:color="auto"/>
            </w:tcBorders>
            <w:vAlign w:val="bottom"/>
          </w:tcPr>
          <w:p w14:paraId="5E082B17"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0.0888*** (</w:t>
            </w:r>
            <w:r>
              <w:rPr>
                <w:rFonts w:ascii="Times New Roman" w:eastAsia="Times New Roman" w:hAnsi="Times New Roman" w:cs="Times New Roman"/>
                <w:color w:val="000000"/>
                <w:sz w:val="22"/>
                <w:szCs w:val="22"/>
              </w:rPr>
              <w:t>0.00</w:t>
            </w:r>
            <w:r w:rsidRPr="00F951E5">
              <w:rPr>
                <w:rFonts w:ascii="Times New Roman" w:eastAsia="Times New Roman" w:hAnsi="Times New Roman" w:cs="Times New Roman"/>
                <w:color w:val="000000"/>
                <w:sz w:val="22"/>
                <w:szCs w:val="22"/>
              </w:rPr>
              <w:t>)</w:t>
            </w:r>
          </w:p>
        </w:tc>
        <w:tc>
          <w:tcPr>
            <w:tcW w:w="1170" w:type="dxa"/>
            <w:tcBorders>
              <w:left w:val="single" w:sz="18" w:space="0" w:color="auto"/>
            </w:tcBorders>
            <w:vAlign w:val="bottom"/>
          </w:tcPr>
          <w:p w14:paraId="7A6A0B1C"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0.120***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c>
          <w:tcPr>
            <w:tcW w:w="1204" w:type="dxa"/>
            <w:tcBorders>
              <w:right w:val="single" w:sz="18" w:space="0" w:color="auto"/>
            </w:tcBorders>
            <w:vAlign w:val="bottom"/>
          </w:tcPr>
          <w:p w14:paraId="513937BE"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0.120***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r>
      <w:tr w:rsidR="00AD05AA" w:rsidRPr="00506CEE" w14:paraId="6C1FE024" w14:textId="77777777" w:rsidTr="00AD05AA">
        <w:tc>
          <w:tcPr>
            <w:tcW w:w="1818" w:type="dxa"/>
            <w:tcBorders>
              <w:right w:val="single" w:sz="18" w:space="0" w:color="auto"/>
            </w:tcBorders>
          </w:tcPr>
          <w:p w14:paraId="293159F5" w14:textId="77777777" w:rsidR="00AD05AA" w:rsidRPr="00F951E5" w:rsidRDefault="00AD05AA" w:rsidP="00AD05AA">
            <w:pPr>
              <w:keepNext/>
              <w:keepLines/>
              <w:rPr>
                <w:rFonts w:ascii="Times New Roman" w:hAnsi="Times New Roman" w:cs="Times New Roman"/>
                <w:sz w:val="22"/>
                <w:szCs w:val="22"/>
              </w:rPr>
            </w:pPr>
            <w:r w:rsidRPr="00F951E5">
              <w:rPr>
                <w:rFonts w:ascii="Times New Roman" w:hAnsi="Times New Roman" w:cs="Times New Roman"/>
                <w:sz w:val="22"/>
                <w:szCs w:val="22"/>
              </w:rPr>
              <w:t>6) Pro se</w:t>
            </w:r>
          </w:p>
        </w:tc>
        <w:tc>
          <w:tcPr>
            <w:tcW w:w="1260" w:type="dxa"/>
            <w:tcBorders>
              <w:left w:val="single" w:sz="18" w:space="0" w:color="auto"/>
            </w:tcBorders>
            <w:vAlign w:val="bottom"/>
          </w:tcPr>
          <w:p w14:paraId="6554D3B5"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-0.261***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c>
          <w:tcPr>
            <w:tcW w:w="1260" w:type="dxa"/>
            <w:tcBorders>
              <w:right w:val="single" w:sz="18" w:space="0" w:color="auto"/>
            </w:tcBorders>
            <w:vAlign w:val="bottom"/>
          </w:tcPr>
          <w:p w14:paraId="024AC071"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-0.421***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c>
          <w:tcPr>
            <w:tcW w:w="1170" w:type="dxa"/>
            <w:tcBorders>
              <w:left w:val="single" w:sz="18" w:space="0" w:color="auto"/>
            </w:tcBorders>
            <w:vAlign w:val="bottom"/>
          </w:tcPr>
          <w:p w14:paraId="08C561EE"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-0.368***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c>
          <w:tcPr>
            <w:tcW w:w="1170" w:type="dxa"/>
            <w:tcBorders>
              <w:right w:val="single" w:sz="18" w:space="0" w:color="auto"/>
            </w:tcBorders>
            <w:vAlign w:val="bottom"/>
          </w:tcPr>
          <w:p w14:paraId="174AA7C1"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-0.368***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c>
          <w:tcPr>
            <w:tcW w:w="1170" w:type="dxa"/>
            <w:tcBorders>
              <w:left w:val="single" w:sz="18" w:space="0" w:color="auto"/>
            </w:tcBorders>
            <w:vAlign w:val="bottom"/>
          </w:tcPr>
          <w:p w14:paraId="26125BBD"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-0.515***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c>
          <w:tcPr>
            <w:tcW w:w="1204" w:type="dxa"/>
            <w:tcBorders>
              <w:right w:val="single" w:sz="18" w:space="0" w:color="auto"/>
            </w:tcBorders>
            <w:vAlign w:val="bottom"/>
          </w:tcPr>
          <w:p w14:paraId="29563AF0"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-0.515***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r>
      <w:tr w:rsidR="00AD05AA" w:rsidRPr="00506CEE" w14:paraId="2FA744B0" w14:textId="77777777" w:rsidTr="00AD05AA">
        <w:tc>
          <w:tcPr>
            <w:tcW w:w="1818" w:type="dxa"/>
            <w:tcBorders>
              <w:right w:val="single" w:sz="18" w:space="0" w:color="auto"/>
            </w:tcBorders>
          </w:tcPr>
          <w:p w14:paraId="1DE6AA32" w14:textId="77777777" w:rsidR="00AD05AA" w:rsidRPr="00F951E5" w:rsidRDefault="00AD05AA" w:rsidP="00AD05AA">
            <w:pPr>
              <w:keepNext/>
              <w:keepLines/>
              <w:rPr>
                <w:rFonts w:ascii="Times New Roman" w:hAnsi="Times New Roman" w:cs="Times New Roman"/>
                <w:sz w:val="22"/>
                <w:szCs w:val="22"/>
              </w:rPr>
            </w:pPr>
            <w:r w:rsidRPr="00F951E5">
              <w:rPr>
                <w:rFonts w:ascii="Times New Roman" w:hAnsi="Times New Roman" w:cs="Times New Roman"/>
                <w:sz w:val="22"/>
                <w:szCs w:val="22"/>
              </w:rPr>
              <w:t>7) AttyLow</w:t>
            </w:r>
          </w:p>
        </w:tc>
        <w:tc>
          <w:tcPr>
            <w:tcW w:w="1260" w:type="dxa"/>
            <w:tcBorders>
              <w:left w:val="single" w:sz="18" w:space="0" w:color="auto"/>
            </w:tcBorders>
            <w:vAlign w:val="bottom"/>
          </w:tcPr>
          <w:p w14:paraId="351C0B9E"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-0.09</w:t>
            </w:r>
            <w:r>
              <w:rPr>
                <w:rFonts w:ascii="Times New Roman" w:eastAsia="Times New Roman" w:hAnsi="Times New Roman" w:cs="Times New Roman"/>
                <w:color w:val="000000"/>
                <w:sz w:val="22"/>
                <w:szCs w:val="22"/>
              </w:rPr>
              <w:t>6</w:t>
            </w:r>
            <w:r w:rsidRPr="00F951E5">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0.00</w:t>
            </w:r>
            <w:r w:rsidRPr="00F951E5">
              <w:rPr>
                <w:rFonts w:ascii="Times New Roman" w:eastAsia="Times New Roman" w:hAnsi="Times New Roman" w:cs="Times New Roman"/>
                <w:color w:val="000000"/>
                <w:sz w:val="22"/>
                <w:szCs w:val="22"/>
              </w:rPr>
              <w:t>)</w:t>
            </w:r>
          </w:p>
        </w:tc>
        <w:tc>
          <w:tcPr>
            <w:tcW w:w="1260" w:type="dxa"/>
            <w:tcBorders>
              <w:right w:val="single" w:sz="18" w:space="0" w:color="auto"/>
            </w:tcBorders>
            <w:vAlign w:val="bottom"/>
          </w:tcPr>
          <w:p w14:paraId="0FF682DE" w14:textId="77777777" w:rsidR="00AD05AA" w:rsidRPr="00F951E5" w:rsidRDefault="00AD05AA" w:rsidP="00AD05AA">
            <w:pPr>
              <w:keepNext/>
              <w:keepLines/>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-0.160***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c>
          <w:tcPr>
            <w:tcW w:w="1170" w:type="dxa"/>
            <w:tcBorders>
              <w:left w:val="single" w:sz="18" w:space="0" w:color="auto"/>
            </w:tcBorders>
            <w:vAlign w:val="bottom"/>
          </w:tcPr>
          <w:p w14:paraId="7F0749A6"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-0.104** (0.02)</w:t>
            </w:r>
          </w:p>
        </w:tc>
        <w:tc>
          <w:tcPr>
            <w:tcW w:w="1170" w:type="dxa"/>
            <w:tcBorders>
              <w:right w:val="single" w:sz="18" w:space="0" w:color="auto"/>
            </w:tcBorders>
            <w:vAlign w:val="bottom"/>
          </w:tcPr>
          <w:p w14:paraId="55A15EB0"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-0.105** (0.02)</w:t>
            </w:r>
          </w:p>
        </w:tc>
        <w:tc>
          <w:tcPr>
            <w:tcW w:w="1170" w:type="dxa"/>
            <w:tcBorders>
              <w:left w:val="single" w:sz="18" w:space="0" w:color="auto"/>
            </w:tcBorders>
          </w:tcPr>
          <w:p w14:paraId="2ABA69AB" w14:textId="77777777" w:rsidR="00AD05AA" w:rsidRPr="00F951E5" w:rsidRDefault="00AD05AA" w:rsidP="00AD05AA">
            <w:pPr>
              <w:keepNext/>
              <w:keepLines/>
              <w:jc w:val="right"/>
              <w:rPr>
                <w:rFonts w:ascii="Times New Roman" w:hAnsi="Times New Roman" w:cs="Times New Roman"/>
                <w:sz w:val="22"/>
                <w:szCs w:val="22"/>
              </w:rPr>
            </w:pPr>
          </w:p>
        </w:tc>
        <w:tc>
          <w:tcPr>
            <w:tcW w:w="1204" w:type="dxa"/>
            <w:tcBorders>
              <w:right w:val="single" w:sz="18" w:space="0" w:color="auto"/>
            </w:tcBorders>
          </w:tcPr>
          <w:p w14:paraId="4C7495E5" w14:textId="77777777" w:rsidR="00AD05AA" w:rsidRPr="00F951E5" w:rsidRDefault="00AD05AA" w:rsidP="00AD05AA">
            <w:pPr>
              <w:keepNext/>
              <w:keepLines/>
              <w:jc w:val="right"/>
              <w:rPr>
                <w:rFonts w:ascii="Times New Roman" w:hAnsi="Times New Roman" w:cs="Times New Roman"/>
                <w:sz w:val="22"/>
                <w:szCs w:val="22"/>
              </w:rPr>
            </w:pPr>
          </w:p>
        </w:tc>
      </w:tr>
      <w:tr w:rsidR="00AD05AA" w:rsidRPr="00506CEE" w14:paraId="2EE20C02" w14:textId="77777777" w:rsidTr="00AD05AA">
        <w:tc>
          <w:tcPr>
            <w:tcW w:w="1818" w:type="dxa"/>
            <w:tcBorders>
              <w:right w:val="single" w:sz="18" w:space="0" w:color="auto"/>
            </w:tcBorders>
          </w:tcPr>
          <w:p w14:paraId="3F02ED41" w14:textId="77777777" w:rsidR="00AD05AA" w:rsidRPr="00F951E5" w:rsidRDefault="00AD05AA" w:rsidP="00AD05AA">
            <w:pPr>
              <w:keepNext/>
              <w:keepLines/>
              <w:rPr>
                <w:rFonts w:ascii="Times New Roman" w:hAnsi="Times New Roman" w:cs="Times New Roman"/>
                <w:sz w:val="22"/>
                <w:szCs w:val="22"/>
              </w:rPr>
            </w:pPr>
            <w:r w:rsidRPr="00F951E5">
              <w:rPr>
                <w:rFonts w:ascii="Times New Roman" w:hAnsi="Times New Roman" w:cs="Times New Roman"/>
                <w:sz w:val="22"/>
                <w:szCs w:val="22"/>
              </w:rPr>
              <w:t>8) AttyMid</w:t>
            </w:r>
          </w:p>
        </w:tc>
        <w:tc>
          <w:tcPr>
            <w:tcW w:w="1260" w:type="dxa"/>
            <w:tcBorders>
              <w:left w:val="single" w:sz="18" w:space="0" w:color="auto"/>
            </w:tcBorders>
            <w:vAlign w:val="bottom"/>
          </w:tcPr>
          <w:p w14:paraId="6E549DDE"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-0.01</w:t>
            </w:r>
            <w:r>
              <w:rPr>
                <w:rFonts w:ascii="Times New Roman" w:eastAsia="Times New Roman" w:hAnsi="Times New Roman" w:cs="Times New Roman"/>
                <w:color w:val="000000"/>
                <w:sz w:val="22"/>
                <w:szCs w:val="22"/>
              </w:rPr>
              <w:t>2</w:t>
            </w:r>
            <w:r w:rsidRPr="00F951E5">
              <w:rPr>
                <w:rFonts w:ascii="Times New Roman" w:eastAsia="Times New Roman" w:hAnsi="Times New Roman" w:cs="Times New Roman"/>
                <w:color w:val="000000"/>
                <w:sz w:val="22"/>
                <w:szCs w:val="22"/>
              </w:rPr>
              <w:t xml:space="preserve"> (0.5</w:t>
            </w:r>
            <w:r>
              <w:rPr>
                <w:rFonts w:ascii="Times New Roman" w:eastAsia="Times New Roman" w:hAnsi="Times New Roman" w:cs="Times New Roman"/>
                <w:color w:val="000000"/>
                <w:sz w:val="22"/>
                <w:szCs w:val="22"/>
              </w:rPr>
              <w:t>9</w:t>
            </w:r>
            <w:r w:rsidRPr="00F951E5">
              <w:rPr>
                <w:rFonts w:ascii="Times New Roman" w:eastAsia="Times New Roman" w:hAnsi="Times New Roman" w:cs="Times New Roman"/>
                <w:color w:val="000000"/>
                <w:sz w:val="22"/>
                <w:szCs w:val="22"/>
              </w:rPr>
              <w:t>)</w:t>
            </w:r>
          </w:p>
        </w:tc>
        <w:tc>
          <w:tcPr>
            <w:tcW w:w="1260" w:type="dxa"/>
            <w:tcBorders>
              <w:right w:val="single" w:sz="18" w:space="0" w:color="auto"/>
            </w:tcBorders>
            <w:vAlign w:val="bottom"/>
          </w:tcPr>
          <w:p w14:paraId="3F3943E3"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-0.07</w:t>
            </w:r>
            <w:r>
              <w:rPr>
                <w:rFonts w:ascii="Times New Roman" w:eastAsia="Times New Roman" w:hAnsi="Times New Roman" w:cs="Times New Roman"/>
                <w:color w:val="000000"/>
                <w:sz w:val="22"/>
                <w:szCs w:val="22"/>
              </w:rPr>
              <w:t>3</w:t>
            </w:r>
            <w:r w:rsidRPr="00F951E5">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0.00</w:t>
            </w:r>
            <w:r w:rsidRPr="00F951E5">
              <w:rPr>
                <w:rFonts w:ascii="Times New Roman" w:eastAsia="Times New Roman" w:hAnsi="Times New Roman" w:cs="Times New Roman"/>
                <w:color w:val="000000"/>
                <w:sz w:val="22"/>
                <w:szCs w:val="22"/>
              </w:rPr>
              <w:t xml:space="preserve">) </w:t>
            </w:r>
          </w:p>
        </w:tc>
        <w:tc>
          <w:tcPr>
            <w:tcW w:w="1170" w:type="dxa"/>
            <w:tcBorders>
              <w:left w:val="single" w:sz="18" w:space="0" w:color="auto"/>
            </w:tcBorders>
            <w:vAlign w:val="bottom"/>
          </w:tcPr>
          <w:p w14:paraId="12EE2738"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-0.020 (0.5</w:t>
            </w:r>
            <w:r>
              <w:rPr>
                <w:rFonts w:ascii="Times New Roman" w:eastAsia="Times New Roman" w:hAnsi="Times New Roman" w:cs="Times New Roman"/>
                <w:color w:val="000000"/>
                <w:sz w:val="22"/>
                <w:szCs w:val="22"/>
              </w:rPr>
              <w:t>7</w:t>
            </w:r>
            <w:r w:rsidRPr="00F951E5">
              <w:rPr>
                <w:rFonts w:ascii="Times New Roman" w:eastAsia="Times New Roman" w:hAnsi="Times New Roman" w:cs="Times New Roman"/>
                <w:color w:val="000000"/>
                <w:sz w:val="22"/>
                <w:szCs w:val="22"/>
              </w:rPr>
              <w:t>)</w:t>
            </w:r>
          </w:p>
        </w:tc>
        <w:tc>
          <w:tcPr>
            <w:tcW w:w="1170" w:type="dxa"/>
            <w:tcBorders>
              <w:right w:val="single" w:sz="18" w:space="0" w:color="auto"/>
            </w:tcBorders>
            <w:vAlign w:val="bottom"/>
          </w:tcPr>
          <w:p w14:paraId="55635B52"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-0.0213 (0.55)</w:t>
            </w:r>
          </w:p>
        </w:tc>
        <w:tc>
          <w:tcPr>
            <w:tcW w:w="1170" w:type="dxa"/>
            <w:tcBorders>
              <w:left w:val="single" w:sz="18" w:space="0" w:color="auto"/>
            </w:tcBorders>
          </w:tcPr>
          <w:p w14:paraId="5FB339AB" w14:textId="77777777" w:rsidR="00AD05AA" w:rsidRPr="00F951E5" w:rsidRDefault="00AD05AA" w:rsidP="00AD05AA">
            <w:pPr>
              <w:keepNext/>
              <w:keepLines/>
              <w:jc w:val="right"/>
              <w:rPr>
                <w:rFonts w:ascii="Times New Roman" w:hAnsi="Times New Roman" w:cs="Times New Roman"/>
                <w:sz w:val="22"/>
                <w:szCs w:val="22"/>
              </w:rPr>
            </w:pPr>
          </w:p>
        </w:tc>
        <w:tc>
          <w:tcPr>
            <w:tcW w:w="1204" w:type="dxa"/>
            <w:tcBorders>
              <w:right w:val="single" w:sz="18" w:space="0" w:color="auto"/>
            </w:tcBorders>
          </w:tcPr>
          <w:p w14:paraId="79B85000" w14:textId="77777777" w:rsidR="00AD05AA" w:rsidRPr="00F951E5" w:rsidRDefault="00AD05AA" w:rsidP="00AD05AA">
            <w:pPr>
              <w:keepNext/>
              <w:keepLines/>
              <w:jc w:val="right"/>
              <w:rPr>
                <w:rFonts w:ascii="Times New Roman" w:hAnsi="Times New Roman" w:cs="Times New Roman"/>
                <w:sz w:val="22"/>
                <w:szCs w:val="22"/>
              </w:rPr>
            </w:pPr>
          </w:p>
        </w:tc>
      </w:tr>
      <w:tr w:rsidR="00AD05AA" w:rsidRPr="00506CEE" w14:paraId="7AFAA742" w14:textId="77777777" w:rsidTr="00AD05AA">
        <w:tc>
          <w:tcPr>
            <w:tcW w:w="1818" w:type="dxa"/>
            <w:tcBorders>
              <w:right w:val="single" w:sz="18" w:space="0" w:color="auto"/>
            </w:tcBorders>
          </w:tcPr>
          <w:p w14:paraId="30F373E2" w14:textId="77777777" w:rsidR="00AD05AA" w:rsidRPr="00F951E5" w:rsidRDefault="00AD05AA" w:rsidP="00AD05AA">
            <w:pPr>
              <w:keepNext/>
              <w:keepLines/>
              <w:rPr>
                <w:rFonts w:ascii="Times New Roman" w:hAnsi="Times New Roman" w:cs="Times New Roman"/>
                <w:sz w:val="22"/>
                <w:szCs w:val="22"/>
              </w:rPr>
            </w:pPr>
            <w:r w:rsidRPr="00F951E5">
              <w:rPr>
                <w:rFonts w:ascii="Times New Roman" w:hAnsi="Times New Roman" w:cs="Times New Roman"/>
                <w:sz w:val="22"/>
                <w:szCs w:val="22"/>
              </w:rPr>
              <w:t>9) Atty13Low</w:t>
            </w:r>
          </w:p>
        </w:tc>
        <w:tc>
          <w:tcPr>
            <w:tcW w:w="1260" w:type="dxa"/>
            <w:tcBorders>
              <w:left w:val="single" w:sz="18" w:space="0" w:color="auto"/>
            </w:tcBorders>
            <w:vAlign w:val="bottom"/>
          </w:tcPr>
          <w:p w14:paraId="06B15FB3" w14:textId="77777777" w:rsidR="00AD05AA" w:rsidRPr="00F951E5" w:rsidRDefault="00AD05AA" w:rsidP="00AD05AA">
            <w:pPr>
              <w:keepNext/>
              <w:keepLines/>
              <w:jc w:val="right"/>
              <w:rPr>
                <w:rFonts w:ascii="Times New Roman" w:hAnsi="Times New Roman" w:cs="Times New Roman"/>
                <w:sz w:val="22"/>
                <w:szCs w:val="22"/>
              </w:rPr>
            </w:pPr>
          </w:p>
        </w:tc>
        <w:tc>
          <w:tcPr>
            <w:tcW w:w="1260" w:type="dxa"/>
            <w:tcBorders>
              <w:right w:val="single" w:sz="18" w:space="0" w:color="auto"/>
            </w:tcBorders>
            <w:vAlign w:val="bottom"/>
          </w:tcPr>
          <w:p w14:paraId="5DB10B26" w14:textId="77777777" w:rsidR="00AD05AA" w:rsidRPr="00F951E5" w:rsidRDefault="00AD05AA" w:rsidP="00AD05AA">
            <w:pPr>
              <w:keepNext/>
              <w:keepLines/>
              <w:jc w:val="right"/>
              <w:rPr>
                <w:rFonts w:ascii="Times New Roman" w:hAnsi="Times New Roman" w:cs="Times New Roman"/>
                <w:sz w:val="22"/>
                <w:szCs w:val="22"/>
              </w:rPr>
            </w:pPr>
          </w:p>
        </w:tc>
        <w:tc>
          <w:tcPr>
            <w:tcW w:w="1170" w:type="dxa"/>
            <w:tcBorders>
              <w:left w:val="single" w:sz="18" w:space="0" w:color="auto"/>
            </w:tcBorders>
          </w:tcPr>
          <w:p w14:paraId="6C05A8B0" w14:textId="77777777" w:rsidR="00AD05AA" w:rsidRPr="00F951E5" w:rsidRDefault="00AD05AA" w:rsidP="00AD05AA">
            <w:pPr>
              <w:keepNext/>
              <w:keepLines/>
              <w:jc w:val="right"/>
              <w:rPr>
                <w:rFonts w:ascii="Times New Roman" w:hAnsi="Times New Roman" w:cs="Times New Roman"/>
                <w:sz w:val="22"/>
                <w:szCs w:val="22"/>
              </w:rPr>
            </w:pPr>
          </w:p>
        </w:tc>
        <w:tc>
          <w:tcPr>
            <w:tcW w:w="1170" w:type="dxa"/>
            <w:tcBorders>
              <w:right w:val="single" w:sz="18" w:space="0" w:color="auto"/>
            </w:tcBorders>
          </w:tcPr>
          <w:p w14:paraId="302559C1" w14:textId="77777777" w:rsidR="00AD05AA" w:rsidRPr="00F951E5" w:rsidRDefault="00AD05AA" w:rsidP="00AD05AA">
            <w:pPr>
              <w:keepNext/>
              <w:keepLines/>
              <w:jc w:val="right"/>
              <w:rPr>
                <w:rFonts w:ascii="Times New Roman" w:hAnsi="Times New Roman" w:cs="Times New Roman"/>
                <w:sz w:val="22"/>
                <w:szCs w:val="22"/>
              </w:rPr>
            </w:pPr>
          </w:p>
        </w:tc>
        <w:tc>
          <w:tcPr>
            <w:tcW w:w="1170" w:type="dxa"/>
            <w:tcBorders>
              <w:left w:val="single" w:sz="18" w:space="0" w:color="auto"/>
            </w:tcBorders>
            <w:vAlign w:val="bottom"/>
          </w:tcPr>
          <w:p w14:paraId="23F117A8"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-0.17</w:t>
            </w:r>
            <w:r>
              <w:rPr>
                <w:rFonts w:ascii="Times New Roman" w:eastAsia="Times New Roman" w:hAnsi="Times New Roman" w:cs="Times New Roman"/>
                <w:color w:val="000000"/>
                <w:sz w:val="22"/>
                <w:szCs w:val="22"/>
              </w:rPr>
              <w:t>3</w:t>
            </w:r>
            <w:r w:rsidRPr="00F951E5">
              <w:rPr>
                <w:rFonts w:ascii="Times New Roman" w:eastAsia="Times New Roman" w:hAnsi="Times New Roman" w:cs="Times New Roman"/>
                <w:color w:val="000000"/>
                <w:sz w:val="22"/>
                <w:szCs w:val="22"/>
              </w:rPr>
              <w:t>***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c>
          <w:tcPr>
            <w:tcW w:w="1204" w:type="dxa"/>
            <w:tcBorders>
              <w:right w:val="single" w:sz="18" w:space="0" w:color="auto"/>
            </w:tcBorders>
            <w:vAlign w:val="bottom"/>
          </w:tcPr>
          <w:p w14:paraId="73255A00"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-0.174***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r>
      <w:tr w:rsidR="00AD05AA" w:rsidRPr="00506CEE" w14:paraId="35B458A1" w14:textId="77777777" w:rsidTr="00AD05AA">
        <w:tc>
          <w:tcPr>
            <w:tcW w:w="1818" w:type="dxa"/>
            <w:tcBorders>
              <w:right w:val="single" w:sz="18" w:space="0" w:color="auto"/>
            </w:tcBorders>
          </w:tcPr>
          <w:p w14:paraId="7CEF9984" w14:textId="77777777" w:rsidR="00AD05AA" w:rsidRPr="00F951E5" w:rsidRDefault="00AD05AA" w:rsidP="00AD05AA">
            <w:pPr>
              <w:keepNext/>
              <w:keepLines/>
              <w:rPr>
                <w:rFonts w:ascii="Times New Roman" w:hAnsi="Times New Roman" w:cs="Times New Roman"/>
                <w:sz w:val="22"/>
                <w:szCs w:val="22"/>
              </w:rPr>
            </w:pPr>
            <w:r w:rsidRPr="00F951E5">
              <w:rPr>
                <w:rFonts w:ascii="Times New Roman" w:hAnsi="Times New Roman" w:cs="Times New Roman"/>
                <w:sz w:val="22"/>
                <w:szCs w:val="22"/>
              </w:rPr>
              <w:t>10) Atty13Mid</w:t>
            </w:r>
          </w:p>
        </w:tc>
        <w:tc>
          <w:tcPr>
            <w:tcW w:w="1260" w:type="dxa"/>
            <w:tcBorders>
              <w:left w:val="single" w:sz="18" w:space="0" w:color="auto"/>
            </w:tcBorders>
          </w:tcPr>
          <w:p w14:paraId="0EE1579D" w14:textId="77777777" w:rsidR="00AD05AA" w:rsidRPr="00F951E5" w:rsidRDefault="00AD05AA" w:rsidP="00AD05AA">
            <w:pPr>
              <w:keepNext/>
              <w:keepLines/>
              <w:jc w:val="right"/>
              <w:rPr>
                <w:rFonts w:ascii="Times New Roman" w:hAnsi="Times New Roman" w:cs="Times New Roman"/>
                <w:sz w:val="22"/>
                <w:szCs w:val="22"/>
              </w:rPr>
            </w:pPr>
          </w:p>
        </w:tc>
        <w:tc>
          <w:tcPr>
            <w:tcW w:w="1260" w:type="dxa"/>
            <w:tcBorders>
              <w:right w:val="single" w:sz="18" w:space="0" w:color="auto"/>
            </w:tcBorders>
          </w:tcPr>
          <w:p w14:paraId="75EAE2D8" w14:textId="77777777" w:rsidR="00AD05AA" w:rsidRPr="00F951E5" w:rsidRDefault="00AD05AA" w:rsidP="00AD05AA">
            <w:pPr>
              <w:keepNext/>
              <w:keepLines/>
              <w:jc w:val="right"/>
              <w:rPr>
                <w:rFonts w:ascii="Times New Roman" w:hAnsi="Times New Roman" w:cs="Times New Roman"/>
                <w:sz w:val="22"/>
                <w:szCs w:val="22"/>
              </w:rPr>
            </w:pPr>
          </w:p>
        </w:tc>
        <w:tc>
          <w:tcPr>
            <w:tcW w:w="1170" w:type="dxa"/>
            <w:tcBorders>
              <w:left w:val="single" w:sz="18" w:space="0" w:color="auto"/>
            </w:tcBorders>
          </w:tcPr>
          <w:p w14:paraId="4F0D7D3E" w14:textId="77777777" w:rsidR="00AD05AA" w:rsidRPr="00F951E5" w:rsidRDefault="00AD05AA" w:rsidP="00AD05AA">
            <w:pPr>
              <w:keepNext/>
              <w:keepLines/>
              <w:jc w:val="right"/>
              <w:rPr>
                <w:rFonts w:ascii="Times New Roman" w:hAnsi="Times New Roman" w:cs="Times New Roman"/>
                <w:sz w:val="22"/>
                <w:szCs w:val="22"/>
              </w:rPr>
            </w:pPr>
          </w:p>
        </w:tc>
        <w:tc>
          <w:tcPr>
            <w:tcW w:w="1170" w:type="dxa"/>
            <w:tcBorders>
              <w:right w:val="single" w:sz="18" w:space="0" w:color="auto"/>
            </w:tcBorders>
          </w:tcPr>
          <w:p w14:paraId="538A8844" w14:textId="77777777" w:rsidR="00AD05AA" w:rsidRPr="00F951E5" w:rsidRDefault="00AD05AA" w:rsidP="00AD05AA">
            <w:pPr>
              <w:keepNext/>
              <w:keepLines/>
              <w:jc w:val="right"/>
              <w:rPr>
                <w:rFonts w:ascii="Times New Roman" w:hAnsi="Times New Roman" w:cs="Times New Roman"/>
                <w:sz w:val="22"/>
                <w:szCs w:val="22"/>
              </w:rPr>
            </w:pPr>
          </w:p>
        </w:tc>
        <w:tc>
          <w:tcPr>
            <w:tcW w:w="1170" w:type="dxa"/>
            <w:tcBorders>
              <w:left w:val="single" w:sz="18" w:space="0" w:color="auto"/>
            </w:tcBorders>
            <w:vAlign w:val="bottom"/>
          </w:tcPr>
          <w:p w14:paraId="049A8341"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-0.122***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c>
          <w:tcPr>
            <w:tcW w:w="1204" w:type="dxa"/>
            <w:tcBorders>
              <w:right w:val="single" w:sz="18" w:space="0" w:color="auto"/>
            </w:tcBorders>
            <w:vAlign w:val="bottom"/>
          </w:tcPr>
          <w:p w14:paraId="36AA1354"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-0.122***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r>
      <w:tr w:rsidR="00AD05AA" w:rsidRPr="00506CEE" w14:paraId="669996BC" w14:textId="77777777" w:rsidTr="00AD05AA">
        <w:tc>
          <w:tcPr>
            <w:tcW w:w="1818" w:type="dxa"/>
            <w:tcBorders>
              <w:right w:val="single" w:sz="18" w:space="0" w:color="auto"/>
            </w:tcBorders>
          </w:tcPr>
          <w:p w14:paraId="62B8ED88" w14:textId="77777777" w:rsidR="00AD05AA" w:rsidRPr="00F951E5" w:rsidRDefault="00AD05AA" w:rsidP="00AD05AA">
            <w:pPr>
              <w:keepNext/>
              <w:keepLines/>
              <w:rPr>
                <w:rFonts w:ascii="Times New Roman" w:hAnsi="Times New Roman" w:cs="Times New Roman"/>
                <w:sz w:val="22"/>
                <w:szCs w:val="22"/>
              </w:rPr>
            </w:pPr>
            <w:r w:rsidRPr="00F951E5">
              <w:rPr>
                <w:rFonts w:ascii="Times New Roman" w:hAnsi="Times New Roman" w:cs="Times New Roman"/>
                <w:sz w:val="22"/>
                <w:szCs w:val="22"/>
              </w:rPr>
              <w:t>11) 2010</w:t>
            </w:r>
          </w:p>
        </w:tc>
        <w:tc>
          <w:tcPr>
            <w:tcW w:w="1260" w:type="dxa"/>
            <w:tcBorders>
              <w:left w:val="single" w:sz="18" w:space="0" w:color="auto"/>
            </w:tcBorders>
          </w:tcPr>
          <w:p w14:paraId="6B7D5A76" w14:textId="77777777" w:rsidR="00AD05AA" w:rsidRPr="00F951E5" w:rsidRDefault="00AD05AA" w:rsidP="00AD05AA">
            <w:pPr>
              <w:keepNext/>
              <w:keepLines/>
              <w:jc w:val="right"/>
              <w:rPr>
                <w:rFonts w:ascii="Times New Roman" w:hAnsi="Times New Roman" w:cs="Times New Roman"/>
                <w:sz w:val="22"/>
                <w:szCs w:val="22"/>
              </w:rPr>
            </w:pPr>
          </w:p>
        </w:tc>
        <w:tc>
          <w:tcPr>
            <w:tcW w:w="1260" w:type="dxa"/>
            <w:tcBorders>
              <w:right w:val="single" w:sz="18" w:space="0" w:color="auto"/>
            </w:tcBorders>
            <w:vAlign w:val="bottom"/>
          </w:tcPr>
          <w:p w14:paraId="43045BD3"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-0.007 (0.68)</w:t>
            </w:r>
          </w:p>
        </w:tc>
        <w:tc>
          <w:tcPr>
            <w:tcW w:w="1170" w:type="dxa"/>
            <w:tcBorders>
              <w:left w:val="single" w:sz="18" w:space="0" w:color="auto"/>
            </w:tcBorders>
            <w:vAlign w:val="bottom"/>
          </w:tcPr>
          <w:p w14:paraId="19438A57"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0.02</w:t>
            </w:r>
            <w:r>
              <w:rPr>
                <w:rFonts w:ascii="Times New Roman" w:eastAsia="Times New Roman" w:hAnsi="Times New Roman" w:cs="Times New Roman"/>
                <w:color w:val="000000"/>
                <w:sz w:val="22"/>
                <w:szCs w:val="22"/>
              </w:rPr>
              <w:t>5</w:t>
            </w:r>
            <w:r w:rsidRPr="00F951E5">
              <w:rPr>
                <w:rFonts w:ascii="Times New Roman" w:eastAsia="Times New Roman" w:hAnsi="Times New Roman" w:cs="Times New Roman"/>
                <w:color w:val="000000"/>
                <w:sz w:val="22"/>
                <w:szCs w:val="22"/>
              </w:rPr>
              <w:t xml:space="preserve"> (0.</w:t>
            </w:r>
            <w:r>
              <w:rPr>
                <w:rFonts w:ascii="Times New Roman" w:eastAsia="Times New Roman" w:hAnsi="Times New Roman" w:cs="Times New Roman"/>
                <w:color w:val="000000"/>
                <w:sz w:val="22"/>
                <w:szCs w:val="22"/>
              </w:rPr>
              <w:t>58</w:t>
            </w:r>
            <w:r w:rsidRPr="00F951E5">
              <w:rPr>
                <w:rFonts w:ascii="Times New Roman" w:eastAsia="Times New Roman" w:hAnsi="Times New Roman" w:cs="Times New Roman"/>
                <w:color w:val="000000"/>
                <w:sz w:val="22"/>
                <w:szCs w:val="22"/>
              </w:rPr>
              <w:t>)</w:t>
            </w:r>
          </w:p>
        </w:tc>
        <w:tc>
          <w:tcPr>
            <w:tcW w:w="1170" w:type="dxa"/>
            <w:tcBorders>
              <w:right w:val="single" w:sz="18" w:space="0" w:color="auto"/>
            </w:tcBorders>
            <w:vAlign w:val="bottom"/>
          </w:tcPr>
          <w:p w14:paraId="4F1EF988"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-0.0145 (0.74)</w:t>
            </w:r>
          </w:p>
        </w:tc>
        <w:tc>
          <w:tcPr>
            <w:tcW w:w="1170" w:type="dxa"/>
            <w:tcBorders>
              <w:left w:val="single" w:sz="18" w:space="0" w:color="auto"/>
            </w:tcBorders>
            <w:vAlign w:val="bottom"/>
          </w:tcPr>
          <w:p w14:paraId="7257ACA5"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w:t>
            </w:r>
            <w:r>
              <w:rPr>
                <w:rFonts w:ascii="Times New Roman" w:eastAsia="Times New Roman" w:hAnsi="Times New Roman" w:cs="Times New Roman"/>
                <w:color w:val="000000"/>
                <w:sz w:val="22"/>
                <w:szCs w:val="22"/>
              </w:rPr>
              <w:t>63</w:t>
            </w:r>
            <w:r w:rsidRPr="00F951E5">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0.00</w:t>
            </w:r>
            <w:r w:rsidRPr="00F951E5">
              <w:rPr>
                <w:rFonts w:ascii="Times New Roman" w:eastAsia="Times New Roman" w:hAnsi="Times New Roman" w:cs="Times New Roman"/>
                <w:color w:val="000000"/>
                <w:sz w:val="22"/>
                <w:szCs w:val="22"/>
              </w:rPr>
              <w:t>)</w:t>
            </w:r>
          </w:p>
        </w:tc>
        <w:tc>
          <w:tcPr>
            <w:tcW w:w="1204" w:type="dxa"/>
            <w:tcBorders>
              <w:right w:val="single" w:sz="18" w:space="0" w:color="auto"/>
            </w:tcBorders>
            <w:vAlign w:val="bottom"/>
          </w:tcPr>
          <w:p w14:paraId="288738C5"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0.05</w:t>
            </w:r>
            <w:r>
              <w:rPr>
                <w:rFonts w:ascii="Times New Roman" w:eastAsia="Times New Roman" w:hAnsi="Times New Roman" w:cs="Times New Roman"/>
                <w:color w:val="000000"/>
                <w:sz w:val="22"/>
                <w:szCs w:val="22"/>
              </w:rPr>
              <w:t>71</w:t>
            </w:r>
            <w:r w:rsidRPr="00F951E5">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0.00</w:t>
            </w:r>
            <w:r w:rsidRPr="00F951E5">
              <w:rPr>
                <w:rFonts w:ascii="Times New Roman" w:eastAsia="Times New Roman" w:hAnsi="Times New Roman" w:cs="Times New Roman"/>
                <w:color w:val="000000"/>
                <w:sz w:val="22"/>
                <w:szCs w:val="22"/>
              </w:rPr>
              <w:t>)</w:t>
            </w:r>
          </w:p>
        </w:tc>
      </w:tr>
      <w:tr w:rsidR="00AD05AA" w:rsidRPr="00506CEE" w14:paraId="046A5CDA" w14:textId="77777777" w:rsidTr="00AD05AA">
        <w:tc>
          <w:tcPr>
            <w:tcW w:w="1818" w:type="dxa"/>
            <w:tcBorders>
              <w:right w:val="single" w:sz="18" w:space="0" w:color="auto"/>
            </w:tcBorders>
          </w:tcPr>
          <w:p w14:paraId="2D389AD7" w14:textId="77777777" w:rsidR="00AD05AA" w:rsidRPr="00F951E5" w:rsidRDefault="00AD05AA" w:rsidP="00AD05AA">
            <w:pPr>
              <w:keepNext/>
              <w:keepLines/>
              <w:rPr>
                <w:rFonts w:ascii="Times New Roman" w:hAnsi="Times New Roman" w:cs="Times New Roman"/>
                <w:sz w:val="22"/>
                <w:szCs w:val="22"/>
              </w:rPr>
            </w:pPr>
            <w:r w:rsidRPr="00F951E5">
              <w:rPr>
                <w:rFonts w:ascii="Times New Roman" w:hAnsi="Times New Roman" w:cs="Times New Roman"/>
                <w:sz w:val="22"/>
                <w:szCs w:val="22"/>
              </w:rPr>
              <w:t>12) NoAsset</w:t>
            </w:r>
          </w:p>
        </w:tc>
        <w:tc>
          <w:tcPr>
            <w:tcW w:w="1260" w:type="dxa"/>
            <w:tcBorders>
              <w:left w:val="single" w:sz="18" w:space="0" w:color="auto"/>
            </w:tcBorders>
            <w:vAlign w:val="bottom"/>
          </w:tcPr>
          <w:p w14:paraId="6F98FD33"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-0.326***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c>
          <w:tcPr>
            <w:tcW w:w="1260" w:type="dxa"/>
            <w:tcBorders>
              <w:right w:val="single" w:sz="18" w:space="0" w:color="auto"/>
            </w:tcBorders>
            <w:vAlign w:val="bottom"/>
          </w:tcPr>
          <w:p w14:paraId="5B367839"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-0.292***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c>
          <w:tcPr>
            <w:tcW w:w="1170" w:type="dxa"/>
            <w:tcBorders>
              <w:left w:val="single" w:sz="18" w:space="0" w:color="auto"/>
            </w:tcBorders>
            <w:vAlign w:val="bottom"/>
          </w:tcPr>
          <w:p w14:paraId="53AF15B9"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-0.2</w:t>
            </w:r>
            <w:r>
              <w:rPr>
                <w:rFonts w:ascii="Times New Roman" w:eastAsia="Times New Roman" w:hAnsi="Times New Roman" w:cs="Times New Roman"/>
                <w:color w:val="000000"/>
                <w:sz w:val="22"/>
                <w:szCs w:val="22"/>
              </w:rPr>
              <w:t>71</w:t>
            </w:r>
            <w:r w:rsidRPr="00F951E5">
              <w:rPr>
                <w:rFonts w:ascii="Times New Roman" w:eastAsia="Times New Roman" w:hAnsi="Times New Roman" w:cs="Times New Roman"/>
                <w:color w:val="000000"/>
                <w:sz w:val="22"/>
                <w:szCs w:val="22"/>
              </w:rPr>
              <w:t>***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 xml:space="preserve">) </w:t>
            </w:r>
          </w:p>
        </w:tc>
        <w:tc>
          <w:tcPr>
            <w:tcW w:w="1170" w:type="dxa"/>
            <w:tcBorders>
              <w:right w:val="single" w:sz="18" w:space="0" w:color="auto"/>
            </w:tcBorders>
            <w:vAlign w:val="bottom"/>
          </w:tcPr>
          <w:p w14:paraId="7EE12D13"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-0.271***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c>
          <w:tcPr>
            <w:tcW w:w="1170" w:type="dxa"/>
            <w:tcBorders>
              <w:left w:val="single" w:sz="18" w:space="0" w:color="auto"/>
            </w:tcBorders>
            <w:vAlign w:val="bottom"/>
          </w:tcPr>
          <w:p w14:paraId="1F8B2E10"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-0.345***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c>
          <w:tcPr>
            <w:tcW w:w="1204" w:type="dxa"/>
            <w:tcBorders>
              <w:right w:val="single" w:sz="18" w:space="0" w:color="auto"/>
            </w:tcBorders>
            <w:vAlign w:val="bottom"/>
          </w:tcPr>
          <w:p w14:paraId="3972CE8A"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-0.345***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r>
      <w:tr w:rsidR="00AD05AA" w:rsidRPr="00506CEE" w14:paraId="4938D99B" w14:textId="77777777" w:rsidTr="00AD05AA">
        <w:tc>
          <w:tcPr>
            <w:tcW w:w="1818" w:type="dxa"/>
            <w:tcBorders>
              <w:right w:val="single" w:sz="18" w:space="0" w:color="auto"/>
            </w:tcBorders>
          </w:tcPr>
          <w:p w14:paraId="7F78CD11" w14:textId="77777777" w:rsidR="00AD05AA" w:rsidRPr="00F951E5" w:rsidRDefault="00AD05AA" w:rsidP="00AD05AA">
            <w:pPr>
              <w:keepNext/>
              <w:keepLines/>
              <w:rPr>
                <w:rFonts w:ascii="Times New Roman" w:hAnsi="Times New Roman" w:cs="Times New Roman"/>
                <w:sz w:val="22"/>
                <w:szCs w:val="22"/>
              </w:rPr>
            </w:pPr>
            <w:r w:rsidRPr="00F951E5">
              <w:rPr>
                <w:rFonts w:ascii="Times New Roman" w:hAnsi="Times New Roman" w:cs="Times New Roman"/>
                <w:sz w:val="22"/>
                <w:szCs w:val="22"/>
              </w:rPr>
              <w:t>13) Business</w:t>
            </w:r>
          </w:p>
        </w:tc>
        <w:tc>
          <w:tcPr>
            <w:tcW w:w="1260" w:type="dxa"/>
            <w:tcBorders>
              <w:left w:val="single" w:sz="18" w:space="0" w:color="auto"/>
            </w:tcBorders>
            <w:vAlign w:val="bottom"/>
          </w:tcPr>
          <w:p w14:paraId="585FF604"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0.08</w:t>
            </w:r>
            <w:r>
              <w:rPr>
                <w:rFonts w:ascii="Times New Roman" w:eastAsia="Times New Roman" w:hAnsi="Times New Roman" w:cs="Times New Roman"/>
                <w:color w:val="000000"/>
                <w:sz w:val="22"/>
                <w:szCs w:val="22"/>
              </w:rPr>
              <w:t>07</w:t>
            </w:r>
            <w:r w:rsidRPr="00F951E5">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0.00</w:t>
            </w:r>
            <w:r w:rsidRPr="00F951E5">
              <w:rPr>
                <w:rFonts w:ascii="Times New Roman" w:eastAsia="Times New Roman" w:hAnsi="Times New Roman" w:cs="Times New Roman"/>
                <w:color w:val="000000"/>
                <w:sz w:val="22"/>
                <w:szCs w:val="22"/>
              </w:rPr>
              <w:t>)</w:t>
            </w:r>
          </w:p>
        </w:tc>
        <w:tc>
          <w:tcPr>
            <w:tcW w:w="1260" w:type="dxa"/>
            <w:tcBorders>
              <w:right w:val="single" w:sz="18" w:space="0" w:color="auto"/>
            </w:tcBorders>
            <w:vAlign w:val="bottom"/>
          </w:tcPr>
          <w:p w14:paraId="746DE692"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0.045*** (0.00)</w:t>
            </w:r>
          </w:p>
        </w:tc>
        <w:tc>
          <w:tcPr>
            <w:tcW w:w="1170" w:type="dxa"/>
            <w:tcBorders>
              <w:left w:val="single" w:sz="18" w:space="0" w:color="auto"/>
            </w:tcBorders>
            <w:vAlign w:val="bottom"/>
          </w:tcPr>
          <w:p w14:paraId="37335731" w14:textId="77777777" w:rsidR="00AD05AA" w:rsidRDefault="00AD05AA" w:rsidP="00AD05AA">
            <w:pPr>
              <w:keepNext/>
              <w:keepLines/>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0.0498**</w:t>
            </w:r>
          </w:p>
          <w:p w14:paraId="47A4B8DC"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(0.00)</w:t>
            </w:r>
          </w:p>
        </w:tc>
        <w:tc>
          <w:tcPr>
            <w:tcW w:w="1170" w:type="dxa"/>
            <w:tcBorders>
              <w:right w:val="single" w:sz="18" w:space="0" w:color="auto"/>
            </w:tcBorders>
            <w:vAlign w:val="bottom"/>
          </w:tcPr>
          <w:p w14:paraId="1554A365" w14:textId="77777777" w:rsidR="00AD05AA" w:rsidRDefault="00AD05AA" w:rsidP="00AD05AA">
            <w:pPr>
              <w:keepNext/>
              <w:keepLines/>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0.0505***</w:t>
            </w:r>
          </w:p>
          <w:p w14:paraId="6B0D1A81"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(0.00)</w:t>
            </w:r>
          </w:p>
        </w:tc>
        <w:tc>
          <w:tcPr>
            <w:tcW w:w="1170" w:type="dxa"/>
            <w:tcBorders>
              <w:left w:val="single" w:sz="18" w:space="0" w:color="auto"/>
            </w:tcBorders>
            <w:vAlign w:val="bottom"/>
          </w:tcPr>
          <w:p w14:paraId="70BEA545"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-0.11</w:t>
            </w:r>
            <w:r>
              <w:rPr>
                <w:rFonts w:ascii="Times New Roman" w:eastAsia="Times New Roman" w:hAnsi="Times New Roman" w:cs="Times New Roman"/>
                <w:color w:val="000000"/>
                <w:sz w:val="22"/>
                <w:szCs w:val="22"/>
              </w:rPr>
              <w:t>5</w:t>
            </w:r>
            <w:r w:rsidRPr="00F951E5">
              <w:rPr>
                <w:rFonts w:ascii="Times New Roman" w:eastAsia="Times New Roman" w:hAnsi="Times New Roman" w:cs="Times New Roman"/>
                <w:color w:val="000000"/>
                <w:sz w:val="22"/>
                <w:szCs w:val="22"/>
              </w:rPr>
              <w:t>***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c>
          <w:tcPr>
            <w:tcW w:w="1204" w:type="dxa"/>
            <w:tcBorders>
              <w:right w:val="single" w:sz="18" w:space="0" w:color="auto"/>
            </w:tcBorders>
            <w:vAlign w:val="bottom"/>
          </w:tcPr>
          <w:p w14:paraId="5CD7432C"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-0.11</w:t>
            </w:r>
            <w:r>
              <w:rPr>
                <w:rFonts w:ascii="Times New Roman" w:eastAsia="Times New Roman" w:hAnsi="Times New Roman" w:cs="Times New Roman"/>
                <w:color w:val="000000"/>
                <w:sz w:val="22"/>
                <w:szCs w:val="22"/>
              </w:rPr>
              <w:t>5</w:t>
            </w:r>
            <w:r w:rsidRPr="00F951E5">
              <w:rPr>
                <w:rFonts w:ascii="Times New Roman" w:eastAsia="Times New Roman" w:hAnsi="Times New Roman" w:cs="Times New Roman"/>
                <w:color w:val="000000"/>
                <w:sz w:val="22"/>
                <w:szCs w:val="22"/>
              </w:rPr>
              <w:t>***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r>
      <w:tr w:rsidR="00AD05AA" w:rsidRPr="00506CEE" w14:paraId="17237C0B" w14:textId="77777777" w:rsidTr="00AD05AA">
        <w:tc>
          <w:tcPr>
            <w:tcW w:w="1818" w:type="dxa"/>
            <w:tcBorders>
              <w:right w:val="single" w:sz="18" w:space="0" w:color="auto"/>
            </w:tcBorders>
          </w:tcPr>
          <w:p w14:paraId="2500FB5B" w14:textId="77777777" w:rsidR="00AD05AA" w:rsidRPr="00F951E5" w:rsidRDefault="00AD05AA" w:rsidP="00AD05AA">
            <w:pPr>
              <w:keepNext/>
              <w:keepLines/>
              <w:rPr>
                <w:rFonts w:ascii="Times New Roman" w:hAnsi="Times New Roman" w:cs="Times New Roman"/>
                <w:sz w:val="22"/>
                <w:szCs w:val="22"/>
              </w:rPr>
            </w:pPr>
            <w:r w:rsidRPr="00F951E5">
              <w:rPr>
                <w:rFonts w:ascii="Times New Roman" w:hAnsi="Times New Roman" w:cs="Times New Roman"/>
                <w:sz w:val="22"/>
                <w:szCs w:val="22"/>
              </w:rPr>
              <w:t>14) Unemp</w:t>
            </w:r>
          </w:p>
        </w:tc>
        <w:tc>
          <w:tcPr>
            <w:tcW w:w="1260" w:type="dxa"/>
            <w:tcBorders>
              <w:left w:val="single" w:sz="18" w:space="0" w:color="auto"/>
            </w:tcBorders>
            <w:vAlign w:val="bottom"/>
          </w:tcPr>
          <w:p w14:paraId="31B7A90D"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-0.004 (0.29)</w:t>
            </w:r>
          </w:p>
        </w:tc>
        <w:tc>
          <w:tcPr>
            <w:tcW w:w="1260" w:type="dxa"/>
            <w:tcBorders>
              <w:right w:val="single" w:sz="18" w:space="0" w:color="auto"/>
            </w:tcBorders>
            <w:vAlign w:val="bottom"/>
          </w:tcPr>
          <w:p w14:paraId="6DDD2D23"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-0.00</w:t>
            </w:r>
            <w:r>
              <w:rPr>
                <w:rFonts w:ascii="Times New Roman" w:eastAsia="Times New Roman" w:hAnsi="Times New Roman" w:cs="Times New Roman"/>
                <w:color w:val="000000"/>
                <w:sz w:val="22"/>
                <w:szCs w:val="22"/>
              </w:rPr>
              <w:t>2</w:t>
            </w:r>
            <w:r w:rsidRPr="00F951E5">
              <w:rPr>
                <w:rFonts w:ascii="Times New Roman" w:eastAsia="Times New Roman" w:hAnsi="Times New Roman" w:cs="Times New Roman"/>
                <w:color w:val="000000"/>
                <w:sz w:val="22"/>
                <w:szCs w:val="22"/>
              </w:rPr>
              <w:t xml:space="preserve"> (0.6</w:t>
            </w:r>
            <w:r>
              <w:rPr>
                <w:rFonts w:ascii="Times New Roman" w:eastAsia="Times New Roman" w:hAnsi="Times New Roman" w:cs="Times New Roman"/>
                <w:color w:val="000000"/>
                <w:sz w:val="22"/>
                <w:szCs w:val="22"/>
              </w:rPr>
              <w:t>6</w:t>
            </w:r>
            <w:r w:rsidRPr="00F951E5">
              <w:rPr>
                <w:rFonts w:ascii="Times New Roman" w:eastAsia="Times New Roman" w:hAnsi="Times New Roman" w:cs="Times New Roman"/>
                <w:color w:val="000000"/>
                <w:sz w:val="22"/>
                <w:szCs w:val="22"/>
              </w:rPr>
              <w:t>)</w:t>
            </w:r>
          </w:p>
        </w:tc>
        <w:tc>
          <w:tcPr>
            <w:tcW w:w="1170" w:type="dxa"/>
            <w:tcBorders>
              <w:left w:val="single" w:sz="18" w:space="0" w:color="auto"/>
            </w:tcBorders>
            <w:vAlign w:val="bottom"/>
          </w:tcPr>
          <w:p w14:paraId="59199A9D" w14:textId="77777777" w:rsidR="00AD05AA" w:rsidRPr="00F951E5" w:rsidRDefault="00AD05AA" w:rsidP="00AD05AA">
            <w:pPr>
              <w:keepNext/>
              <w:keepLines/>
              <w:jc w:val="right"/>
              <w:rPr>
                <w:rFonts w:ascii="Times New Roman" w:hAnsi="Times New Roman" w:cs="Times New Roman"/>
                <w:sz w:val="22"/>
                <w:szCs w:val="22"/>
              </w:rPr>
            </w:pPr>
            <w:r>
              <w:rPr>
                <w:rFonts w:ascii="Times New Roman" w:eastAsia="Times New Roman" w:hAnsi="Times New Roman" w:cs="Times New Roman"/>
                <w:color w:val="000000"/>
                <w:sz w:val="22"/>
                <w:szCs w:val="22"/>
              </w:rPr>
              <w:t>-</w:t>
            </w:r>
            <w:r w:rsidRPr="00F951E5">
              <w:rPr>
                <w:rFonts w:ascii="Times New Roman" w:eastAsia="Times New Roman" w:hAnsi="Times New Roman" w:cs="Times New Roman"/>
                <w:color w:val="000000"/>
                <w:sz w:val="22"/>
                <w:szCs w:val="22"/>
              </w:rPr>
              <w:t>0.00</w:t>
            </w:r>
            <w:r>
              <w:rPr>
                <w:rFonts w:ascii="Times New Roman" w:eastAsia="Times New Roman" w:hAnsi="Times New Roman" w:cs="Times New Roman"/>
                <w:color w:val="000000"/>
                <w:sz w:val="22"/>
                <w:szCs w:val="22"/>
              </w:rPr>
              <w:t>8</w:t>
            </w:r>
            <w:r w:rsidRPr="00F951E5">
              <w:rPr>
                <w:rFonts w:ascii="Times New Roman" w:eastAsia="Times New Roman" w:hAnsi="Times New Roman" w:cs="Times New Roman"/>
                <w:color w:val="000000"/>
                <w:sz w:val="22"/>
                <w:szCs w:val="22"/>
              </w:rPr>
              <w:t xml:space="preserve"> (0.</w:t>
            </w:r>
            <w:r>
              <w:rPr>
                <w:rFonts w:ascii="Times New Roman" w:eastAsia="Times New Roman" w:hAnsi="Times New Roman" w:cs="Times New Roman"/>
                <w:color w:val="000000"/>
                <w:sz w:val="22"/>
                <w:szCs w:val="22"/>
              </w:rPr>
              <w:t>60</w:t>
            </w:r>
            <w:r w:rsidRPr="00F951E5">
              <w:rPr>
                <w:rFonts w:ascii="Times New Roman" w:eastAsia="Times New Roman" w:hAnsi="Times New Roman" w:cs="Times New Roman"/>
                <w:color w:val="000000"/>
                <w:sz w:val="22"/>
                <w:szCs w:val="22"/>
              </w:rPr>
              <w:t>)</w:t>
            </w:r>
          </w:p>
        </w:tc>
        <w:tc>
          <w:tcPr>
            <w:tcW w:w="1170" w:type="dxa"/>
            <w:tcBorders>
              <w:right w:val="single" w:sz="18" w:space="0" w:color="auto"/>
            </w:tcBorders>
            <w:vAlign w:val="bottom"/>
          </w:tcPr>
          <w:p w14:paraId="464D5F76"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0.00853 (0.53)</w:t>
            </w:r>
          </w:p>
        </w:tc>
        <w:tc>
          <w:tcPr>
            <w:tcW w:w="1170" w:type="dxa"/>
            <w:tcBorders>
              <w:left w:val="single" w:sz="18" w:space="0" w:color="auto"/>
            </w:tcBorders>
            <w:vAlign w:val="bottom"/>
          </w:tcPr>
          <w:p w14:paraId="21541753"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-0.00</w:t>
            </w:r>
            <w:r>
              <w:rPr>
                <w:rFonts w:ascii="Times New Roman" w:eastAsia="Times New Roman" w:hAnsi="Times New Roman" w:cs="Times New Roman"/>
                <w:color w:val="000000"/>
                <w:sz w:val="22"/>
                <w:szCs w:val="22"/>
              </w:rPr>
              <w:t>3</w:t>
            </w:r>
            <w:r w:rsidRPr="00F951E5">
              <w:rPr>
                <w:rFonts w:ascii="Times New Roman" w:eastAsia="Times New Roman" w:hAnsi="Times New Roman" w:cs="Times New Roman"/>
                <w:color w:val="000000"/>
                <w:sz w:val="22"/>
                <w:szCs w:val="22"/>
              </w:rPr>
              <w:t xml:space="preserve"> (0.</w:t>
            </w:r>
            <w:r>
              <w:rPr>
                <w:rFonts w:ascii="Times New Roman" w:eastAsia="Times New Roman" w:hAnsi="Times New Roman" w:cs="Times New Roman"/>
                <w:color w:val="000000"/>
                <w:sz w:val="22"/>
                <w:szCs w:val="22"/>
              </w:rPr>
              <w:t>47</w:t>
            </w:r>
            <w:r w:rsidRPr="00F951E5">
              <w:rPr>
                <w:rFonts w:ascii="Times New Roman" w:eastAsia="Times New Roman" w:hAnsi="Times New Roman" w:cs="Times New Roman"/>
                <w:color w:val="000000"/>
                <w:sz w:val="22"/>
                <w:szCs w:val="22"/>
              </w:rPr>
              <w:t>)</w:t>
            </w:r>
          </w:p>
        </w:tc>
        <w:tc>
          <w:tcPr>
            <w:tcW w:w="1204" w:type="dxa"/>
            <w:tcBorders>
              <w:right w:val="single" w:sz="18" w:space="0" w:color="auto"/>
            </w:tcBorders>
            <w:vAlign w:val="bottom"/>
          </w:tcPr>
          <w:p w14:paraId="320F7C62"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-0.00</w:t>
            </w:r>
            <w:r>
              <w:rPr>
                <w:rFonts w:ascii="Times New Roman" w:eastAsia="Times New Roman" w:hAnsi="Times New Roman" w:cs="Times New Roman"/>
                <w:color w:val="000000"/>
                <w:sz w:val="22"/>
                <w:szCs w:val="22"/>
              </w:rPr>
              <w:t>1</w:t>
            </w:r>
            <w:r w:rsidRPr="00F951E5">
              <w:rPr>
                <w:rFonts w:ascii="Times New Roman" w:eastAsia="Times New Roman" w:hAnsi="Times New Roman" w:cs="Times New Roman"/>
                <w:color w:val="000000"/>
                <w:sz w:val="22"/>
                <w:szCs w:val="22"/>
              </w:rPr>
              <w:t xml:space="preserve"> (0.8</w:t>
            </w:r>
            <w:r>
              <w:rPr>
                <w:rFonts w:ascii="Times New Roman" w:eastAsia="Times New Roman" w:hAnsi="Times New Roman" w:cs="Times New Roman"/>
                <w:color w:val="000000"/>
                <w:sz w:val="22"/>
                <w:szCs w:val="22"/>
              </w:rPr>
              <w:t>7</w:t>
            </w:r>
            <w:r w:rsidRPr="00F951E5">
              <w:rPr>
                <w:rFonts w:ascii="Times New Roman" w:eastAsia="Times New Roman" w:hAnsi="Times New Roman" w:cs="Times New Roman"/>
                <w:color w:val="000000"/>
                <w:sz w:val="22"/>
                <w:szCs w:val="22"/>
              </w:rPr>
              <w:t>)</w:t>
            </w:r>
          </w:p>
        </w:tc>
      </w:tr>
      <w:tr w:rsidR="00AD05AA" w:rsidRPr="00506CEE" w14:paraId="6868A28B" w14:textId="77777777" w:rsidTr="00AD05AA">
        <w:tc>
          <w:tcPr>
            <w:tcW w:w="1818" w:type="dxa"/>
            <w:tcBorders>
              <w:bottom w:val="single" w:sz="18" w:space="0" w:color="auto"/>
              <w:right w:val="single" w:sz="18" w:space="0" w:color="auto"/>
            </w:tcBorders>
          </w:tcPr>
          <w:p w14:paraId="475A6D90" w14:textId="77777777" w:rsidR="00AD05AA" w:rsidRPr="00F951E5" w:rsidRDefault="00AD05AA" w:rsidP="00AD05AA">
            <w:pPr>
              <w:keepNext/>
              <w:keepLines/>
              <w:rPr>
                <w:rFonts w:ascii="Times New Roman" w:hAnsi="Times New Roman" w:cs="Times New Roman"/>
                <w:sz w:val="22"/>
                <w:szCs w:val="22"/>
              </w:rPr>
            </w:pPr>
            <w:r w:rsidRPr="00F951E5">
              <w:rPr>
                <w:rFonts w:ascii="Times New Roman" w:hAnsi="Times New Roman" w:cs="Times New Roman"/>
                <w:sz w:val="22"/>
                <w:szCs w:val="22"/>
              </w:rPr>
              <w:t>15) Constant</w:t>
            </w:r>
          </w:p>
        </w:tc>
        <w:tc>
          <w:tcPr>
            <w:tcW w:w="1260" w:type="dxa"/>
            <w:tcBorders>
              <w:left w:val="single" w:sz="18" w:space="0" w:color="auto"/>
              <w:bottom w:val="single" w:sz="18" w:space="0" w:color="auto"/>
            </w:tcBorders>
            <w:vAlign w:val="bottom"/>
          </w:tcPr>
          <w:p w14:paraId="732A16A9"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0.39</w:t>
            </w:r>
            <w:r>
              <w:rPr>
                <w:rFonts w:ascii="Times New Roman" w:eastAsia="Times New Roman" w:hAnsi="Times New Roman" w:cs="Times New Roman"/>
                <w:color w:val="000000"/>
                <w:sz w:val="22"/>
                <w:szCs w:val="22"/>
              </w:rPr>
              <w:t>5</w:t>
            </w:r>
            <w:r w:rsidRPr="00F951E5">
              <w:rPr>
                <w:rFonts w:ascii="Times New Roman" w:eastAsia="Times New Roman" w:hAnsi="Times New Roman" w:cs="Times New Roman"/>
                <w:color w:val="000000"/>
                <w:sz w:val="22"/>
                <w:szCs w:val="22"/>
              </w:rPr>
              <w:t>***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 xml:space="preserve">) </w:t>
            </w:r>
          </w:p>
        </w:tc>
        <w:tc>
          <w:tcPr>
            <w:tcW w:w="1260" w:type="dxa"/>
            <w:tcBorders>
              <w:bottom w:val="single" w:sz="18" w:space="0" w:color="auto"/>
              <w:right w:val="single" w:sz="18" w:space="0" w:color="auto"/>
            </w:tcBorders>
            <w:vAlign w:val="bottom"/>
          </w:tcPr>
          <w:p w14:paraId="30B43A12"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0.618***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 xml:space="preserve">) </w:t>
            </w:r>
          </w:p>
        </w:tc>
        <w:tc>
          <w:tcPr>
            <w:tcW w:w="1170" w:type="dxa"/>
            <w:tcBorders>
              <w:left w:val="single" w:sz="18" w:space="0" w:color="auto"/>
              <w:bottom w:val="single" w:sz="18" w:space="0" w:color="auto"/>
            </w:tcBorders>
            <w:vAlign w:val="bottom"/>
          </w:tcPr>
          <w:p w14:paraId="0D2494F1"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607</w:t>
            </w:r>
            <w:r w:rsidRPr="00F951E5">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0.00</w:t>
            </w:r>
            <w:r w:rsidRPr="00F951E5">
              <w:rPr>
                <w:rFonts w:ascii="Times New Roman" w:eastAsia="Times New Roman" w:hAnsi="Times New Roman" w:cs="Times New Roman"/>
                <w:color w:val="000000"/>
                <w:sz w:val="22"/>
                <w:szCs w:val="22"/>
              </w:rPr>
              <w:t>)</w:t>
            </w:r>
          </w:p>
        </w:tc>
        <w:tc>
          <w:tcPr>
            <w:tcW w:w="1170" w:type="dxa"/>
            <w:tcBorders>
              <w:bottom w:val="single" w:sz="18" w:space="0" w:color="auto"/>
              <w:right w:val="single" w:sz="18" w:space="0" w:color="auto"/>
            </w:tcBorders>
            <w:vAlign w:val="bottom"/>
          </w:tcPr>
          <w:p w14:paraId="4F729134"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0.477*** (</w:t>
            </w:r>
            <w:r>
              <w:rPr>
                <w:rFonts w:ascii="Times New Roman" w:eastAsia="Times New Roman" w:hAnsi="Times New Roman" w:cs="Times New Roman"/>
                <w:color w:val="000000"/>
                <w:sz w:val="22"/>
                <w:szCs w:val="22"/>
              </w:rPr>
              <w:t>0.00</w:t>
            </w:r>
            <w:r w:rsidRPr="00F951E5">
              <w:rPr>
                <w:rFonts w:ascii="Times New Roman" w:eastAsia="Times New Roman" w:hAnsi="Times New Roman" w:cs="Times New Roman"/>
                <w:color w:val="000000"/>
                <w:sz w:val="22"/>
                <w:szCs w:val="22"/>
              </w:rPr>
              <w:t>)</w:t>
            </w:r>
          </w:p>
        </w:tc>
        <w:tc>
          <w:tcPr>
            <w:tcW w:w="1170" w:type="dxa"/>
            <w:tcBorders>
              <w:left w:val="single" w:sz="18" w:space="0" w:color="auto"/>
              <w:bottom w:val="single" w:sz="18" w:space="0" w:color="auto"/>
            </w:tcBorders>
            <w:vAlign w:val="bottom"/>
          </w:tcPr>
          <w:p w14:paraId="793965CF"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0.6</w:t>
            </w:r>
            <w:r>
              <w:rPr>
                <w:rFonts w:ascii="Times New Roman" w:eastAsia="Times New Roman" w:hAnsi="Times New Roman" w:cs="Times New Roman"/>
                <w:color w:val="000000"/>
                <w:sz w:val="22"/>
                <w:szCs w:val="22"/>
              </w:rPr>
              <w:t>43</w:t>
            </w:r>
            <w:r w:rsidRPr="00F951E5">
              <w:rPr>
                <w:rFonts w:ascii="Times New Roman" w:eastAsia="Times New Roman" w:hAnsi="Times New Roman" w:cs="Times New Roman"/>
                <w:color w:val="000000"/>
                <w:sz w:val="22"/>
                <w:szCs w:val="22"/>
              </w:rPr>
              <w:t>***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c>
          <w:tcPr>
            <w:tcW w:w="1204" w:type="dxa"/>
            <w:tcBorders>
              <w:bottom w:val="single" w:sz="18" w:space="0" w:color="auto"/>
              <w:right w:val="single" w:sz="18" w:space="0" w:color="auto"/>
            </w:tcBorders>
            <w:vAlign w:val="bottom"/>
          </w:tcPr>
          <w:p w14:paraId="2A03A1F3" w14:textId="77777777" w:rsidR="00AD05AA" w:rsidRPr="00F951E5" w:rsidRDefault="00AD05AA" w:rsidP="00AD05AA">
            <w:pPr>
              <w:keepNext/>
              <w:keepLines/>
              <w:jc w:val="right"/>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0.625*** (0</w:t>
            </w:r>
            <w:r>
              <w:rPr>
                <w:rFonts w:ascii="Times New Roman" w:eastAsia="Times New Roman" w:hAnsi="Times New Roman" w:cs="Times New Roman"/>
                <w:color w:val="000000"/>
                <w:sz w:val="22"/>
                <w:szCs w:val="22"/>
              </w:rPr>
              <w:t>.00</w:t>
            </w:r>
            <w:r w:rsidRPr="00F951E5">
              <w:rPr>
                <w:rFonts w:ascii="Times New Roman" w:eastAsia="Times New Roman" w:hAnsi="Times New Roman" w:cs="Times New Roman"/>
                <w:color w:val="000000"/>
                <w:sz w:val="22"/>
                <w:szCs w:val="22"/>
              </w:rPr>
              <w:t>)</w:t>
            </w:r>
          </w:p>
        </w:tc>
      </w:tr>
      <w:tr w:rsidR="00AD05AA" w:rsidRPr="00506CEE" w14:paraId="48CCFE6E" w14:textId="77777777" w:rsidTr="00AD05AA">
        <w:tc>
          <w:tcPr>
            <w:tcW w:w="1818" w:type="dxa"/>
            <w:tcBorders>
              <w:top w:val="single" w:sz="18" w:space="0" w:color="auto"/>
              <w:right w:val="single" w:sz="18" w:space="0" w:color="auto"/>
            </w:tcBorders>
            <w:vAlign w:val="bottom"/>
          </w:tcPr>
          <w:p w14:paraId="1130A257" w14:textId="77777777" w:rsidR="00AD05AA" w:rsidRPr="00F951E5" w:rsidRDefault="00AD05AA" w:rsidP="00AD05AA">
            <w:pPr>
              <w:keepNext/>
              <w:keepLines/>
              <w:spacing w:before="200"/>
              <w:outlineLvl w:val="2"/>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Observations</w:t>
            </w:r>
          </w:p>
        </w:tc>
        <w:tc>
          <w:tcPr>
            <w:tcW w:w="1260" w:type="dxa"/>
            <w:tcBorders>
              <w:top w:val="single" w:sz="18" w:space="0" w:color="auto"/>
              <w:left w:val="single" w:sz="18" w:space="0" w:color="auto"/>
            </w:tcBorders>
            <w:vAlign w:val="bottom"/>
          </w:tcPr>
          <w:p w14:paraId="11D0900B" w14:textId="77777777" w:rsidR="00AD05AA" w:rsidRPr="00F951E5" w:rsidRDefault="00AD05AA" w:rsidP="00AD05AA">
            <w:pPr>
              <w:keepNext/>
              <w:keepLines/>
              <w:spacing w:before="200"/>
              <w:jc w:val="right"/>
              <w:outlineLvl w:val="2"/>
              <w:rPr>
                <w:rFonts w:ascii="Times New Roman" w:eastAsia="Times New Roman" w:hAnsi="Times New Roman" w:cs="Times New Roman"/>
                <w:color w:val="000000"/>
                <w:sz w:val="22"/>
                <w:szCs w:val="22"/>
              </w:rPr>
            </w:pPr>
            <w:r w:rsidRPr="00F951E5">
              <w:rPr>
                <w:rFonts w:ascii="Times New Roman" w:eastAsia="Times New Roman" w:hAnsi="Times New Roman" w:cs="Times New Roman"/>
                <w:color w:val="000000"/>
                <w:sz w:val="22"/>
                <w:szCs w:val="22"/>
              </w:rPr>
              <w:t>3,925</w:t>
            </w:r>
          </w:p>
        </w:tc>
        <w:tc>
          <w:tcPr>
            <w:tcW w:w="1260" w:type="dxa"/>
            <w:tcBorders>
              <w:top w:val="single" w:sz="18" w:space="0" w:color="auto"/>
              <w:right w:val="single" w:sz="18" w:space="0" w:color="auto"/>
            </w:tcBorders>
            <w:vAlign w:val="bottom"/>
          </w:tcPr>
          <w:p w14:paraId="09329E76" w14:textId="77777777" w:rsidR="00AD05AA" w:rsidRPr="00F951E5" w:rsidRDefault="00AD05AA" w:rsidP="00AD05AA">
            <w:pPr>
              <w:keepNext/>
              <w:keepLines/>
              <w:spacing w:before="200"/>
              <w:jc w:val="right"/>
              <w:outlineLvl w:val="2"/>
              <w:rPr>
                <w:rFonts w:ascii="Times New Roman" w:eastAsia="Times New Roman" w:hAnsi="Times New Roman" w:cs="Times New Roman"/>
                <w:color w:val="000000"/>
                <w:sz w:val="22"/>
                <w:szCs w:val="22"/>
              </w:rPr>
            </w:pPr>
            <w:r w:rsidRPr="00F951E5">
              <w:rPr>
                <w:rFonts w:ascii="Times New Roman" w:eastAsia="Times New Roman" w:hAnsi="Times New Roman" w:cs="Times New Roman"/>
                <w:color w:val="000000"/>
                <w:sz w:val="22"/>
                <w:szCs w:val="22"/>
              </w:rPr>
              <w:t>6,353</w:t>
            </w:r>
          </w:p>
        </w:tc>
        <w:tc>
          <w:tcPr>
            <w:tcW w:w="1170" w:type="dxa"/>
            <w:tcBorders>
              <w:top w:val="single" w:sz="18" w:space="0" w:color="auto"/>
              <w:left w:val="single" w:sz="18" w:space="0" w:color="auto"/>
            </w:tcBorders>
            <w:vAlign w:val="bottom"/>
          </w:tcPr>
          <w:p w14:paraId="75F5CBA3" w14:textId="77777777" w:rsidR="00AD05AA" w:rsidRPr="00F951E5" w:rsidRDefault="00AD05AA" w:rsidP="00AD05AA">
            <w:pPr>
              <w:keepNext/>
              <w:keepLines/>
              <w:spacing w:before="200"/>
              <w:jc w:val="right"/>
              <w:outlineLvl w:val="2"/>
              <w:rPr>
                <w:rFonts w:ascii="Times New Roman" w:eastAsia="Times New Roman" w:hAnsi="Times New Roman" w:cs="Times New Roman"/>
                <w:color w:val="000000"/>
                <w:sz w:val="22"/>
                <w:szCs w:val="22"/>
              </w:rPr>
            </w:pPr>
            <w:r w:rsidRPr="00F951E5">
              <w:rPr>
                <w:rFonts w:ascii="Times New Roman" w:eastAsia="Times New Roman" w:hAnsi="Times New Roman" w:cs="Times New Roman"/>
                <w:color w:val="000000"/>
                <w:sz w:val="22"/>
                <w:szCs w:val="22"/>
              </w:rPr>
              <w:t>6,353</w:t>
            </w:r>
          </w:p>
        </w:tc>
        <w:tc>
          <w:tcPr>
            <w:tcW w:w="1170" w:type="dxa"/>
            <w:tcBorders>
              <w:top w:val="single" w:sz="18" w:space="0" w:color="auto"/>
              <w:right w:val="single" w:sz="18" w:space="0" w:color="auto"/>
            </w:tcBorders>
            <w:vAlign w:val="bottom"/>
          </w:tcPr>
          <w:p w14:paraId="719223F3" w14:textId="77777777" w:rsidR="00AD05AA" w:rsidRPr="00F951E5" w:rsidRDefault="00AD05AA" w:rsidP="00AD05AA">
            <w:pPr>
              <w:keepNext/>
              <w:keepLines/>
              <w:spacing w:before="200"/>
              <w:jc w:val="right"/>
              <w:outlineLvl w:val="2"/>
              <w:rPr>
                <w:rFonts w:ascii="Times New Roman" w:eastAsia="Times New Roman" w:hAnsi="Times New Roman" w:cs="Times New Roman"/>
                <w:color w:val="000000"/>
                <w:sz w:val="22"/>
                <w:szCs w:val="22"/>
              </w:rPr>
            </w:pPr>
            <w:r w:rsidRPr="00F951E5">
              <w:rPr>
                <w:rFonts w:ascii="Times New Roman" w:eastAsia="Times New Roman" w:hAnsi="Times New Roman" w:cs="Times New Roman"/>
                <w:color w:val="000000"/>
                <w:sz w:val="22"/>
                <w:szCs w:val="22"/>
              </w:rPr>
              <w:t>6,353</w:t>
            </w:r>
          </w:p>
        </w:tc>
        <w:tc>
          <w:tcPr>
            <w:tcW w:w="1170" w:type="dxa"/>
            <w:tcBorders>
              <w:top w:val="single" w:sz="18" w:space="0" w:color="auto"/>
              <w:left w:val="single" w:sz="18" w:space="0" w:color="auto"/>
            </w:tcBorders>
            <w:vAlign w:val="bottom"/>
          </w:tcPr>
          <w:p w14:paraId="0E7A054F" w14:textId="77777777" w:rsidR="00AD05AA" w:rsidRPr="00F951E5" w:rsidRDefault="00AD05AA" w:rsidP="00AD05AA">
            <w:pPr>
              <w:keepNext/>
              <w:keepLines/>
              <w:spacing w:before="200"/>
              <w:jc w:val="right"/>
              <w:outlineLvl w:val="2"/>
              <w:rPr>
                <w:rFonts w:ascii="Times New Roman" w:eastAsia="Times New Roman" w:hAnsi="Times New Roman" w:cs="Times New Roman"/>
                <w:color w:val="000000"/>
                <w:sz w:val="22"/>
                <w:szCs w:val="22"/>
              </w:rPr>
            </w:pPr>
            <w:r w:rsidRPr="00F951E5">
              <w:rPr>
                <w:rFonts w:ascii="Times New Roman" w:eastAsia="Times New Roman" w:hAnsi="Times New Roman" w:cs="Times New Roman"/>
                <w:color w:val="000000"/>
                <w:sz w:val="22"/>
                <w:szCs w:val="22"/>
              </w:rPr>
              <w:t>688,892</w:t>
            </w:r>
          </w:p>
        </w:tc>
        <w:tc>
          <w:tcPr>
            <w:tcW w:w="1204" w:type="dxa"/>
            <w:tcBorders>
              <w:top w:val="single" w:sz="18" w:space="0" w:color="auto"/>
              <w:right w:val="single" w:sz="18" w:space="0" w:color="auto"/>
            </w:tcBorders>
            <w:vAlign w:val="bottom"/>
          </w:tcPr>
          <w:p w14:paraId="7A2A6E0E" w14:textId="77777777" w:rsidR="00AD05AA" w:rsidRPr="00F951E5" w:rsidRDefault="00AD05AA" w:rsidP="00AD05AA">
            <w:pPr>
              <w:keepNext/>
              <w:keepLines/>
              <w:spacing w:before="200"/>
              <w:jc w:val="right"/>
              <w:outlineLvl w:val="2"/>
              <w:rPr>
                <w:rFonts w:ascii="Times New Roman" w:eastAsia="Times New Roman" w:hAnsi="Times New Roman" w:cs="Times New Roman"/>
                <w:color w:val="000000"/>
                <w:sz w:val="22"/>
                <w:szCs w:val="22"/>
              </w:rPr>
            </w:pPr>
            <w:r w:rsidRPr="00F951E5">
              <w:rPr>
                <w:rFonts w:ascii="Times New Roman" w:eastAsia="Times New Roman" w:hAnsi="Times New Roman" w:cs="Times New Roman"/>
                <w:color w:val="000000"/>
                <w:sz w:val="22"/>
                <w:szCs w:val="22"/>
              </w:rPr>
              <w:t>688,892</w:t>
            </w:r>
          </w:p>
        </w:tc>
      </w:tr>
      <w:tr w:rsidR="00AD05AA" w:rsidRPr="00506CEE" w14:paraId="46805984" w14:textId="77777777" w:rsidTr="00AD05AA">
        <w:tc>
          <w:tcPr>
            <w:tcW w:w="1818" w:type="dxa"/>
            <w:tcBorders>
              <w:bottom w:val="single" w:sz="18" w:space="0" w:color="auto"/>
              <w:right w:val="single" w:sz="18" w:space="0" w:color="auto"/>
            </w:tcBorders>
            <w:vAlign w:val="bottom"/>
          </w:tcPr>
          <w:p w14:paraId="7B4998CD" w14:textId="77777777" w:rsidR="00AD05AA" w:rsidRPr="00F951E5" w:rsidRDefault="00AD05AA" w:rsidP="00AD05AA">
            <w:pPr>
              <w:keepNext/>
              <w:keepLines/>
              <w:spacing w:before="200"/>
              <w:outlineLvl w:val="2"/>
              <w:rPr>
                <w:rFonts w:ascii="Times New Roman" w:hAnsi="Times New Roman" w:cs="Times New Roman"/>
                <w:sz w:val="22"/>
                <w:szCs w:val="22"/>
              </w:rPr>
            </w:pPr>
            <w:r w:rsidRPr="00F951E5">
              <w:rPr>
                <w:rFonts w:ascii="Times New Roman" w:eastAsia="Times New Roman" w:hAnsi="Times New Roman" w:cs="Times New Roman"/>
                <w:color w:val="000000"/>
                <w:sz w:val="22"/>
                <w:szCs w:val="22"/>
              </w:rPr>
              <w:t>R-squared</w:t>
            </w:r>
          </w:p>
        </w:tc>
        <w:tc>
          <w:tcPr>
            <w:tcW w:w="1260" w:type="dxa"/>
            <w:tcBorders>
              <w:left w:val="single" w:sz="18" w:space="0" w:color="auto"/>
              <w:bottom w:val="single" w:sz="18" w:space="0" w:color="auto"/>
            </w:tcBorders>
            <w:vAlign w:val="bottom"/>
          </w:tcPr>
          <w:p w14:paraId="5177DE51" w14:textId="77777777" w:rsidR="00AD05AA" w:rsidRPr="00F951E5" w:rsidRDefault="00AD05AA" w:rsidP="00AD05AA">
            <w:pPr>
              <w:keepNext/>
              <w:keepLines/>
              <w:spacing w:before="200"/>
              <w:jc w:val="right"/>
              <w:outlineLvl w:val="2"/>
              <w:rPr>
                <w:rFonts w:ascii="Times New Roman" w:eastAsia="Times New Roman" w:hAnsi="Times New Roman" w:cs="Times New Roman"/>
                <w:color w:val="000000"/>
                <w:sz w:val="22"/>
                <w:szCs w:val="22"/>
              </w:rPr>
            </w:pPr>
            <w:r w:rsidRPr="00F951E5">
              <w:rPr>
                <w:rFonts w:ascii="Times New Roman" w:eastAsia="Times New Roman" w:hAnsi="Times New Roman" w:cs="Times New Roman"/>
                <w:color w:val="000000"/>
                <w:sz w:val="22"/>
                <w:szCs w:val="22"/>
              </w:rPr>
              <w:t>0.114</w:t>
            </w:r>
          </w:p>
        </w:tc>
        <w:tc>
          <w:tcPr>
            <w:tcW w:w="1260" w:type="dxa"/>
            <w:tcBorders>
              <w:bottom w:val="single" w:sz="18" w:space="0" w:color="auto"/>
              <w:right w:val="single" w:sz="18" w:space="0" w:color="auto"/>
            </w:tcBorders>
            <w:vAlign w:val="bottom"/>
          </w:tcPr>
          <w:p w14:paraId="7E98AE5A" w14:textId="77777777" w:rsidR="00AD05AA" w:rsidRPr="00F951E5" w:rsidRDefault="00AD05AA" w:rsidP="00AD05AA">
            <w:pPr>
              <w:keepNext/>
              <w:keepLines/>
              <w:spacing w:before="200"/>
              <w:jc w:val="right"/>
              <w:outlineLvl w:val="2"/>
              <w:rPr>
                <w:rFonts w:ascii="Times New Roman" w:eastAsia="Times New Roman" w:hAnsi="Times New Roman" w:cs="Times New Roman"/>
                <w:color w:val="000000"/>
                <w:sz w:val="22"/>
                <w:szCs w:val="22"/>
              </w:rPr>
            </w:pPr>
            <w:r w:rsidRPr="00F951E5">
              <w:rPr>
                <w:rFonts w:ascii="Times New Roman" w:eastAsia="Times New Roman" w:hAnsi="Times New Roman" w:cs="Times New Roman"/>
                <w:color w:val="000000"/>
                <w:sz w:val="22"/>
                <w:szCs w:val="22"/>
              </w:rPr>
              <w:t>0.101</w:t>
            </w:r>
          </w:p>
        </w:tc>
        <w:tc>
          <w:tcPr>
            <w:tcW w:w="1170" w:type="dxa"/>
            <w:tcBorders>
              <w:left w:val="single" w:sz="18" w:space="0" w:color="auto"/>
              <w:bottom w:val="single" w:sz="18" w:space="0" w:color="auto"/>
            </w:tcBorders>
            <w:vAlign w:val="bottom"/>
          </w:tcPr>
          <w:p w14:paraId="4265A63C" w14:textId="77777777" w:rsidR="00AD05AA" w:rsidRPr="00F951E5" w:rsidRDefault="00AD05AA" w:rsidP="00AD05AA">
            <w:pPr>
              <w:keepNext/>
              <w:keepLines/>
              <w:spacing w:before="200"/>
              <w:jc w:val="right"/>
              <w:outlineLvl w:val="2"/>
              <w:rPr>
                <w:rFonts w:ascii="Times New Roman" w:eastAsia="Times New Roman" w:hAnsi="Times New Roman" w:cs="Times New Roman"/>
                <w:color w:val="000000"/>
                <w:sz w:val="22"/>
                <w:szCs w:val="22"/>
              </w:rPr>
            </w:pPr>
            <w:r w:rsidRPr="00F951E5">
              <w:rPr>
                <w:rFonts w:ascii="Times New Roman" w:eastAsia="Times New Roman" w:hAnsi="Times New Roman" w:cs="Times New Roman"/>
                <w:color w:val="000000"/>
                <w:sz w:val="22"/>
                <w:szCs w:val="22"/>
              </w:rPr>
              <w:t>0.08</w:t>
            </w:r>
            <w:r>
              <w:rPr>
                <w:rFonts w:ascii="Times New Roman" w:eastAsia="Times New Roman" w:hAnsi="Times New Roman" w:cs="Times New Roman"/>
                <w:color w:val="000000"/>
                <w:sz w:val="22"/>
                <w:szCs w:val="22"/>
              </w:rPr>
              <w:t>4</w:t>
            </w:r>
          </w:p>
        </w:tc>
        <w:tc>
          <w:tcPr>
            <w:tcW w:w="1170" w:type="dxa"/>
            <w:tcBorders>
              <w:bottom w:val="single" w:sz="18" w:space="0" w:color="auto"/>
              <w:right w:val="single" w:sz="18" w:space="0" w:color="auto"/>
            </w:tcBorders>
            <w:vAlign w:val="bottom"/>
          </w:tcPr>
          <w:p w14:paraId="50A7293B" w14:textId="77777777" w:rsidR="00AD05AA" w:rsidRPr="00F951E5" w:rsidRDefault="00AD05AA" w:rsidP="00AD05AA">
            <w:pPr>
              <w:keepNext/>
              <w:keepLines/>
              <w:spacing w:before="200"/>
              <w:jc w:val="right"/>
              <w:outlineLvl w:val="2"/>
              <w:rPr>
                <w:rFonts w:ascii="Times New Roman" w:eastAsia="Times New Roman" w:hAnsi="Times New Roman" w:cs="Times New Roman"/>
                <w:color w:val="000000"/>
                <w:sz w:val="22"/>
                <w:szCs w:val="22"/>
              </w:rPr>
            </w:pPr>
            <w:r w:rsidRPr="00F951E5">
              <w:rPr>
                <w:rFonts w:ascii="Times New Roman" w:eastAsia="Times New Roman" w:hAnsi="Times New Roman" w:cs="Times New Roman"/>
                <w:color w:val="000000"/>
                <w:sz w:val="22"/>
                <w:szCs w:val="22"/>
              </w:rPr>
              <w:t>0.086</w:t>
            </w:r>
          </w:p>
        </w:tc>
        <w:tc>
          <w:tcPr>
            <w:tcW w:w="1170" w:type="dxa"/>
            <w:tcBorders>
              <w:left w:val="single" w:sz="18" w:space="0" w:color="auto"/>
              <w:bottom w:val="single" w:sz="18" w:space="0" w:color="auto"/>
            </w:tcBorders>
            <w:vAlign w:val="bottom"/>
          </w:tcPr>
          <w:p w14:paraId="37E5A9AE" w14:textId="77777777" w:rsidR="00AD05AA" w:rsidRPr="00F951E5" w:rsidRDefault="00AD05AA" w:rsidP="00AD05AA">
            <w:pPr>
              <w:keepNext/>
              <w:keepLines/>
              <w:spacing w:before="200"/>
              <w:jc w:val="right"/>
              <w:outlineLvl w:val="2"/>
              <w:rPr>
                <w:rFonts w:ascii="Times New Roman" w:eastAsia="Times New Roman" w:hAnsi="Times New Roman" w:cs="Times New Roman"/>
                <w:color w:val="000000"/>
                <w:sz w:val="22"/>
                <w:szCs w:val="22"/>
              </w:rPr>
            </w:pPr>
            <w:r w:rsidRPr="00F951E5">
              <w:rPr>
                <w:rFonts w:ascii="Times New Roman" w:eastAsia="Times New Roman" w:hAnsi="Times New Roman" w:cs="Times New Roman"/>
                <w:color w:val="000000"/>
                <w:sz w:val="22"/>
                <w:szCs w:val="22"/>
              </w:rPr>
              <w:t>0.158</w:t>
            </w:r>
          </w:p>
        </w:tc>
        <w:tc>
          <w:tcPr>
            <w:tcW w:w="1204" w:type="dxa"/>
            <w:tcBorders>
              <w:bottom w:val="single" w:sz="18" w:space="0" w:color="auto"/>
              <w:right w:val="single" w:sz="18" w:space="0" w:color="auto"/>
            </w:tcBorders>
            <w:vAlign w:val="bottom"/>
          </w:tcPr>
          <w:p w14:paraId="00AB4B9C" w14:textId="77777777" w:rsidR="00AD05AA" w:rsidRPr="00F951E5" w:rsidRDefault="00AD05AA" w:rsidP="00AD05AA">
            <w:pPr>
              <w:keepNext/>
              <w:keepLines/>
              <w:spacing w:before="200"/>
              <w:jc w:val="right"/>
              <w:outlineLvl w:val="2"/>
              <w:rPr>
                <w:rFonts w:ascii="Times New Roman" w:eastAsia="Times New Roman" w:hAnsi="Times New Roman" w:cs="Times New Roman"/>
                <w:color w:val="000000"/>
                <w:sz w:val="22"/>
                <w:szCs w:val="22"/>
              </w:rPr>
            </w:pPr>
            <w:r w:rsidRPr="00F951E5">
              <w:rPr>
                <w:rFonts w:ascii="Times New Roman" w:eastAsia="Times New Roman" w:hAnsi="Times New Roman" w:cs="Times New Roman"/>
                <w:color w:val="000000"/>
                <w:sz w:val="22"/>
                <w:szCs w:val="22"/>
              </w:rPr>
              <w:t>0.158</w:t>
            </w:r>
          </w:p>
        </w:tc>
      </w:tr>
      <w:tr w:rsidR="00AD05AA" w:rsidRPr="00506CEE" w14:paraId="335C43C5" w14:textId="77777777" w:rsidTr="00AD05AA">
        <w:tc>
          <w:tcPr>
            <w:tcW w:w="1818" w:type="dxa"/>
            <w:tcBorders>
              <w:top w:val="single" w:sz="18" w:space="0" w:color="auto"/>
              <w:right w:val="single" w:sz="18" w:space="0" w:color="auto"/>
            </w:tcBorders>
          </w:tcPr>
          <w:p w14:paraId="44F6FF7C" w14:textId="77777777" w:rsidR="00AD05AA" w:rsidRPr="00F951E5" w:rsidRDefault="00AD05AA" w:rsidP="00AD05AA">
            <w:pPr>
              <w:keepNext/>
              <w:keepLines/>
              <w:spacing w:before="200"/>
              <w:outlineLvl w:val="2"/>
              <w:rPr>
                <w:rFonts w:ascii="Times New Roman" w:hAnsi="Times New Roman" w:cs="Times New Roman"/>
                <w:sz w:val="22"/>
                <w:szCs w:val="22"/>
              </w:rPr>
            </w:pPr>
            <w:r w:rsidRPr="00F951E5">
              <w:rPr>
                <w:rFonts w:ascii="Times New Roman" w:hAnsi="Times New Roman" w:cs="Times New Roman"/>
                <w:sz w:val="22"/>
                <w:szCs w:val="22"/>
              </w:rPr>
              <w:t>Number of courts</w:t>
            </w:r>
          </w:p>
        </w:tc>
        <w:tc>
          <w:tcPr>
            <w:tcW w:w="1260" w:type="dxa"/>
            <w:tcBorders>
              <w:top w:val="single" w:sz="18" w:space="0" w:color="auto"/>
              <w:left w:val="single" w:sz="18" w:space="0" w:color="auto"/>
            </w:tcBorders>
            <w:vAlign w:val="bottom"/>
          </w:tcPr>
          <w:p w14:paraId="52B417E1" w14:textId="77777777" w:rsidR="00AD05AA" w:rsidRPr="00F951E5" w:rsidRDefault="00AD05AA" w:rsidP="00AD05AA">
            <w:pPr>
              <w:keepNext/>
              <w:keepLines/>
              <w:jc w:val="right"/>
              <w:rPr>
                <w:rFonts w:ascii="Times New Roman" w:eastAsia="Times New Roman" w:hAnsi="Times New Roman" w:cs="Times New Roman"/>
                <w:color w:val="000000"/>
                <w:sz w:val="22"/>
                <w:szCs w:val="22"/>
              </w:rPr>
            </w:pPr>
          </w:p>
        </w:tc>
        <w:tc>
          <w:tcPr>
            <w:tcW w:w="1260" w:type="dxa"/>
            <w:tcBorders>
              <w:top w:val="single" w:sz="18" w:space="0" w:color="auto"/>
              <w:right w:val="single" w:sz="18" w:space="0" w:color="auto"/>
            </w:tcBorders>
            <w:vAlign w:val="bottom"/>
          </w:tcPr>
          <w:p w14:paraId="6204F8CA" w14:textId="77777777" w:rsidR="00AD05AA" w:rsidRPr="00F951E5" w:rsidRDefault="00AD05AA" w:rsidP="00AD05AA">
            <w:pPr>
              <w:keepNext/>
              <w:keepLines/>
              <w:jc w:val="right"/>
              <w:rPr>
                <w:rFonts w:ascii="Times New Roman" w:eastAsia="Times New Roman" w:hAnsi="Times New Roman" w:cs="Times New Roman"/>
                <w:color w:val="000000"/>
                <w:sz w:val="22"/>
                <w:szCs w:val="22"/>
              </w:rPr>
            </w:pPr>
          </w:p>
        </w:tc>
        <w:tc>
          <w:tcPr>
            <w:tcW w:w="1170" w:type="dxa"/>
            <w:tcBorders>
              <w:top w:val="single" w:sz="18" w:space="0" w:color="auto"/>
              <w:left w:val="single" w:sz="18" w:space="0" w:color="auto"/>
            </w:tcBorders>
            <w:vAlign w:val="bottom"/>
          </w:tcPr>
          <w:p w14:paraId="73C9465B" w14:textId="77777777" w:rsidR="00AD05AA" w:rsidRPr="00F951E5" w:rsidRDefault="00AD05AA" w:rsidP="00AD05AA">
            <w:pPr>
              <w:keepNext/>
              <w:keepLines/>
              <w:spacing w:before="200"/>
              <w:jc w:val="right"/>
              <w:outlineLvl w:val="2"/>
              <w:rPr>
                <w:rFonts w:ascii="Times New Roman" w:eastAsia="Times New Roman" w:hAnsi="Times New Roman" w:cs="Times New Roman"/>
                <w:color w:val="000000"/>
                <w:sz w:val="22"/>
                <w:szCs w:val="22"/>
              </w:rPr>
            </w:pPr>
            <w:r w:rsidRPr="00F951E5">
              <w:rPr>
                <w:rFonts w:ascii="Times New Roman" w:eastAsia="Times New Roman" w:hAnsi="Times New Roman" w:cs="Times New Roman"/>
                <w:color w:val="000000"/>
                <w:sz w:val="22"/>
                <w:szCs w:val="22"/>
              </w:rPr>
              <w:t>76</w:t>
            </w:r>
          </w:p>
        </w:tc>
        <w:tc>
          <w:tcPr>
            <w:tcW w:w="1170" w:type="dxa"/>
            <w:tcBorders>
              <w:top w:val="single" w:sz="18" w:space="0" w:color="auto"/>
              <w:right w:val="single" w:sz="18" w:space="0" w:color="auto"/>
            </w:tcBorders>
            <w:vAlign w:val="bottom"/>
          </w:tcPr>
          <w:p w14:paraId="0B9CFD42" w14:textId="77777777" w:rsidR="00AD05AA" w:rsidRPr="00F951E5" w:rsidRDefault="00AD05AA" w:rsidP="00AD05AA">
            <w:pPr>
              <w:keepNext/>
              <w:keepLines/>
              <w:spacing w:before="200"/>
              <w:jc w:val="right"/>
              <w:outlineLvl w:val="2"/>
              <w:rPr>
                <w:rFonts w:ascii="Times New Roman" w:eastAsia="Times New Roman" w:hAnsi="Times New Roman" w:cs="Times New Roman"/>
                <w:color w:val="000000"/>
                <w:sz w:val="22"/>
                <w:szCs w:val="22"/>
              </w:rPr>
            </w:pPr>
            <w:r w:rsidRPr="00F951E5">
              <w:rPr>
                <w:rFonts w:ascii="Times New Roman" w:eastAsia="Times New Roman" w:hAnsi="Times New Roman" w:cs="Times New Roman"/>
                <w:color w:val="000000"/>
                <w:sz w:val="22"/>
                <w:szCs w:val="22"/>
              </w:rPr>
              <w:t>76</w:t>
            </w:r>
          </w:p>
        </w:tc>
        <w:tc>
          <w:tcPr>
            <w:tcW w:w="1170" w:type="dxa"/>
            <w:tcBorders>
              <w:top w:val="single" w:sz="18" w:space="0" w:color="auto"/>
              <w:left w:val="single" w:sz="18" w:space="0" w:color="auto"/>
            </w:tcBorders>
            <w:vAlign w:val="bottom"/>
          </w:tcPr>
          <w:p w14:paraId="20AC8B8B" w14:textId="77777777" w:rsidR="00AD05AA" w:rsidRPr="00F951E5" w:rsidRDefault="00AD05AA" w:rsidP="00AD05AA">
            <w:pPr>
              <w:keepNext/>
              <w:keepLines/>
              <w:spacing w:before="200"/>
              <w:jc w:val="right"/>
              <w:outlineLvl w:val="2"/>
              <w:rPr>
                <w:rFonts w:ascii="Times New Roman" w:eastAsia="Times New Roman" w:hAnsi="Times New Roman" w:cs="Times New Roman"/>
                <w:color w:val="000000"/>
                <w:sz w:val="22"/>
                <w:szCs w:val="22"/>
              </w:rPr>
            </w:pPr>
            <w:r w:rsidRPr="00F951E5">
              <w:rPr>
                <w:rFonts w:ascii="Times New Roman" w:eastAsia="Times New Roman" w:hAnsi="Times New Roman" w:cs="Times New Roman"/>
                <w:color w:val="000000"/>
                <w:sz w:val="22"/>
                <w:szCs w:val="22"/>
              </w:rPr>
              <w:t>76</w:t>
            </w:r>
          </w:p>
        </w:tc>
        <w:tc>
          <w:tcPr>
            <w:tcW w:w="1204" w:type="dxa"/>
            <w:tcBorders>
              <w:top w:val="single" w:sz="18" w:space="0" w:color="auto"/>
              <w:right w:val="single" w:sz="18" w:space="0" w:color="auto"/>
            </w:tcBorders>
            <w:vAlign w:val="bottom"/>
          </w:tcPr>
          <w:p w14:paraId="167220AD" w14:textId="77777777" w:rsidR="00AD05AA" w:rsidRPr="00F951E5" w:rsidRDefault="00AD05AA" w:rsidP="00AD05AA">
            <w:pPr>
              <w:keepNext/>
              <w:keepLines/>
              <w:spacing w:before="200"/>
              <w:jc w:val="right"/>
              <w:outlineLvl w:val="2"/>
              <w:rPr>
                <w:rFonts w:ascii="Times New Roman" w:eastAsia="Times New Roman" w:hAnsi="Times New Roman" w:cs="Times New Roman"/>
                <w:color w:val="000000"/>
                <w:sz w:val="22"/>
                <w:szCs w:val="22"/>
              </w:rPr>
            </w:pPr>
            <w:r w:rsidRPr="00F951E5">
              <w:rPr>
                <w:rFonts w:ascii="Times New Roman" w:eastAsia="Times New Roman" w:hAnsi="Times New Roman" w:cs="Times New Roman"/>
                <w:color w:val="000000"/>
                <w:sz w:val="22"/>
                <w:szCs w:val="22"/>
              </w:rPr>
              <w:t>76</w:t>
            </w:r>
          </w:p>
        </w:tc>
      </w:tr>
    </w:tbl>
    <w:p w14:paraId="29BE1E1E" w14:textId="32545C03" w:rsidR="00FC38D9" w:rsidRPr="00003007" w:rsidRDefault="00AD05AA" w:rsidP="006561BB">
      <w:pPr>
        <w:keepNext/>
        <w:keepLines/>
        <w:spacing w:line="480" w:lineRule="auto"/>
        <w:rPr>
          <w:rFonts w:ascii="Times New Roman" w:hAnsi="Times New Roman" w:cs="Times New Roman"/>
          <w:sz w:val="20"/>
          <w:szCs w:val="20"/>
        </w:rPr>
      </w:pPr>
      <w:r w:rsidRPr="00003007">
        <w:rPr>
          <w:rFonts w:ascii="Times New Roman" w:hAnsi="Times New Roman" w:cs="Times New Roman"/>
          <w:sz w:val="20"/>
          <w:szCs w:val="20"/>
        </w:rPr>
        <w:t>*p&lt;0.10, **p&lt;0.05, ***p&lt;0.01</w:t>
      </w:r>
    </w:p>
    <w:p w14:paraId="7D9624CF" w14:textId="77777777" w:rsidR="00FC38D9" w:rsidRPr="00B912DC" w:rsidRDefault="00FC38D9" w:rsidP="00FC38D9">
      <w:pPr>
        <w:ind w:firstLine="720"/>
        <w:jc w:val="center"/>
        <w:rPr>
          <w:rFonts w:ascii="Times New Roman" w:hAnsi="Times New Roman" w:cs="Times New Roman"/>
        </w:rPr>
      </w:pPr>
    </w:p>
    <w:p w14:paraId="040F1715" w14:textId="2A1951D1" w:rsidR="00FC38D9" w:rsidRPr="00B912DC"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 xml:space="preserve">The data in Columns (A) and (B) each offer some support for the theory that the </w:t>
      </w:r>
      <w:r w:rsidR="0077281D">
        <w:rPr>
          <w:rFonts w:ascii="Times New Roman" w:hAnsi="Times New Roman" w:cs="Times New Roman"/>
        </w:rPr>
        <w:t xml:space="preserve">jurisdiction’s </w:t>
      </w:r>
      <w:r w:rsidRPr="00B912DC">
        <w:rPr>
          <w:rFonts w:ascii="Times New Roman" w:hAnsi="Times New Roman" w:cs="Times New Roman"/>
        </w:rPr>
        <w:t xml:space="preserve">interpretation of the APR </w:t>
      </w:r>
      <w:r w:rsidR="00D95FFC">
        <w:rPr>
          <w:rFonts w:ascii="Times New Roman" w:hAnsi="Times New Roman" w:cs="Times New Roman"/>
        </w:rPr>
        <w:t xml:space="preserve">exception </w:t>
      </w:r>
      <w:r w:rsidRPr="00B912DC">
        <w:rPr>
          <w:rFonts w:ascii="Times New Roman" w:hAnsi="Times New Roman" w:cs="Times New Roman"/>
        </w:rPr>
        <w:t xml:space="preserve">affects the rate of success. The number in Column </w:t>
      </w:r>
      <w:r w:rsidR="0077281D">
        <w:rPr>
          <w:rFonts w:ascii="Times New Roman" w:hAnsi="Times New Roman" w:cs="Times New Roman"/>
        </w:rPr>
        <w:t>(</w:t>
      </w:r>
      <w:r w:rsidRPr="00B912DC">
        <w:rPr>
          <w:rFonts w:ascii="Times New Roman" w:hAnsi="Times New Roman" w:cs="Times New Roman"/>
        </w:rPr>
        <w:t>A</w:t>
      </w:r>
      <w:r w:rsidR="0077281D">
        <w:rPr>
          <w:rFonts w:ascii="Times New Roman" w:hAnsi="Times New Roman" w:cs="Times New Roman"/>
        </w:rPr>
        <w:t>)</w:t>
      </w:r>
      <w:r w:rsidRPr="00B912DC">
        <w:rPr>
          <w:rFonts w:ascii="Times New Roman" w:hAnsi="Times New Roman" w:cs="Times New Roman"/>
        </w:rPr>
        <w:t xml:space="preserve">, Row (1) suggests that a case in a jurisdiction with a broad interpretation </w:t>
      </w:r>
      <w:r>
        <w:rPr>
          <w:rFonts w:ascii="Times New Roman" w:hAnsi="Times New Roman" w:cs="Times New Roman"/>
        </w:rPr>
        <w:t>will succeed 10% more often than a case in a jurisdiction with no relevant precedent</w:t>
      </w:r>
      <w:r w:rsidR="00DC4216">
        <w:rPr>
          <w:rFonts w:ascii="Times New Roman" w:hAnsi="Times New Roman" w:cs="Times New Roman"/>
        </w:rPr>
        <w:t xml:space="preserve">. </w:t>
      </w:r>
      <w:r w:rsidRPr="00B912DC">
        <w:rPr>
          <w:rFonts w:ascii="Times New Roman" w:hAnsi="Times New Roman" w:cs="Times New Roman"/>
        </w:rPr>
        <w:t>The negative sign before the number in Row (2), Column (A) means that the narrow view is negatively correlated with success; in other words, cases in jurisdictions with narrow interpretations are less likely to succeed</w:t>
      </w:r>
      <w:r>
        <w:rPr>
          <w:rFonts w:ascii="Times New Roman" w:hAnsi="Times New Roman" w:cs="Times New Roman"/>
        </w:rPr>
        <w:t xml:space="preserve"> than cases </w:t>
      </w:r>
      <w:r w:rsidR="0077281D">
        <w:rPr>
          <w:rFonts w:ascii="Times New Roman" w:hAnsi="Times New Roman" w:cs="Times New Roman"/>
        </w:rPr>
        <w:t xml:space="preserve">in jurisdictions </w:t>
      </w:r>
      <w:r>
        <w:rPr>
          <w:rFonts w:ascii="Times New Roman" w:hAnsi="Times New Roman" w:cs="Times New Roman"/>
        </w:rPr>
        <w:t>with no relevant precedent</w:t>
      </w:r>
      <w:r w:rsidRPr="00B912DC">
        <w:rPr>
          <w:rFonts w:ascii="Times New Roman" w:hAnsi="Times New Roman" w:cs="Times New Roman"/>
        </w:rPr>
        <w:t>.</w:t>
      </w:r>
      <w:r w:rsidRPr="00B912DC">
        <w:rPr>
          <w:rStyle w:val="FootnoteReference"/>
          <w:rFonts w:ascii="Times New Roman" w:hAnsi="Times New Roman" w:cs="Times New Roman"/>
        </w:rPr>
        <w:footnoteReference w:id="218"/>
      </w:r>
      <w:r w:rsidRPr="00B912DC">
        <w:rPr>
          <w:rFonts w:ascii="Times New Roman" w:hAnsi="Times New Roman" w:cs="Times New Roman"/>
        </w:rPr>
        <w:t xml:space="preserve"> </w:t>
      </w:r>
      <w:r>
        <w:rPr>
          <w:rFonts w:ascii="Times New Roman" w:hAnsi="Times New Roman" w:cs="Times New Roman"/>
        </w:rPr>
        <w:t>The figures in r</w:t>
      </w:r>
      <w:r w:rsidRPr="00B912DC">
        <w:rPr>
          <w:rFonts w:ascii="Times New Roman" w:hAnsi="Times New Roman" w:cs="Times New Roman"/>
        </w:rPr>
        <w:t>ows (3) and (4) of Column (B)</w:t>
      </w:r>
      <w:r>
        <w:rPr>
          <w:rFonts w:ascii="Times New Roman" w:hAnsi="Times New Roman" w:cs="Times New Roman"/>
        </w:rPr>
        <w:t xml:space="preserve"> show the impact of a circuit or BAP decision interpreting the exception to the APR; </w:t>
      </w:r>
      <w:r w:rsidRPr="00B912DC">
        <w:rPr>
          <w:rFonts w:ascii="Times New Roman" w:hAnsi="Times New Roman" w:cs="Times New Roman"/>
        </w:rPr>
        <w:t xml:space="preserve">the coefficient </w:t>
      </w:r>
      <w:r>
        <w:rPr>
          <w:rFonts w:ascii="Times New Roman" w:hAnsi="Times New Roman" w:cs="Times New Roman"/>
        </w:rPr>
        <w:t xml:space="preserve">on the broad interpretation </w:t>
      </w:r>
      <w:r w:rsidRPr="00B912DC">
        <w:rPr>
          <w:rFonts w:ascii="Times New Roman" w:hAnsi="Times New Roman" w:cs="Times New Roman"/>
        </w:rPr>
        <w:t>is no longer statistically significant and is</w:t>
      </w:r>
      <w:r>
        <w:rPr>
          <w:rFonts w:ascii="Times New Roman" w:hAnsi="Times New Roman" w:cs="Times New Roman"/>
        </w:rPr>
        <w:t>,</w:t>
      </w:r>
      <w:r w:rsidRPr="00B912DC">
        <w:rPr>
          <w:rFonts w:ascii="Times New Roman" w:hAnsi="Times New Roman" w:cs="Times New Roman"/>
        </w:rPr>
        <w:t xml:space="preserve"> effectively</w:t>
      </w:r>
      <w:r>
        <w:rPr>
          <w:rFonts w:ascii="Times New Roman" w:hAnsi="Times New Roman" w:cs="Times New Roman"/>
        </w:rPr>
        <w:t>,</w:t>
      </w:r>
      <w:r w:rsidRPr="00B912DC">
        <w:rPr>
          <w:rFonts w:ascii="Times New Roman" w:hAnsi="Times New Roman" w:cs="Times New Roman"/>
        </w:rPr>
        <w:t xml:space="preserve"> zero. The coefficient on the narrow interpretation, however, is significantly negative, which means that cases are less likely to succeed in jurisdictions with circuit or BAP decisions adopting the narrow interpretation of the </w:t>
      </w:r>
      <w:r w:rsidR="00D95FFC">
        <w:rPr>
          <w:rFonts w:ascii="Times New Roman" w:hAnsi="Times New Roman" w:cs="Times New Roman"/>
        </w:rPr>
        <w:t xml:space="preserve">exception to the </w:t>
      </w:r>
      <w:r w:rsidRPr="00B912DC">
        <w:rPr>
          <w:rFonts w:ascii="Times New Roman" w:hAnsi="Times New Roman" w:cs="Times New Roman"/>
        </w:rPr>
        <w:t xml:space="preserve">APR.  </w:t>
      </w:r>
    </w:p>
    <w:p w14:paraId="51F53A19" w14:textId="43D6DAE0" w:rsidR="00FC38D9" w:rsidRPr="00B912DC"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 xml:space="preserve"> The correlations detected in columns (A) and (B) could be due to omitted differences between districts. For example, the Central District of California has a model chapter 11 plan,</w:t>
      </w:r>
      <w:r>
        <w:rPr>
          <w:rStyle w:val="FootnoteReference"/>
          <w:rFonts w:ascii="Times New Roman" w:hAnsi="Times New Roman" w:cs="Times New Roman"/>
        </w:rPr>
        <w:footnoteReference w:id="219"/>
      </w:r>
      <w:r w:rsidRPr="00B912DC">
        <w:rPr>
          <w:rFonts w:ascii="Times New Roman" w:hAnsi="Times New Roman" w:cs="Times New Roman"/>
        </w:rPr>
        <w:t xml:space="preserve"> and it also had </w:t>
      </w:r>
      <w:r>
        <w:rPr>
          <w:rFonts w:ascii="Times New Roman" w:hAnsi="Times New Roman" w:cs="Times New Roman"/>
        </w:rPr>
        <w:t xml:space="preserve">a </w:t>
      </w:r>
      <w:r w:rsidRPr="00B912DC">
        <w:rPr>
          <w:rFonts w:ascii="Times New Roman" w:hAnsi="Times New Roman" w:cs="Times New Roman"/>
        </w:rPr>
        <w:t>broad precedent during our sample window.</w:t>
      </w:r>
      <w:r>
        <w:rPr>
          <w:rStyle w:val="FootnoteReference"/>
          <w:rFonts w:ascii="Times New Roman" w:hAnsi="Times New Roman" w:cs="Times New Roman"/>
        </w:rPr>
        <w:footnoteReference w:id="220"/>
      </w:r>
      <w:r>
        <w:rPr>
          <w:rFonts w:ascii="Times New Roman" w:hAnsi="Times New Roman" w:cs="Times New Roman"/>
        </w:rPr>
        <w:t xml:space="preserve"> If the </w:t>
      </w:r>
      <w:r w:rsidRPr="00B912DC">
        <w:rPr>
          <w:rFonts w:ascii="Times New Roman" w:hAnsi="Times New Roman" w:cs="Times New Roman"/>
        </w:rPr>
        <w:t xml:space="preserve">model plan significantly contributed to debtor success in chapter 11, then the regression may wrongfully attribute the model plan’s role in success to the </w:t>
      </w:r>
      <w:r w:rsidR="006561BB">
        <w:rPr>
          <w:rFonts w:ascii="Times New Roman" w:hAnsi="Times New Roman" w:cs="Times New Roman"/>
        </w:rPr>
        <w:t xml:space="preserve">jurisdiction’s </w:t>
      </w:r>
      <w:r w:rsidRPr="00B912DC">
        <w:rPr>
          <w:rFonts w:ascii="Times New Roman" w:hAnsi="Times New Roman" w:cs="Times New Roman"/>
        </w:rPr>
        <w:t xml:space="preserve">broad interpretation of the </w:t>
      </w:r>
      <w:r w:rsidR="00D56140">
        <w:rPr>
          <w:rFonts w:ascii="Times New Roman" w:hAnsi="Times New Roman" w:cs="Times New Roman"/>
        </w:rPr>
        <w:t xml:space="preserve">exception to the </w:t>
      </w:r>
      <w:r w:rsidRPr="00B912DC">
        <w:rPr>
          <w:rFonts w:ascii="Times New Roman" w:hAnsi="Times New Roman" w:cs="Times New Roman"/>
        </w:rPr>
        <w:t xml:space="preserve">APR.  </w:t>
      </w:r>
    </w:p>
    <w:p w14:paraId="69B7D262" w14:textId="70ACDDE4" w:rsidR="00AD05AA" w:rsidRDefault="00AD05AA" w:rsidP="00FC38D9">
      <w:pPr>
        <w:spacing w:line="480" w:lineRule="auto"/>
        <w:ind w:firstLine="720"/>
        <w:rPr>
          <w:rFonts w:ascii="Times New Roman" w:hAnsi="Times New Roman" w:cs="Times New Roman"/>
        </w:rPr>
      </w:pPr>
      <w:r w:rsidRPr="00B912DC">
        <w:rPr>
          <w:rFonts w:ascii="Times New Roman" w:hAnsi="Times New Roman" w:cs="Times New Roman"/>
        </w:rPr>
        <w:t>To address this problem</w:t>
      </w:r>
      <w:r>
        <w:rPr>
          <w:rFonts w:ascii="Times New Roman" w:hAnsi="Times New Roman" w:cs="Times New Roman"/>
        </w:rPr>
        <w:t>,</w:t>
      </w:r>
      <w:r w:rsidRPr="00B912DC">
        <w:rPr>
          <w:rFonts w:ascii="Times New Roman" w:hAnsi="Times New Roman" w:cs="Times New Roman"/>
        </w:rPr>
        <w:t xml:space="preserve"> Columns (C) and (D) present the results of models that include fixed district effects to account for differences across districts that do not change over time.</w:t>
      </w:r>
      <w:r w:rsidRPr="00B912DC">
        <w:rPr>
          <w:rStyle w:val="FootnoteReference"/>
          <w:rFonts w:ascii="Times New Roman" w:hAnsi="Times New Roman" w:cs="Times New Roman"/>
        </w:rPr>
        <w:footnoteReference w:id="221"/>
      </w:r>
      <w:r w:rsidRPr="00B912DC">
        <w:rPr>
          <w:rFonts w:ascii="Times New Roman" w:hAnsi="Times New Roman" w:cs="Times New Roman"/>
        </w:rPr>
        <w:t xml:space="preserve"> </w:t>
      </w:r>
      <w:r>
        <w:rPr>
          <w:rFonts w:ascii="Times New Roman" w:hAnsi="Times New Roman" w:cs="Times New Roman"/>
        </w:rPr>
        <w:t xml:space="preserve">Column (C), which considers all court decisions, no longer supports the hypothesis that the interpretation of the exception to the APR affects the rate of success, but Column (D), which considers only circuit level decisions, does. The coefficient on </w:t>
      </w:r>
      <w:r>
        <w:rPr>
          <w:rFonts w:ascii="Times New Roman" w:hAnsi="Times New Roman" w:cs="Times New Roman"/>
          <w:i/>
        </w:rPr>
        <w:t xml:space="preserve">broad circuit </w:t>
      </w:r>
      <w:r>
        <w:rPr>
          <w:rFonts w:ascii="Times New Roman" w:hAnsi="Times New Roman" w:cs="Times New Roman"/>
        </w:rPr>
        <w:t xml:space="preserve">suggests that a broad interpretation of the exception increases the rate of success by 6%, </w:t>
      </w:r>
      <w:r w:rsidRPr="00B912DC">
        <w:rPr>
          <w:rFonts w:ascii="Times New Roman" w:hAnsi="Times New Roman" w:cs="Times New Roman"/>
        </w:rPr>
        <w:t xml:space="preserve">a meaningful amount given that the average success rate is about </w:t>
      </w:r>
      <w:r>
        <w:rPr>
          <w:rFonts w:ascii="Times New Roman" w:hAnsi="Times New Roman" w:cs="Times New Roman"/>
        </w:rPr>
        <w:t>50</w:t>
      </w:r>
      <w:r w:rsidRPr="00B912DC">
        <w:rPr>
          <w:rFonts w:ascii="Times New Roman" w:hAnsi="Times New Roman" w:cs="Times New Roman"/>
        </w:rPr>
        <w:t>%.</w:t>
      </w:r>
      <w:r w:rsidRPr="00B912DC">
        <w:rPr>
          <w:rStyle w:val="FootnoteReference"/>
          <w:rFonts w:ascii="Times New Roman" w:hAnsi="Times New Roman" w:cs="Times New Roman"/>
        </w:rPr>
        <w:footnoteReference w:id="222"/>
      </w:r>
      <w:r>
        <w:rPr>
          <w:rFonts w:ascii="Times New Roman" w:hAnsi="Times New Roman" w:cs="Times New Roman"/>
        </w:rPr>
        <w:t xml:space="preserve"> The coefficient on </w:t>
      </w:r>
      <w:r>
        <w:rPr>
          <w:rFonts w:ascii="Times New Roman" w:hAnsi="Times New Roman" w:cs="Times New Roman"/>
          <w:i/>
        </w:rPr>
        <w:t xml:space="preserve">narrow circuit </w:t>
      </w:r>
      <w:r>
        <w:rPr>
          <w:rFonts w:ascii="Times New Roman" w:hAnsi="Times New Roman" w:cs="Times New Roman"/>
        </w:rPr>
        <w:t>suggests that a narrow interpretation reduces the success rate by about 5%, but the coefficients’ p-value of 11% does not meet ordinary standards of statistical significance.</w:t>
      </w:r>
    </w:p>
    <w:p w14:paraId="13F87C54" w14:textId="4C0ED922" w:rsidR="00FC38D9" w:rsidRPr="00B912DC" w:rsidRDefault="0025742F" w:rsidP="00FC38D9">
      <w:pPr>
        <w:spacing w:line="480" w:lineRule="auto"/>
        <w:ind w:firstLine="720"/>
        <w:rPr>
          <w:rFonts w:ascii="Times New Roman" w:hAnsi="Times New Roman" w:cs="Times New Roman"/>
        </w:rPr>
      </w:pPr>
      <w:r>
        <w:rPr>
          <w:rFonts w:ascii="Times New Roman" w:hAnsi="Times New Roman" w:cs="Times New Roman"/>
        </w:rPr>
        <w:t>Fixed-effects regressions can yield false positives if there are omitted variables affect</w:t>
      </w:r>
      <w:r w:rsidR="0077281D">
        <w:rPr>
          <w:rFonts w:ascii="Times New Roman" w:hAnsi="Times New Roman" w:cs="Times New Roman"/>
        </w:rPr>
        <w:t>ing</w:t>
      </w:r>
      <w:r>
        <w:rPr>
          <w:rFonts w:ascii="Times New Roman" w:hAnsi="Times New Roman" w:cs="Times New Roman"/>
        </w:rPr>
        <w:t xml:space="preserve"> the </w:t>
      </w:r>
      <w:r w:rsidR="00664E03">
        <w:rPr>
          <w:rFonts w:ascii="Times New Roman" w:hAnsi="Times New Roman" w:cs="Times New Roman"/>
        </w:rPr>
        <w:t xml:space="preserve">success rate that are correlated with changes in the legal variable. Unfortunately, a good number of the legal changes are due to a single 2012 opinion by the </w:t>
      </w:r>
      <w:r w:rsidR="00FC38D9" w:rsidRPr="00B912DC">
        <w:rPr>
          <w:rFonts w:ascii="Times New Roman" w:hAnsi="Times New Roman" w:cs="Times New Roman"/>
        </w:rPr>
        <w:t>Ninth Circuit’s Bankruptcy Appellate Panel</w:t>
      </w:r>
      <w:r w:rsidR="0077281D">
        <w:rPr>
          <w:rFonts w:ascii="Times New Roman" w:hAnsi="Times New Roman" w:cs="Times New Roman"/>
        </w:rPr>
        <w:t xml:space="preserve">, </w:t>
      </w:r>
      <w:r w:rsidR="0077281D">
        <w:rPr>
          <w:rFonts w:ascii="Times New Roman" w:hAnsi="Times New Roman" w:cs="Times New Roman"/>
          <w:i/>
        </w:rPr>
        <w:t>In re Friedman</w:t>
      </w:r>
      <w:r w:rsidR="0077281D">
        <w:rPr>
          <w:rFonts w:ascii="Times New Roman" w:hAnsi="Times New Roman" w:cs="Times New Roman"/>
        </w:rPr>
        <w:t>,</w:t>
      </w:r>
      <w:r w:rsidR="0077281D">
        <w:rPr>
          <w:rStyle w:val="FootnoteReference"/>
          <w:rFonts w:ascii="Times New Roman" w:hAnsi="Times New Roman" w:cs="Times New Roman"/>
        </w:rPr>
        <w:footnoteReference w:id="223"/>
      </w:r>
      <w:r w:rsidR="00FC38D9">
        <w:rPr>
          <w:rFonts w:ascii="Times New Roman" w:hAnsi="Times New Roman" w:cs="Times New Roman"/>
        </w:rPr>
        <w:t xml:space="preserve"> </w:t>
      </w:r>
      <w:r w:rsidR="00664E03">
        <w:rPr>
          <w:rFonts w:ascii="Times New Roman" w:hAnsi="Times New Roman" w:cs="Times New Roman"/>
        </w:rPr>
        <w:t xml:space="preserve">that </w:t>
      </w:r>
      <w:r w:rsidR="00FC38D9">
        <w:rPr>
          <w:rFonts w:ascii="Times New Roman" w:hAnsi="Times New Roman" w:cs="Times New Roman"/>
        </w:rPr>
        <w:t xml:space="preserve">adopted the broad interpretation of the </w:t>
      </w:r>
      <w:r w:rsidR="006561BB">
        <w:rPr>
          <w:rFonts w:ascii="Times New Roman" w:hAnsi="Times New Roman" w:cs="Times New Roman"/>
        </w:rPr>
        <w:t xml:space="preserve">APR </w:t>
      </w:r>
      <w:r w:rsidR="00664E03">
        <w:rPr>
          <w:rFonts w:ascii="Times New Roman" w:hAnsi="Times New Roman" w:cs="Times New Roman"/>
        </w:rPr>
        <w:t>exception</w:t>
      </w:r>
      <w:r w:rsidR="0077281D">
        <w:rPr>
          <w:rFonts w:ascii="Times New Roman" w:hAnsi="Times New Roman" w:cs="Times New Roman"/>
        </w:rPr>
        <w:t>.</w:t>
      </w:r>
      <w:r w:rsidR="00FC38D9" w:rsidRPr="00B912DC">
        <w:rPr>
          <w:rFonts w:ascii="Times New Roman" w:hAnsi="Times New Roman" w:cs="Times New Roman"/>
        </w:rPr>
        <w:t xml:space="preserve"> If other changes occurred in the Ninth Circuit between 2010 and 2013, we could wrongly attribute the effects of these changes to the </w:t>
      </w:r>
      <w:r w:rsidR="00FC38D9">
        <w:rPr>
          <w:rFonts w:ascii="Times New Roman" w:hAnsi="Times New Roman" w:cs="Times New Roman"/>
          <w:i/>
        </w:rPr>
        <w:t xml:space="preserve">Friedman </w:t>
      </w:r>
      <w:r w:rsidR="00FC38D9">
        <w:rPr>
          <w:rFonts w:ascii="Times New Roman" w:hAnsi="Times New Roman" w:cs="Times New Roman"/>
        </w:rPr>
        <w:t xml:space="preserve">court’s </w:t>
      </w:r>
      <w:r w:rsidR="00FC38D9" w:rsidRPr="00B912DC">
        <w:rPr>
          <w:rFonts w:ascii="Times New Roman" w:hAnsi="Times New Roman" w:cs="Times New Roman"/>
        </w:rPr>
        <w:t>interpretation of the absolute priority rule</w:t>
      </w:r>
      <w:r w:rsidR="006561BB">
        <w:rPr>
          <w:rFonts w:ascii="Times New Roman" w:hAnsi="Times New Roman" w:cs="Times New Roman"/>
        </w:rPr>
        <w:t xml:space="preserve"> exception</w:t>
      </w:r>
      <w:r w:rsidR="00FC38D9" w:rsidRPr="00B912DC">
        <w:rPr>
          <w:rFonts w:ascii="Times New Roman" w:hAnsi="Times New Roman" w:cs="Times New Roman"/>
        </w:rPr>
        <w:t xml:space="preserve">.  </w:t>
      </w:r>
    </w:p>
    <w:p w14:paraId="3EC66859" w14:textId="6CAD6E6B" w:rsidR="00FC38D9" w:rsidRPr="00B912DC"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 xml:space="preserve">To address this concern, we used chapter 13 success rates to run a placebo test.  </w:t>
      </w:r>
      <w:r>
        <w:rPr>
          <w:rFonts w:ascii="Times New Roman" w:hAnsi="Times New Roman" w:cs="Times New Roman"/>
          <w:i/>
        </w:rPr>
        <w:t xml:space="preserve">See </w:t>
      </w:r>
      <w:r>
        <w:rPr>
          <w:rFonts w:ascii="Times New Roman" w:hAnsi="Times New Roman" w:cs="Times New Roman"/>
        </w:rPr>
        <w:t xml:space="preserve">Columns (E) and (F) of Table </w:t>
      </w:r>
      <w:r w:rsidR="00B06764">
        <w:rPr>
          <w:rFonts w:ascii="Times New Roman" w:hAnsi="Times New Roman" w:cs="Times New Roman"/>
        </w:rPr>
        <w:t>45</w:t>
      </w:r>
      <w:r w:rsidR="001B4A9C">
        <w:rPr>
          <w:rFonts w:ascii="Times New Roman" w:hAnsi="Times New Roman" w:cs="Times New Roman"/>
        </w:rPr>
        <w:t xml:space="preserve">. </w:t>
      </w:r>
      <w:r w:rsidRPr="00B912DC">
        <w:rPr>
          <w:rFonts w:ascii="Times New Roman" w:hAnsi="Times New Roman" w:cs="Times New Roman"/>
        </w:rPr>
        <w:t xml:space="preserve">The absolute priority rule does not apply in chapter 13, and so interpretations of a chapter 11 exception to the APR should have no effect on the success rate. The interpretation of the APR </w:t>
      </w:r>
      <w:r w:rsidR="00D95FFC">
        <w:rPr>
          <w:rFonts w:ascii="Times New Roman" w:hAnsi="Times New Roman" w:cs="Times New Roman"/>
        </w:rPr>
        <w:t xml:space="preserve">exception </w:t>
      </w:r>
      <w:r w:rsidRPr="00B912DC">
        <w:rPr>
          <w:rFonts w:ascii="Times New Roman" w:hAnsi="Times New Roman" w:cs="Times New Roman"/>
        </w:rPr>
        <w:t>could affect the debtor’s choice between chapter 11 and chapter 13,</w:t>
      </w:r>
      <w:r w:rsidRPr="00B912DC">
        <w:rPr>
          <w:rStyle w:val="FootnoteReference"/>
          <w:rFonts w:ascii="Times New Roman" w:hAnsi="Times New Roman" w:cs="Times New Roman"/>
        </w:rPr>
        <w:footnoteReference w:id="224"/>
      </w:r>
      <w:r w:rsidRPr="00B912DC">
        <w:rPr>
          <w:rFonts w:ascii="Times New Roman" w:hAnsi="Times New Roman" w:cs="Times New Roman"/>
        </w:rPr>
        <w:t xml:space="preserve"> but the chapter 13 filing rate is so much higher than the individual chapter 11 rate that any </w:t>
      </w:r>
      <w:r w:rsidR="0077281D">
        <w:rPr>
          <w:rFonts w:ascii="Times New Roman" w:hAnsi="Times New Roman" w:cs="Times New Roman"/>
        </w:rPr>
        <w:t xml:space="preserve">such </w:t>
      </w:r>
      <w:r w:rsidRPr="00B912DC">
        <w:rPr>
          <w:rFonts w:ascii="Times New Roman" w:hAnsi="Times New Roman" w:cs="Times New Roman"/>
        </w:rPr>
        <w:t>effect should be negligible.</w:t>
      </w:r>
      <w:r w:rsidRPr="00B912DC">
        <w:rPr>
          <w:rStyle w:val="FootnoteReference"/>
          <w:rFonts w:ascii="Times New Roman" w:hAnsi="Times New Roman" w:cs="Times New Roman"/>
        </w:rPr>
        <w:footnoteReference w:id="225"/>
      </w:r>
      <w:r w:rsidRPr="00B912DC">
        <w:rPr>
          <w:rFonts w:ascii="Times New Roman" w:hAnsi="Times New Roman" w:cs="Times New Roman"/>
        </w:rPr>
        <w:t xml:space="preserve"> </w:t>
      </w:r>
      <w:r w:rsidR="0077281D">
        <w:rPr>
          <w:rFonts w:ascii="Times New Roman" w:hAnsi="Times New Roman" w:cs="Times New Roman"/>
        </w:rPr>
        <w:t>T</w:t>
      </w:r>
      <w:r w:rsidRPr="00B912DC">
        <w:rPr>
          <w:rFonts w:ascii="Times New Roman" w:hAnsi="Times New Roman" w:cs="Times New Roman"/>
        </w:rPr>
        <w:t xml:space="preserve">he coefficients on </w:t>
      </w:r>
      <w:r w:rsidRPr="00B912DC">
        <w:rPr>
          <w:rFonts w:ascii="Times New Roman" w:hAnsi="Times New Roman" w:cs="Times New Roman"/>
          <w:i/>
        </w:rPr>
        <w:t>broad</w:t>
      </w:r>
      <w:r w:rsidRPr="00B912DC">
        <w:rPr>
          <w:rFonts w:ascii="Times New Roman" w:hAnsi="Times New Roman" w:cs="Times New Roman"/>
        </w:rPr>
        <w:t xml:space="preserve"> and </w:t>
      </w:r>
      <w:r w:rsidRPr="00B912DC">
        <w:rPr>
          <w:rFonts w:ascii="Times New Roman" w:hAnsi="Times New Roman" w:cs="Times New Roman"/>
          <w:i/>
        </w:rPr>
        <w:t>broad</w:t>
      </w:r>
      <w:r>
        <w:rPr>
          <w:rFonts w:ascii="Times New Roman" w:hAnsi="Times New Roman" w:cs="Times New Roman"/>
          <w:i/>
        </w:rPr>
        <w:t xml:space="preserve"> </w:t>
      </w:r>
      <w:r w:rsidRPr="00B912DC">
        <w:rPr>
          <w:rFonts w:ascii="Times New Roman" w:hAnsi="Times New Roman" w:cs="Times New Roman"/>
          <w:i/>
        </w:rPr>
        <w:t>c</w:t>
      </w:r>
      <w:r>
        <w:rPr>
          <w:rFonts w:ascii="Times New Roman" w:hAnsi="Times New Roman" w:cs="Times New Roman"/>
          <w:i/>
        </w:rPr>
        <w:t>ircuit</w:t>
      </w:r>
      <w:r w:rsidRPr="00B912DC">
        <w:rPr>
          <w:rFonts w:ascii="Times New Roman" w:hAnsi="Times New Roman" w:cs="Times New Roman"/>
        </w:rPr>
        <w:t xml:space="preserve"> in Column (E), Row (1) and Column (F), Row (3) are statistically significant</w:t>
      </w:r>
      <w:r w:rsidR="0077281D">
        <w:rPr>
          <w:rFonts w:ascii="Times New Roman" w:hAnsi="Times New Roman" w:cs="Times New Roman"/>
        </w:rPr>
        <w:t>, however</w:t>
      </w:r>
      <w:r w:rsidRPr="00B912DC">
        <w:rPr>
          <w:rFonts w:ascii="Times New Roman" w:hAnsi="Times New Roman" w:cs="Times New Roman"/>
        </w:rPr>
        <w:t>. The broad interpretation increases the success rate by about 3%; the average success rate for chapter 13</w:t>
      </w:r>
      <w:r w:rsidR="00183D07">
        <w:rPr>
          <w:rFonts w:ascii="Times New Roman" w:hAnsi="Times New Roman" w:cs="Times New Roman"/>
        </w:rPr>
        <w:t>, depending on year, is 46% to 54%.</w:t>
      </w:r>
      <w:r w:rsidRPr="00B912DC">
        <w:rPr>
          <w:rStyle w:val="FootnoteReference"/>
          <w:rFonts w:ascii="Times New Roman" w:hAnsi="Times New Roman" w:cs="Times New Roman"/>
        </w:rPr>
        <w:footnoteReference w:id="226"/>
      </w:r>
      <w:r w:rsidRPr="00B912DC">
        <w:rPr>
          <w:rFonts w:ascii="Times New Roman" w:hAnsi="Times New Roman" w:cs="Times New Roman"/>
        </w:rPr>
        <w:t xml:space="preserve">  </w:t>
      </w:r>
    </w:p>
    <w:p w14:paraId="5C9E0342" w14:textId="21832B03" w:rsidR="00FC38D9" w:rsidRPr="00B912DC" w:rsidRDefault="00FC38D9" w:rsidP="00FC38D9">
      <w:pPr>
        <w:spacing w:line="480" w:lineRule="auto"/>
        <w:ind w:firstLine="720"/>
        <w:rPr>
          <w:rFonts w:ascii="Times New Roman" w:hAnsi="Times New Roman" w:cs="Times New Roman"/>
        </w:rPr>
      </w:pPr>
      <w:r>
        <w:rPr>
          <w:rFonts w:ascii="Times New Roman" w:hAnsi="Times New Roman" w:cs="Times New Roman"/>
        </w:rPr>
        <w:t>T</w:t>
      </w:r>
      <w:r w:rsidRPr="00B912DC">
        <w:rPr>
          <w:rFonts w:ascii="Times New Roman" w:hAnsi="Times New Roman" w:cs="Times New Roman"/>
        </w:rPr>
        <w:t>he chapter 13 model</w:t>
      </w:r>
      <w:r w:rsidR="00576783">
        <w:rPr>
          <w:rFonts w:ascii="Times New Roman" w:hAnsi="Times New Roman" w:cs="Times New Roman"/>
        </w:rPr>
        <w:t>s</w:t>
      </w:r>
      <w:r w:rsidRPr="00B912DC">
        <w:rPr>
          <w:rFonts w:ascii="Times New Roman" w:hAnsi="Times New Roman" w:cs="Times New Roman"/>
        </w:rPr>
        <w:t xml:space="preserve"> ha</w:t>
      </w:r>
      <w:r w:rsidR="00576783">
        <w:rPr>
          <w:rFonts w:ascii="Times New Roman" w:hAnsi="Times New Roman" w:cs="Times New Roman"/>
        </w:rPr>
        <w:t>ve</w:t>
      </w:r>
      <w:r w:rsidRPr="00B912DC">
        <w:rPr>
          <w:rFonts w:ascii="Times New Roman" w:hAnsi="Times New Roman" w:cs="Times New Roman"/>
        </w:rPr>
        <w:t xml:space="preserve"> nearly 700,000 observations; thus</w:t>
      </w:r>
      <w:r w:rsidR="00972F7B">
        <w:rPr>
          <w:rFonts w:ascii="Times New Roman" w:hAnsi="Times New Roman" w:cs="Times New Roman"/>
        </w:rPr>
        <w:t>,</w:t>
      </w:r>
      <w:r>
        <w:rPr>
          <w:rFonts w:ascii="Times New Roman" w:hAnsi="Times New Roman" w:cs="Times New Roman"/>
        </w:rPr>
        <w:t xml:space="preserve"> even small differences in outcomes </w:t>
      </w:r>
      <w:r w:rsidR="001B4A9C">
        <w:rPr>
          <w:rFonts w:ascii="Times New Roman" w:hAnsi="Times New Roman" w:cs="Times New Roman"/>
        </w:rPr>
        <w:t xml:space="preserve">will </w:t>
      </w:r>
      <w:r>
        <w:rPr>
          <w:rFonts w:ascii="Times New Roman" w:hAnsi="Times New Roman" w:cs="Times New Roman"/>
        </w:rPr>
        <w:t>be statistically significant.</w:t>
      </w:r>
      <w:r w:rsidRPr="00B912DC">
        <w:rPr>
          <w:rFonts w:ascii="Times New Roman" w:hAnsi="Times New Roman" w:cs="Times New Roman"/>
        </w:rPr>
        <w:t xml:space="preserve"> Moreover, the estimated </w:t>
      </w:r>
      <w:r w:rsidR="00576783">
        <w:rPr>
          <w:rFonts w:ascii="Times New Roman" w:hAnsi="Times New Roman" w:cs="Times New Roman"/>
        </w:rPr>
        <w:t xml:space="preserve">chapter 13 </w:t>
      </w:r>
      <w:r w:rsidRPr="00B912DC">
        <w:rPr>
          <w:rFonts w:ascii="Times New Roman" w:hAnsi="Times New Roman" w:cs="Times New Roman"/>
        </w:rPr>
        <w:t xml:space="preserve">effect is smaller than the chapter 11 effect. On the other hand, the </w:t>
      </w:r>
      <w:r w:rsidR="00576783">
        <w:rPr>
          <w:rFonts w:ascii="Times New Roman" w:hAnsi="Times New Roman" w:cs="Times New Roman"/>
        </w:rPr>
        <w:t xml:space="preserve">chapter 13 </w:t>
      </w:r>
      <w:r w:rsidRPr="00B912DC">
        <w:rPr>
          <w:rFonts w:ascii="Times New Roman" w:hAnsi="Times New Roman" w:cs="Times New Roman"/>
        </w:rPr>
        <w:t xml:space="preserve">model should not have </w:t>
      </w:r>
      <w:r>
        <w:rPr>
          <w:rFonts w:ascii="Times New Roman" w:hAnsi="Times New Roman" w:cs="Times New Roman"/>
        </w:rPr>
        <w:t xml:space="preserve">found </w:t>
      </w:r>
      <w:r w:rsidR="00DB4EAD">
        <w:rPr>
          <w:rFonts w:ascii="Times New Roman" w:hAnsi="Times New Roman" w:cs="Times New Roman"/>
        </w:rPr>
        <w:t xml:space="preserve">any effect for the </w:t>
      </w:r>
      <w:r w:rsidR="00972F7B">
        <w:rPr>
          <w:rFonts w:ascii="Times New Roman" w:hAnsi="Times New Roman" w:cs="Times New Roman"/>
        </w:rPr>
        <w:t xml:space="preserve">jurisdiction’s </w:t>
      </w:r>
      <w:r w:rsidR="00DB4EAD">
        <w:rPr>
          <w:rFonts w:ascii="Times New Roman" w:hAnsi="Times New Roman" w:cs="Times New Roman"/>
        </w:rPr>
        <w:t xml:space="preserve">interpretation of the </w:t>
      </w:r>
      <w:r w:rsidR="00972F7B">
        <w:rPr>
          <w:rFonts w:ascii="Times New Roman" w:hAnsi="Times New Roman" w:cs="Times New Roman"/>
        </w:rPr>
        <w:t xml:space="preserve">APR </w:t>
      </w:r>
      <w:r w:rsidR="00DB4EAD">
        <w:rPr>
          <w:rFonts w:ascii="Times New Roman" w:hAnsi="Times New Roman" w:cs="Times New Roman"/>
        </w:rPr>
        <w:t xml:space="preserve">exception. </w:t>
      </w:r>
      <w:r w:rsidRPr="00B912DC">
        <w:rPr>
          <w:rFonts w:ascii="Times New Roman" w:hAnsi="Times New Roman" w:cs="Times New Roman"/>
        </w:rPr>
        <w:t xml:space="preserve">Therefore, the results suggest that at least some of the measured effect </w:t>
      </w:r>
      <w:r>
        <w:rPr>
          <w:rFonts w:ascii="Times New Roman" w:hAnsi="Times New Roman" w:cs="Times New Roman"/>
        </w:rPr>
        <w:t>c</w:t>
      </w:r>
      <w:r w:rsidRPr="00B912DC">
        <w:rPr>
          <w:rFonts w:ascii="Times New Roman" w:hAnsi="Times New Roman" w:cs="Times New Roman"/>
        </w:rPr>
        <w:t xml:space="preserve">ould be </w:t>
      </w:r>
      <w:r>
        <w:rPr>
          <w:rFonts w:ascii="Times New Roman" w:hAnsi="Times New Roman" w:cs="Times New Roman"/>
        </w:rPr>
        <w:t>due to some other, unknown change.</w:t>
      </w:r>
    </w:p>
    <w:p w14:paraId="34EFEE84" w14:textId="2E562E11" w:rsidR="00FC38D9" w:rsidRPr="00F43406"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 xml:space="preserve">Most of our other explanatory variables remain robust predictors of success, even after controlling for the other factors. Joint cases appear to succeed an additional </w:t>
      </w:r>
      <w:r w:rsidR="00972F7B">
        <w:rPr>
          <w:rFonts w:ascii="Times New Roman" w:hAnsi="Times New Roman" w:cs="Times New Roman"/>
        </w:rPr>
        <w:t xml:space="preserve">9% </w:t>
      </w:r>
      <w:r w:rsidRPr="00B912DC">
        <w:rPr>
          <w:rFonts w:ascii="Times New Roman" w:hAnsi="Times New Roman" w:cs="Times New Roman"/>
        </w:rPr>
        <w:t xml:space="preserve">to </w:t>
      </w:r>
      <w:r w:rsidR="00DB15DD">
        <w:rPr>
          <w:rFonts w:ascii="Times New Roman" w:hAnsi="Times New Roman" w:cs="Times New Roman"/>
        </w:rPr>
        <w:t>11%</w:t>
      </w:r>
      <w:r w:rsidRPr="00B912DC">
        <w:rPr>
          <w:rFonts w:ascii="Times New Roman" w:hAnsi="Times New Roman" w:cs="Times New Roman"/>
        </w:rPr>
        <w:t xml:space="preserve"> of the time</w:t>
      </w:r>
      <w:r>
        <w:rPr>
          <w:rFonts w:ascii="Times New Roman" w:hAnsi="Times New Roman" w:cs="Times New Roman"/>
        </w:rPr>
        <w:t xml:space="preserve"> (see row (5), </w:t>
      </w:r>
      <w:r w:rsidR="0077281D">
        <w:rPr>
          <w:rFonts w:ascii="Times New Roman" w:hAnsi="Times New Roman" w:cs="Times New Roman"/>
        </w:rPr>
        <w:t>C</w:t>
      </w:r>
      <w:r>
        <w:rPr>
          <w:rFonts w:ascii="Times New Roman" w:hAnsi="Times New Roman" w:cs="Times New Roman"/>
        </w:rPr>
        <w:t>olumns (A) through (D))</w:t>
      </w:r>
      <w:r w:rsidRPr="00B912DC">
        <w:rPr>
          <w:rFonts w:ascii="Times New Roman" w:hAnsi="Times New Roman" w:cs="Times New Roman"/>
        </w:rPr>
        <w:t xml:space="preserve"> while business cases appear to succeed an additional </w:t>
      </w:r>
      <w:r w:rsidR="00DB15DD">
        <w:rPr>
          <w:rFonts w:ascii="Times New Roman" w:hAnsi="Times New Roman" w:cs="Times New Roman"/>
        </w:rPr>
        <w:t>5</w:t>
      </w:r>
      <w:r w:rsidR="00972F7B">
        <w:rPr>
          <w:rFonts w:ascii="Times New Roman" w:hAnsi="Times New Roman" w:cs="Times New Roman"/>
        </w:rPr>
        <w:t>%</w:t>
      </w:r>
      <w:r w:rsidR="00DB15DD">
        <w:rPr>
          <w:rFonts w:ascii="Times New Roman" w:hAnsi="Times New Roman" w:cs="Times New Roman"/>
        </w:rPr>
        <w:t xml:space="preserve"> to 8%</w:t>
      </w:r>
      <w:r w:rsidRPr="00B912DC">
        <w:rPr>
          <w:rFonts w:ascii="Times New Roman" w:hAnsi="Times New Roman" w:cs="Times New Roman"/>
        </w:rPr>
        <w:t xml:space="preserve"> of the time</w:t>
      </w:r>
      <w:r>
        <w:rPr>
          <w:rFonts w:ascii="Times New Roman" w:hAnsi="Times New Roman" w:cs="Times New Roman"/>
        </w:rPr>
        <w:t xml:space="preserve">. </w:t>
      </w:r>
      <w:r>
        <w:rPr>
          <w:rFonts w:ascii="Times New Roman" w:hAnsi="Times New Roman" w:cs="Times New Roman"/>
          <w:i/>
        </w:rPr>
        <w:t xml:space="preserve">See </w:t>
      </w:r>
      <w:r>
        <w:rPr>
          <w:rFonts w:ascii="Times New Roman" w:hAnsi="Times New Roman" w:cs="Times New Roman"/>
        </w:rPr>
        <w:t>Row (13)</w:t>
      </w:r>
      <w:r w:rsidRPr="00B912DC">
        <w:rPr>
          <w:rFonts w:ascii="Times New Roman" w:hAnsi="Times New Roman" w:cs="Times New Roman"/>
        </w:rPr>
        <w:t>. No</w:t>
      </w:r>
      <w:r>
        <w:rPr>
          <w:rFonts w:ascii="Times New Roman" w:hAnsi="Times New Roman" w:cs="Times New Roman"/>
        </w:rPr>
        <w:t>-</w:t>
      </w:r>
      <w:r w:rsidRPr="00B912DC">
        <w:rPr>
          <w:rFonts w:ascii="Times New Roman" w:hAnsi="Times New Roman" w:cs="Times New Roman"/>
        </w:rPr>
        <w:t>asset cases fail dramatically more often</w:t>
      </w:r>
      <w:r>
        <w:rPr>
          <w:rFonts w:ascii="Times New Roman" w:hAnsi="Times New Roman" w:cs="Times New Roman"/>
        </w:rPr>
        <w:t xml:space="preserve">. </w:t>
      </w:r>
      <w:r>
        <w:rPr>
          <w:rFonts w:ascii="Times New Roman" w:hAnsi="Times New Roman" w:cs="Times New Roman"/>
          <w:i/>
        </w:rPr>
        <w:t xml:space="preserve">See </w:t>
      </w:r>
      <w:r>
        <w:rPr>
          <w:rFonts w:ascii="Times New Roman" w:hAnsi="Times New Roman" w:cs="Times New Roman"/>
        </w:rPr>
        <w:t>Row (12)</w:t>
      </w:r>
      <w:r w:rsidRPr="00B912DC">
        <w:rPr>
          <w:rFonts w:ascii="Times New Roman" w:hAnsi="Times New Roman" w:cs="Times New Roman"/>
        </w:rPr>
        <w:t>. Attorney representation also seems to matter</w:t>
      </w:r>
      <w:r>
        <w:rPr>
          <w:rFonts w:ascii="Times New Roman" w:hAnsi="Times New Roman" w:cs="Times New Roman"/>
        </w:rPr>
        <w:t xml:space="preserve">. </w:t>
      </w:r>
      <w:r>
        <w:rPr>
          <w:rFonts w:ascii="Times New Roman" w:hAnsi="Times New Roman" w:cs="Times New Roman"/>
          <w:i/>
        </w:rPr>
        <w:t xml:space="preserve">See </w:t>
      </w:r>
      <w:r>
        <w:rPr>
          <w:rFonts w:ascii="Times New Roman" w:hAnsi="Times New Roman" w:cs="Times New Roman"/>
        </w:rPr>
        <w:t>Rows (6) through (10).</w:t>
      </w:r>
      <w:r w:rsidRPr="00B912DC">
        <w:rPr>
          <w:rFonts w:ascii="Times New Roman" w:hAnsi="Times New Roman" w:cs="Times New Roman"/>
        </w:rPr>
        <w:t xml:space="preserve"> Pro se cases had a much lower rate of success, and attorneys who rarely handle individual chapter 11 cases appear to have lower rates of success</w:t>
      </w:r>
      <w:r>
        <w:rPr>
          <w:rFonts w:ascii="Times New Roman" w:hAnsi="Times New Roman" w:cs="Times New Roman"/>
        </w:rPr>
        <w:t>,</w:t>
      </w:r>
      <w:r w:rsidRPr="00B912DC">
        <w:rPr>
          <w:rFonts w:ascii="Times New Roman" w:hAnsi="Times New Roman" w:cs="Times New Roman"/>
        </w:rPr>
        <w:t xml:space="preserve"> as well</w:t>
      </w:r>
      <w:r>
        <w:rPr>
          <w:rFonts w:ascii="Times New Roman" w:hAnsi="Times New Roman" w:cs="Times New Roman"/>
        </w:rPr>
        <w:t>. The coefficients on these variables should be interpreted as the success rate relative to those cases brought by attorneys with a high level of experience, as this is the omitted dummy variable</w:t>
      </w:r>
      <w:r w:rsidR="009C5468">
        <w:rPr>
          <w:rFonts w:ascii="Times New Roman" w:hAnsi="Times New Roman" w:cs="Times New Roman"/>
        </w:rPr>
        <w:t xml:space="preserve">. </w:t>
      </w:r>
      <w:r w:rsidR="00657A61">
        <w:rPr>
          <w:rFonts w:ascii="Times New Roman" w:hAnsi="Times New Roman" w:cs="Times New Roman"/>
        </w:rPr>
        <w:t>T</w:t>
      </w:r>
      <w:r w:rsidRPr="00B912DC">
        <w:rPr>
          <w:rFonts w:ascii="Times New Roman" w:hAnsi="Times New Roman" w:cs="Times New Roman"/>
        </w:rPr>
        <w:t xml:space="preserve">he </w:t>
      </w:r>
      <w:r>
        <w:rPr>
          <w:rFonts w:ascii="Times New Roman" w:hAnsi="Times New Roman" w:cs="Times New Roman"/>
        </w:rPr>
        <w:t>coefficient for attorneys with moderate experience is no longer significant</w:t>
      </w:r>
      <w:r w:rsidR="00657A61">
        <w:rPr>
          <w:rFonts w:ascii="Times New Roman" w:hAnsi="Times New Roman" w:cs="Times New Roman"/>
        </w:rPr>
        <w:t>, however,</w:t>
      </w:r>
      <w:r>
        <w:rPr>
          <w:rFonts w:ascii="Times New Roman" w:hAnsi="Times New Roman" w:cs="Times New Roman"/>
        </w:rPr>
        <w:t xml:space="preserve"> and is estimated at just 2% using the fixed-district effects model</w:t>
      </w:r>
      <w:r w:rsidRPr="00B912DC">
        <w:rPr>
          <w:rFonts w:ascii="Times New Roman" w:hAnsi="Times New Roman" w:cs="Times New Roman"/>
        </w:rPr>
        <w:t xml:space="preserve">. </w:t>
      </w:r>
      <w:r>
        <w:rPr>
          <w:rFonts w:ascii="Times New Roman" w:hAnsi="Times New Roman" w:cs="Times New Roman"/>
          <w:i/>
        </w:rPr>
        <w:t xml:space="preserve">Compare, e.g., </w:t>
      </w:r>
      <w:r>
        <w:rPr>
          <w:rFonts w:ascii="Times New Roman" w:hAnsi="Times New Roman" w:cs="Times New Roman"/>
        </w:rPr>
        <w:t xml:space="preserve">Column (B), Row (8) </w:t>
      </w:r>
      <w:r>
        <w:rPr>
          <w:rFonts w:ascii="Times New Roman" w:hAnsi="Times New Roman" w:cs="Times New Roman"/>
          <w:i/>
        </w:rPr>
        <w:t xml:space="preserve">with </w:t>
      </w:r>
      <w:r>
        <w:rPr>
          <w:rFonts w:ascii="Times New Roman" w:hAnsi="Times New Roman" w:cs="Times New Roman"/>
        </w:rPr>
        <w:t xml:space="preserve">Column (D), Row (8).  </w:t>
      </w:r>
      <w:r w:rsidRPr="00B912DC">
        <w:rPr>
          <w:rFonts w:ascii="Times New Roman" w:hAnsi="Times New Roman" w:cs="Times New Roman"/>
        </w:rPr>
        <w:t xml:space="preserve">This </w:t>
      </w:r>
      <w:r>
        <w:rPr>
          <w:rFonts w:ascii="Times New Roman" w:hAnsi="Times New Roman" w:cs="Times New Roman"/>
        </w:rPr>
        <w:t xml:space="preserve">finding </w:t>
      </w:r>
      <w:r w:rsidRPr="00B912DC">
        <w:rPr>
          <w:rFonts w:ascii="Times New Roman" w:hAnsi="Times New Roman" w:cs="Times New Roman"/>
        </w:rPr>
        <w:t>suggests that some of the difference in outcome between m</w:t>
      </w:r>
      <w:r>
        <w:rPr>
          <w:rFonts w:ascii="Times New Roman" w:hAnsi="Times New Roman" w:cs="Times New Roman"/>
        </w:rPr>
        <w:t>id-</w:t>
      </w:r>
      <w:r w:rsidRPr="00B912DC">
        <w:rPr>
          <w:rFonts w:ascii="Times New Roman" w:hAnsi="Times New Roman" w:cs="Times New Roman"/>
        </w:rPr>
        <w:t xml:space="preserve"> and high-volume attorneys may be attributable to differences in the districts where they practice.</w:t>
      </w:r>
      <w:r w:rsidRPr="00B912DC">
        <w:rPr>
          <w:rStyle w:val="FootnoteReference"/>
          <w:rFonts w:ascii="Times New Roman" w:hAnsi="Times New Roman" w:cs="Times New Roman"/>
        </w:rPr>
        <w:footnoteReference w:id="227"/>
      </w:r>
    </w:p>
    <w:p w14:paraId="739E1B3C" w14:textId="1033BB66" w:rsidR="00FC38D9" w:rsidRPr="005F7FD9" w:rsidRDefault="00FC38D9" w:rsidP="00FC38D9">
      <w:pPr>
        <w:pStyle w:val="ListParagraph"/>
        <w:numPr>
          <w:ilvl w:val="0"/>
          <w:numId w:val="19"/>
        </w:numPr>
        <w:spacing w:line="480" w:lineRule="auto"/>
        <w:ind w:left="720" w:hanging="720"/>
        <w:rPr>
          <w:rFonts w:ascii="Times New Roman" w:hAnsi="Times New Roman" w:cs="Times New Roman"/>
          <w:b/>
        </w:rPr>
      </w:pPr>
      <w:r>
        <w:rPr>
          <w:rFonts w:ascii="Times New Roman" w:hAnsi="Times New Roman" w:cs="Times New Roman"/>
          <w:b/>
        </w:rPr>
        <w:t xml:space="preserve">Debtor </w:t>
      </w:r>
      <w:r w:rsidR="00657A61">
        <w:rPr>
          <w:rFonts w:ascii="Times New Roman" w:hAnsi="Times New Roman" w:cs="Times New Roman"/>
          <w:b/>
        </w:rPr>
        <w:t>Success—</w:t>
      </w:r>
      <w:r w:rsidR="00CF2F91">
        <w:rPr>
          <w:rFonts w:ascii="Times New Roman" w:hAnsi="Times New Roman" w:cs="Times New Roman"/>
          <w:b/>
        </w:rPr>
        <w:t>T</w:t>
      </w:r>
      <w:r w:rsidRPr="005F7FD9">
        <w:rPr>
          <w:rFonts w:ascii="Times New Roman" w:hAnsi="Times New Roman" w:cs="Times New Roman"/>
          <w:b/>
        </w:rPr>
        <w:t>he Random Sample Data</w:t>
      </w:r>
    </w:p>
    <w:p w14:paraId="1387D279" w14:textId="2BDC60F0" w:rsidR="00FC38D9" w:rsidRDefault="00FC38D9" w:rsidP="00B32941">
      <w:pPr>
        <w:spacing w:line="480" w:lineRule="auto"/>
        <w:ind w:firstLine="720"/>
        <w:rPr>
          <w:rFonts w:ascii="Times New Roman" w:hAnsi="Times New Roman" w:cs="Times New Roman"/>
        </w:rPr>
      </w:pPr>
      <w:r>
        <w:rPr>
          <w:rFonts w:ascii="Times New Roman" w:hAnsi="Times New Roman" w:cs="Times New Roman"/>
        </w:rPr>
        <w:t xml:space="preserve">In this Section, we </w:t>
      </w:r>
      <w:r w:rsidR="002E6DCF">
        <w:rPr>
          <w:rFonts w:ascii="Times New Roman" w:hAnsi="Times New Roman" w:cs="Times New Roman"/>
        </w:rPr>
        <w:t xml:space="preserve">return to the question of how to measure success for individual chapter 11 debtors, but do so using the random sample data.  </w:t>
      </w:r>
      <w:r>
        <w:rPr>
          <w:rFonts w:ascii="Times New Roman" w:hAnsi="Times New Roman" w:cs="Times New Roman"/>
        </w:rPr>
        <w:t xml:space="preserve">In Section B.1, we </w:t>
      </w:r>
      <w:r w:rsidR="002E6DCF">
        <w:rPr>
          <w:rFonts w:ascii="Times New Roman" w:hAnsi="Times New Roman" w:cs="Times New Roman"/>
        </w:rPr>
        <w:t xml:space="preserve">develop three definitions </w:t>
      </w:r>
      <w:r w:rsidR="002F3E4E">
        <w:rPr>
          <w:rFonts w:ascii="Times New Roman" w:hAnsi="Times New Roman" w:cs="Times New Roman"/>
        </w:rPr>
        <w:t>of</w:t>
      </w:r>
      <w:r w:rsidR="002E6DCF">
        <w:rPr>
          <w:rFonts w:ascii="Times New Roman" w:hAnsi="Times New Roman" w:cs="Times New Roman"/>
        </w:rPr>
        <w:t xml:space="preserve"> success, and find</w:t>
      </w:r>
      <w:r w:rsidR="00972F7B">
        <w:rPr>
          <w:rFonts w:ascii="Times New Roman" w:hAnsi="Times New Roman" w:cs="Times New Roman"/>
        </w:rPr>
        <w:t>,</w:t>
      </w:r>
      <w:r>
        <w:rPr>
          <w:rFonts w:ascii="Times New Roman" w:hAnsi="Times New Roman" w:cs="Times New Roman"/>
        </w:rPr>
        <w:t xml:space="preserve"> depending on </w:t>
      </w:r>
      <w:r w:rsidR="009C5468">
        <w:rPr>
          <w:rFonts w:ascii="Times New Roman" w:hAnsi="Times New Roman" w:cs="Times New Roman"/>
        </w:rPr>
        <w:t>the applicable definition,</w:t>
      </w:r>
      <w:r>
        <w:rPr>
          <w:rFonts w:ascii="Times New Roman" w:hAnsi="Times New Roman" w:cs="Times New Roman"/>
        </w:rPr>
        <w:t xml:space="preserve"> </w:t>
      </w:r>
      <w:r w:rsidR="002F3E4E">
        <w:rPr>
          <w:rFonts w:ascii="Times New Roman" w:hAnsi="Times New Roman" w:cs="Times New Roman"/>
        </w:rPr>
        <w:t xml:space="preserve">that </w:t>
      </w:r>
      <w:r>
        <w:rPr>
          <w:rFonts w:ascii="Times New Roman" w:hAnsi="Times New Roman" w:cs="Times New Roman"/>
        </w:rPr>
        <w:t xml:space="preserve">between 36% and 42% of the random sample cases qualified as successes. </w:t>
      </w:r>
      <w:r w:rsidR="002E6DCF">
        <w:rPr>
          <w:rFonts w:ascii="Times New Roman" w:hAnsi="Times New Roman" w:cs="Times New Roman"/>
        </w:rPr>
        <w:t>In Section B.2, w</w:t>
      </w:r>
      <w:r>
        <w:rPr>
          <w:rFonts w:ascii="Times New Roman" w:hAnsi="Times New Roman" w:cs="Times New Roman"/>
        </w:rPr>
        <w:t>e examine the predictors of success</w:t>
      </w:r>
      <w:r w:rsidR="009C5468">
        <w:rPr>
          <w:rFonts w:ascii="Times New Roman" w:hAnsi="Times New Roman" w:cs="Times New Roman"/>
        </w:rPr>
        <w:t xml:space="preserve">. </w:t>
      </w:r>
      <w:r w:rsidR="00B32941">
        <w:rPr>
          <w:rFonts w:ascii="Times New Roman" w:hAnsi="Times New Roman" w:cs="Times New Roman"/>
        </w:rPr>
        <w:t xml:space="preserve">The limited size of our sample limits our ability to establish robust relationships, but we do find some evidence that is consistent with the findings </w:t>
      </w:r>
      <w:r w:rsidR="00B06764">
        <w:rPr>
          <w:rFonts w:ascii="Times New Roman" w:hAnsi="Times New Roman" w:cs="Times New Roman"/>
        </w:rPr>
        <w:t>from</w:t>
      </w:r>
      <w:r w:rsidR="003E3443">
        <w:rPr>
          <w:rFonts w:ascii="Times New Roman" w:hAnsi="Times New Roman" w:cs="Times New Roman"/>
        </w:rPr>
        <w:t xml:space="preserve"> the P</w:t>
      </w:r>
      <w:r w:rsidR="00751067">
        <w:rPr>
          <w:rFonts w:ascii="Times New Roman" w:hAnsi="Times New Roman" w:cs="Times New Roman"/>
        </w:rPr>
        <w:t>A</w:t>
      </w:r>
      <w:r w:rsidR="00972F7B">
        <w:rPr>
          <w:rFonts w:ascii="Times New Roman" w:hAnsi="Times New Roman" w:cs="Times New Roman"/>
        </w:rPr>
        <w:t>CER</w:t>
      </w:r>
      <w:r w:rsidR="003E3443">
        <w:rPr>
          <w:rFonts w:ascii="Times New Roman" w:hAnsi="Times New Roman" w:cs="Times New Roman"/>
        </w:rPr>
        <w:t xml:space="preserve"> data</w:t>
      </w:r>
      <w:r w:rsidR="00B06764">
        <w:rPr>
          <w:rFonts w:ascii="Times New Roman" w:hAnsi="Times New Roman" w:cs="Times New Roman"/>
        </w:rPr>
        <w:t>.</w:t>
      </w:r>
      <w:r w:rsidR="003E3443">
        <w:rPr>
          <w:rStyle w:val="FootnoteReference"/>
          <w:rFonts w:ascii="Times New Roman" w:hAnsi="Times New Roman" w:cs="Times New Roman"/>
        </w:rPr>
        <w:footnoteReference w:id="228"/>
      </w:r>
      <w:r w:rsidR="00B32941">
        <w:rPr>
          <w:rFonts w:ascii="Times New Roman" w:hAnsi="Times New Roman" w:cs="Times New Roman"/>
        </w:rPr>
        <w:t xml:space="preserve"> </w:t>
      </w:r>
      <w:r>
        <w:rPr>
          <w:rFonts w:ascii="Times New Roman" w:hAnsi="Times New Roman" w:cs="Times New Roman"/>
        </w:rPr>
        <w:t xml:space="preserve">Finally, in Section B.3, we present more direct evidence of the impact of the absolute priority rule on case outcome.  </w:t>
      </w:r>
    </w:p>
    <w:p w14:paraId="5CA2213B" w14:textId="77777777" w:rsidR="00FC38D9" w:rsidRPr="00F951E5" w:rsidRDefault="00FC38D9" w:rsidP="00335C21">
      <w:pPr>
        <w:pStyle w:val="ListParagraph"/>
        <w:numPr>
          <w:ilvl w:val="0"/>
          <w:numId w:val="24"/>
        </w:numPr>
        <w:spacing w:line="480" w:lineRule="auto"/>
        <w:ind w:left="720"/>
        <w:rPr>
          <w:rFonts w:ascii="Times New Roman" w:hAnsi="Times New Roman" w:cs="Times New Roman"/>
          <w:i/>
        </w:rPr>
      </w:pPr>
      <w:r w:rsidRPr="00F951E5">
        <w:rPr>
          <w:rFonts w:ascii="Times New Roman" w:hAnsi="Times New Roman" w:cs="Times New Roman"/>
          <w:i/>
        </w:rPr>
        <w:t>Defining Success</w:t>
      </w:r>
    </w:p>
    <w:p w14:paraId="52E1B3E4" w14:textId="3F40424A" w:rsidR="00FC38D9" w:rsidRPr="00F43406" w:rsidRDefault="00FC38D9" w:rsidP="00FC38D9">
      <w:pPr>
        <w:spacing w:line="480" w:lineRule="auto"/>
        <w:ind w:firstLine="720"/>
        <w:rPr>
          <w:rFonts w:ascii="Times New Roman" w:hAnsi="Times New Roman" w:cs="Times New Roman"/>
          <w:i/>
        </w:rPr>
      </w:pPr>
      <w:r w:rsidRPr="00F43406">
        <w:rPr>
          <w:rFonts w:ascii="Times New Roman" w:hAnsi="Times New Roman" w:cs="Times New Roman"/>
        </w:rPr>
        <w:t xml:space="preserve">In </w:t>
      </w:r>
      <w:r>
        <w:rPr>
          <w:rFonts w:ascii="Times New Roman" w:hAnsi="Times New Roman" w:cs="Times New Roman"/>
        </w:rPr>
        <w:t xml:space="preserve">Section </w:t>
      </w:r>
      <w:r w:rsidR="00B06764">
        <w:rPr>
          <w:rFonts w:ascii="Times New Roman" w:hAnsi="Times New Roman" w:cs="Times New Roman"/>
        </w:rPr>
        <w:t>IV.</w:t>
      </w:r>
      <w:r w:rsidRPr="00F43406">
        <w:rPr>
          <w:rFonts w:ascii="Times New Roman" w:hAnsi="Times New Roman" w:cs="Times New Roman"/>
        </w:rPr>
        <w:t xml:space="preserve">A, we defined success </w:t>
      </w:r>
      <w:r>
        <w:rPr>
          <w:rFonts w:ascii="Times New Roman" w:hAnsi="Times New Roman" w:cs="Times New Roman"/>
        </w:rPr>
        <w:t xml:space="preserve">to include any case in which the debtor received a discharge or </w:t>
      </w:r>
      <w:r w:rsidRPr="00F43406">
        <w:rPr>
          <w:rFonts w:ascii="Times New Roman" w:hAnsi="Times New Roman" w:cs="Times New Roman"/>
        </w:rPr>
        <w:t>avoid</w:t>
      </w:r>
      <w:r>
        <w:rPr>
          <w:rFonts w:ascii="Times New Roman" w:hAnsi="Times New Roman" w:cs="Times New Roman"/>
        </w:rPr>
        <w:t>ed</w:t>
      </w:r>
      <w:r w:rsidRPr="00F43406">
        <w:rPr>
          <w:rFonts w:ascii="Times New Roman" w:hAnsi="Times New Roman" w:cs="Times New Roman"/>
        </w:rPr>
        <w:t xml:space="preserve"> dismissal or conversion for 545 days</w:t>
      </w:r>
      <w:r>
        <w:rPr>
          <w:rFonts w:ascii="Times New Roman" w:hAnsi="Times New Roman" w:cs="Times New Roman"/>
        </w:rPr>
        <w:t>. We used this definition because the PACER case reports do not include information on plan proposal or confirmation. For the random sample cases, however, we had access to the dockets and hand-coded each case, which provided rich information about plan proposal, time to disposition, plan confirmation, and plan failure. Thus, i</w:t>
      </w:r>
      <w:r w:rsidRPr="00F43406">
        <w:rPr>
          <w:rFonts w:ascii="Times New Roman" w:hAnsi="Times New Roman" w:cs="Times New Roman"/>
        </w:rPr>
        <w:t>n</w:t>
      </w:r>
      <w:r>
        <w:rPr>
          <w:rFonts w:ascii="Times New Roman" w:hAnsi="Times New Roman" w:cs="Times New Roman"/>
        </w:rPr>
        <w:t xml:space="preserve"> </w:t>
      </w:r>
      <w:r w:rsidRPr="00F43406">
        <w:rPr>
          <w:rFonts w:ascii="Times New Roman" w:hAnsi="Times New Roman" w:cs="Times New Roman"/>
        </w:rPr>
        <w:t xml:space="preserve">this </w:t>
      </w:r>
      <w:r>
        <w:rPr>
          <w:rFonts w:ascii="Times New Roman" w:hAnsi="Times New Roman" w:cs="Times New Roman"/>
        </w:rPr>
        <w:t>section</w:t>
      </w:r>
      <w:r w:rsidRPr="00F43406">
        <w:rPr>
          <w:rFonts w:ascii="Times New Roman" w:hAnsi="Times New Roman" w:cs="Times New Roman"/>
        </w:rPr>
        <w:t xml:space="preserve">, we use three different measures of </w:t>
      </w:r>
      <w:r w:rsidR="009E5F6E">
        <w:rPr>
          <w:rFonts w:ascii="Times New Roman" w:hAnsi="Times New Roman" w:cs="Times New Roman"/>
        </w:rPr>
        <w:t>success—</w:t>
      </w:r>
      <w:r w:rsidRPr="00F43406">
        <w:rPr>
          <w:rFonts w:ascii="Times New Roman" w:hAnsi="Times New Roman" w:cs="Times New Roman"/>
          <w:i/>
        </w:rPr>
        <w:t xml:space="preserve">survive, confirm, </w:t>
      </w:r>
      <w:r w:rsidRPr="00A82B81">
        <w:rPr>
          <w:rFonts w:ascii="Times New Roman" w:hAnsi="Times New Roman" w:cs="Times New Roman"/>
        </w:rPr>
        <w:t>and</w:t>
      </w:r>
      <w:r w:rsidRPr="00F43406">
        <w:rPr>
          <w:rFonts w:ascii="Times New Roman" w:hAnsi="Times New Roman" w:cs="Times New Roman"/>
          <w:i/>
        </w:rPr>
        <w:t xml:space="preserve"> </w:t>
      </w:r>
      <w:r w:rsidR="00C66C3A">
        <w:rPr>
          <w:rFonts w:ascii="Times New Roman" w:hAnsi="Times New Roman" w:cs="Times New Roman"/>
          <w:i/>
        </w:rPr>
        <w:t>s</w:t>
      </w:r>
      <w:r w:rsidR="004A7CAE">
        <w:rPr>
          <w:rFonts w:ascii="Times New Roman" w:hAnsi="Times New Roman" w:cs="Times New Roman"/>
          <w:i/>
        </w:rPr>
        <w:t>&amp;c (survive and confirm)</w:t>
      </w:r>
      <w:r w:rsidR="005E055B">
        <w:rPr>
          <w:rFonts w:ascii="Times New Roman" w:hAnsi="Times New Roman" w:cs="Times New Roman"/>
          <w:i/>
        </w:rPr>
        <w:t>.</w:t>
      </w:r>
      <w:r w:rsidRPr="00F43406">
        <w:rPr>
          <w:rFonts w:ascii="Times New Roman" w:hAnsi="Times New Roman" w:cs="Times New Roman"/>
        </w:rPr>
        <w:t xml:space="preserve">  </w:t>
      </w:r>
    </w:p>
    <w:p w14:paraId="37BF1B67" w14:textId="2DBD5D18" w:rsidR="00FC38D9" w:rsidRPr="00F43406" w:rsidRDefault="00FC38D9" w:rsidP="00FC38D9">
      <w:pPr>
        <w:spacing w:line="480" w:lineRule="auto"/>
        <w:ind w:firstLine="720"/>
        <w:rPr>
          <w:rFonts w:ascii="Times New Roman" w:hAnsi="Times New Roman" w:cs="Times New Roman"/>
          <w:i/>
        </w:rPr>
      </w:pPr>
      <w:r>
        <w:rPr>
          <w:rFonts w:ascii="Times New Roman" w:hAnsi="Times New Roman" w:cs="Times New Roman"/>
          <w:i/>
        </w:rPr>
        <w:t>S</w:t>
      </w:r>
      <w:r w:rsidRPr="00F43406">
        <w:rPr>
          <w:rFonts w:ascii="Times New Roman" w:hAnsi="Times New Roman" w:cs="Times New Roman"/>
          <w:i/>
        </w:rPr>
        <w:t>urvive</w:t>
      </w:r>
      <w:r w:rsidRPr="00F43406">
        <w:rPr>
          <w:rFonts w:ascii="Times New Roman" w:hAnsi="Times New Roman" w:cs="Times New Roman"/>
        </w:rPr>
        <w:t>,</w:t>
      </w:r>
      <w:r>
        <w:rPr>
          <w:rFonts w:ascii="Times New Roman" w:hAnsi="Times New Roman" w:cs="Times New Roman"/>
        </w:rPr>
        <w:t xml:space="preserve"> the first measure, most closely resembles the measure of success used for the PACER data. W</w:t>
      </w:r>
      <w:r w:rsidRPr="00F43406">
        <w:rPr>
          <w:rFonts w:ascii="Times New Roman" w:hAnsi="Times New Roman" w:cs="Times New Roman"/>
        </w:rPr>
        <w:t xml:space="preserve">e </w:t>
      </w:r>
      <w:r>
        <w:rPr>
          <w:rFonts w:ascii="Times New Roman" w:hAnsi="Times New Roman" w:cs="Times New Roman"/>
        </w:rPr>
        <w:t xml:space="preserve">included in the </w:t>
      </w:r>
      <w:r>
        <w:rPr>
          <w:rFonts w:ascii="Times New Roman" w:hAnsi="Times New Roman" w:cs="Times New Roman"/>
          <w:i/>
        </w:rPr>
        <w:t xml:space="preserve">survive </w:t>
      </w:r>
      <w:r>
        <w:rPr>
          <w:rFonts w:ascii="Times New Roman" w:hAnsi="Times New Roman" w:cs="Times New Roman"/>
        </w:rPr>
        <w:t xml:space="preserve">count </w:t>
      </w:r>
      <w:r w:rsidRPr="00F43406">
        <w:rPr>
          <w:rFonts w:ascii="Times New Roman" w:hAnsi="Times New Roman" w:cs="Times New Roman"/>
        </w:rPr>
        <w:t>any case in which there was neither an ord</w:t>
      </w:r>
      <w:r>
        <w:rPr>
          <w:rFonts w:ascii="Times New Roman" w:hAnsi="Times New Roman" w:cs="Times New Roman"/>
        </w:rPr>
        <w:t xml:space="preserve">er of conversion nor dismissal </w:t>
      </w:r>
      <w:r w:rsidRPr="00F43406">
        <w:rPr>
          <w:rFonts w:ascii="Times New Roman" w:hAnsi="Times New Roman" w:cs="Times New Roman"/>
        </w:rPr>
        <w:t>for at least 881 days, or the time between December 31, 2013 (the last day that one of our cases could have been filed) and June 1, 2016 (the date that we chose for closing the study). This definition is imperfect. For example, a few of the random sample cases languished in bankruptcy at least this long with</w:t>
      </w:r>
      <w:r w:rsidR="00972F7B">
        <w:rPr>
          <w:rFonts w:ascii="Times New Roman" w:hAnsi="Times New Roman" w:cs="Times New Roman"/>
        </w:rPr>
        <w:t xml:space="preserve"> neither</w:t>
      </w:r>
      <w:r w:rsidRPr="00F43406">
        <w:rPr>
          <w:rFonts w:ascii="Times New Roman" w:hAnsi="Times New Roman" w:cs="Times New Roman"/>
        </w:rPr>
        <w:t xml:space="preserve"> a confirmed plan</w:t>
      </w:r>
      <w:r w:rsidR="00972F7B">
        <w:rPr>
          <w:rFonts w:ascii="Times New Roman" w:hAnsi="Times New Roman" w:cs="Times New Roman"/>
        </w:rPr>
        <w:t xml:space="preserve"> nor</w:t>
      </w:r>
      <w:r w:rsidRPr="00F43406">
        <w:rPr>
          <w:rFonts w:ascii="Times New Roman" w:hAnsi="Times New Roman" w:cs="Times New Roman"/>
        </w:rPr>
        <w:t xml:space="preserve"> an order of conversion or dismissal.</w:t>
      </w:r>
      <w:r w:rsidRPr="00B912DC">
        <w:rPr>
          <w:rStyle w:val="FootnoteReference"/>
          <w:rFonts w:ascii="Times New Roman" w:hAnsi="Times New Roman" w:cs="Times New Roman"/>
        </w:rPr>
        <w:footnoteReference w:id="229"/>
      </w:r>
      <w:r w:rsidRPr="00F43406">
        <w:rPr>
          <w:rFonts w:ascii="Times New Roman" w:hAnsi="Times New Roman" w:cs="Times New Roman"/>
        </w:rPr>
        <w:t xml:space="preserve"> We defined the second measure</w:t>
      </w:r>
      <w:r>
        <w:rPr>
          <w:rFonts w:ascii="Times New Roman" w:hAnsi="Times New Roman" w:cs="Times New Roman"/>
        </w:rPr>
        <w:t>,</w:t>
      </w:r>
      <w:r w:rsidRPr="00F43406">
        <w:rPr>
          <w:rFonts w:ascii="Times New Roman" w:hAnsi="Times New Roman" w:cs="Times New Roman"/>
        </w:rPr>
        <w:t xml:space="preserve"> </w:t>
      </w:r>
      <w:r w:rsidRPr="00F43406">
        <w:rPr>
          <w:rFonts w:ascii="Times New Roman" w:hAnsi="Times New Roman" w:cs="Times New Roman"/>
          <w:i/>
        </w:rPr>
        <w:t>confirm</w:t>
      </w:r>
      <w:r>
        <w:rPr>
          <w:rFonts w:ascii="Times New Roman" w:hAnsi="Times New Roman" w:cs="Times New Roman"/>
          <w:i/>
        </w:rPr>
        <w:t>,</w:t>
      </w:r>
      <w:r w:rsidRPr="00F43406">
        <w:rPr>
          <w:rFonts w:ascii="Times New Roman" w:hAnsi="Times New Roman" w:cs="Times New Roman"/>
        </w:rPr>
        <w:t xml:space="preserve"> to include any case in which the bankruptcy court confirmed a plan of reorganization. </w:t>
      </w:r>
      <w:r w:rsidR="009E5F6E">
        <w:rPr>
          <w:rFonts w:ascii="Times New Roman" w:hAnsi="Times New Roman" w:cs="Times New Roman"/>
        </w:rPr>
        <w:t xml:space="preserve">A </w:t>
      </w:r>
      <w:r>
        <w:rPr>
          <w:rFonts w:ascii="Times New Roman" w:hAnsi="Times New Roman" w:cs="Times New Roman"/>
        </w:rPr>
        <w:t>bankruptcy court</w:t>
      </w:r>
      <w:r w:rsidR="009E5F6E">
        <w:rPr>
          <w:rFonts w:ascii="Times New Roman" w:hAnsi="Times New Roman" w:cs="Times New Roman"/>
        </w:rPr>
        <w:t>, however,</w:t>
      </w:r>
      <w:r>
        <w:rPr>
          <w:rFonts w:ascii="Times New Roman" w:hAnsi="Times New Roman" w:cs="Times New Roman"/>
        </w:rPr>
        <w:t xml:space="preserve"> can convert or dismiss an </w:t>
      </w:r>
      <w:r w:rsidRPr="00F43406">
        <w:rPr>
          <w:rFonts w:ascii="Times New Roman" w:hAnsi="Times New Roman" w:cs="Times New Roman"/>
        </w:rPr>
        <w:t xml:space="preserve">individual chapter 11 case after confirmation if the debtor stops making </w:t>
      </w:r>
      <w:r>
        <w:rPr>
          <w:rFonts w:ascii="Times New Roman" w:hAnsi="Times New Roman" w:cs="Times New Roman"/>
        </w:rPr>
        <w:t xml:space="preserve">plan </w:t>
      </w:r>
      <w:r w:rsidRPr="00F43406">
        <w:rPr>
          <w:rFonts w:ascii="Times New Roman" w:hAnsi="Times New Roman" w:cs="Times New Roman"/>
        </w:rPr>
        <w:t>payments.</w:t>
      </w:r>
      <w:r w:rsidRPr="00B912DC">
        <w:rPr>
          <w:rStyle w:val="FootnoteReference"/>
          <w:rFonts w:ascii="Times New Roman" w:hAnsi="Times New Roman" w:cs="Times New Roman"/>
        </w:rPr>
        <w:footnoteReference w:id="230"/>
      </w:r>
      <w:r w:rsidRPr="00F43406">
        <w:rPr>
          <w:rFonts w:ascii="Times New Roman" w:hAnsi="Times New Roman" w:cs="Times New Roman"/>
        </w:rPr>
        <w:t xml:space="preserve"> Our preferred definition combines these two measures. Thus, our third variable</w:t>
      </w:r>
      <w:r>
        <w:rPr>
          <w:rFonts w:ascii="Times New Roman" w:hAnsi="Times New Roman" w:cs="Times New Roman"/>
        </w:rPr>
        <w:t>,</w:t>
      </w:r>
      <w:r w:rsidRPr="00F43406">
        <w:rPr>
          <w:rFonts w:ascii="Times New Roman" w:hAnsi="Times New Roman" w:cs="Times New Roman"/>
        </w:rPr>
        <w:t xml:space="preserve"> </w:t>
      </w:r>
      <w:r w:rsidR="00C66C3A" w:rsidRPr="009C5468">
        <w:rPr>
          <w:rFonts w:ascii="Times New Roman" w:hAnsi="Times New Roman" w:cs="Times New Roman"/>
          <w:i/>
        </w:rPr>
        <w:t>s</w:t>
      </w:r>
      <w:r w:rsidR="004A7CAE">
        <w:rPr>
          <w:rFonts w:ascii="Times New Roman" w:hAnsi="Times New Roman" w:cs="Times New Roman"/>
          <w:i/>
        </w:rPr>
        <w:t>&amp;c</w:t>
      </w:r>
      <w:r>
        <w:rPr>
          <w:rFonts w:ascii="Times New Roman" w:hAnsi="Times New Roman" w:cs="Times New Roman"/>
          <w:i/>
        </w:rPr>
        <w:t>,</w:t>
      </w:r>
      <w:r w:rsidRPr="00F43406">
        <w:rPr>
          <w:rFonts w:ascii="Times New Roman" w:hAnsi="Times New Roman" w:cs="Times New Roman"/>
          <w:i/>
        </w:rPr>
        <w:t xml:space="preserve"> </w:t>
      </w:r>
      <w:r w:rsidRPr="00F43406">
        <w:rPr>
          <w:rFonts w:ascii="Times New Roman" w:hAnsi="Times New Roman" w:cs="Times New Roman"/>
        </w:rPr>
        <w:t>captures any case in which the bankruptcy court confirmed a plan and did not enter an order of conversion or dismissal for the 881-day period starting December 31, 2013.</w:t>
      </w:r>
      <w:r w:rsidRPr="00F43406">
        <w:rPr>
          <w:rFonts w:ascii="Times New Roman" w:hAnsi="Times New Roman" w:cs="Times New Roman"/>
          <w:i/>
        </w:rPr>
        <w:t xml:space="preserve"> </w:t>
      </w:r>
    </w:p>
    <w:p w14:paraId="398B15A3" w14:textId="616A9D34" w:rsidR="00FC38D9" w:rsidRPr="00741D07" w:rsidRDefault="00FC38D9" w:rsidP="00972F7B">
      <w:pPr>
        <w:keepNext/>
        <w:keepLines/>
        <w:spacing w:line="480" w:lineRule="auto"/>
        <w:ind w:left="720"/>
        <w:jc w:val="center"/>
        <w:rPr>
          <w:rFonts w:ascii="Times New Roman" w:hAnsi="Times New Roman" w:cs="Times New Roman"/>
          <w:b/>
        </w:rPr>
      </w:pPr>
      <w:r w:rsidRPr="00741D07">
        <w:rPr>
          <w:rFonts w:ascii="Times New Roman" w:hAnsi="Times New Roman" w:cs="Times New Roman"/>
          <w:b/>
        </w:rPr>
        <w:t xml:space="preserve">Table </w:t>
      </w:r>
      <w:r w:rsidR="00DB4EAD">
        <w:rPr>
          <w:rFonts w:ascii="Times New Roman" w:hAnsi="Times New Roman" w:cs="Times New Roman"/>
          <w:b/>
        </w:rPr>
        <w:t>46</w:t>
      </w:r>
      <w:r w:rsidRPr="00741D07">
        <w:rPr>
          <w:rFonts w:ascii="Times New Roman" w:hAnsi="Times New Roman" w:cs="Times New Roman"/>
          <w:b/>
        </w:rPr>
        <w:t>: Random Sample Data Success Rates</w:t>
      </w:r>
    </w:p>
    <w:tbl>
      <w:tblPr>
        <w:tblStyle w:val="TableGrid"/>
        <w:tblW w:w="0" w:type="auto"/>
        <w:tblInd w:w="918" w:type="dxa"/>
        <w:tblLook w:val="04A0" w:firstRow="1" w:lastRow="0" w:firstColumn="1" w:lastColumn="0" w:noHBand="0" w:noVBand="1"/>
      </w:tblPr>
      <w:tblGrid>
        <w:gridCol w:w="3870"/>
        <w:gridCol w:w="3330"/>
      </w:tblGrid>
      <w:tr w:rsidR="00FC38D9" w14:paraId="43CF4DCB" w14:textId="77777777" w:rsidTr="00003007">
        <w:tc>
          <w:tcPr>
            <w:tcW w:w="3870" w:type="dxa"/>
            <w:tcBorders>
              <w:top w:val="nil"/>
              <w:left w:val="nil"/>
              <w:right w:val="single" w:sz="18" w:space="0" w:color="auto"/>
            </w:tcBorders>
          </w:tcPr>
          <w:p w14:paraId="27C9D22D" w14:textId="77777777" w:rsidR="00FC38D9" w:rsidRDefault="00FC38D9" w:rsidP="00972F7B">
            <w:pPr>
              <w:keepNext/>
              <w:keepLines/>
              <w:jc w:val="center"/>
              <w:rPr>
                <w:rFonts w:ascii="Times New Roman" w:hAnsi="Times New Roman" w:cs="Times New Roman"/>
              </w:rPr>
            </w:pPr>
          </w:p>
        </w:tc>
        <w:tc>
          <w:tcPr>
            <w:tcW w:w="3330" w:type="dxa"/>
            <w:tcBorders>
              <w:top w:val="single" w:sz="18" w:space="0" w:color="auto"/>
              <w:left w:val="single" w:sz="18" w:space="0" w:color="auto"/>
              <w:bottom w:val="single" w:sz="18" w:space="0" w:color="auto"/>
              <w:right w:val="single" w:sz="18" w:space="0" w:color="auto"/>
            </w:tcBorders>
          </w:tcPr>
          <w:p w14:paraId="0490D886" w14:textId="77777777" w:rsidR="00FC38D9" w:rsidRDefault="00FC38D9" w:rsidP="00972F7B">
            <w:pPr>
              <w:keepNext/>
              <w:keepLines/>
              <w:jc w:val="center"/>
              <w:rPr>
                <w:rFonts w:ascii="Times New Roman" w:hAnsi="Times New Roman" w:cs="Times New Roman"/>
              </w:rPr>
            </w:pPr>
            <w:r>
              <w:rPr>
                <w:rFonts w:ascii="Times New Roman" w:hAnsi="Times New Roman" w:cs="Times New Roman"/>
              </w:rPr>
              <w:t>Percentage of Cases</w:t>
            </w:r>
          </w:p>
        </w:tc>
      </w:tr>
      <w:tr w:rsidR="00FC38D9" w14:paraId="2C91C14A" w14:textId="77777777" w:rsidTr="00003007">
        <w:tc>
          <w:tcPr>
            <w:tcW w:w="3870" w:type="dxa"/>
            <w:tcBorders>
              <w:right w:val="single" w:sz="18" w:space="0" w:color="auto"/>
            </w:tcBorders>
          </w:tcPr>
          <w:p w14:paraId="02E838AB" w14:textId="77777777" w:rsidR="00FC38D9" w:rsidRPr="005F7FD9" w:rsidRDefault="00FC38D9" w:rsidP="00972F7B">
            <w:pPr>
              <w:keepNext/>
              <w:keepLines/>
              <w:jc w:val="center"/>
              <w:rPr>
                <w:rFonts w:ascii="Times New Roman" w:hAnsi="Times New Roman" w:cs="Times New Roman"/>
                <w:i/>
              </w:rPr>
            </w:pPr>
            <w:r w:rsidRPr="00400086">
              <w:rPr>
                <w:rFonts w:ascii="Times New Roman" w:hAnsi="Times New Roman" w:cs="Times New Roman"/>
                <w:i/>
              </w:rPr>
              <w:t>Survive</w:t>
            </w:r>
          </w:p>
        </w:tc>
        <w:tc>
          <w:tcPr>
            <w:tcW w:w="3330" w:type="dxa"/>
            <w:tcBorders>
              <w:top w:val="single" w:sz="18" w:space="0" w:color="auto"/>
              <w:left w:val="single" w:sz="18" w:space="0" w:color="auto"/>
              <w:right w:val="single" w:sz="18" w:space="0" w:color="auto"/>
            </w:tcBorders>
          </w:tcPr>
          <w:p w14:paraId="21D2BC62" w14:textId="079FCEF2" w:rsidR="00FC38D9" w:rsidRDefault="00FC38D9" w:rsidP="00972F7B">
            <w:pPr>
              <w:keepNext/>
              <w:keepLines/>
              <w:jc w:val="center"/>
              <w:rPr>
                <w:rFonts w:ascii="Times New Roman" w:hAnsi="Times New Roman" w:cs="Times New Roman"/>
              </w:rPr>
            </w:pPr>
            <w:r>
              <w:rPr>
                <w:rFonts w:ascii="Times New Roman" w:hAnsi="Times New Roman" w:cs="Times New Roman"/>
              </w:rPr>
              <w:t>41.</w:t>
            </w:r>
            <w:r w:rsidR="001B234D">
              <w:rPr>
                <w:rFonts w:ascii="Times New Roman" w:hAnsi="Times New Roman" w:cs="Times New Roman"/>
              </w:rPr>
              <w:t>26</w:t>
            </w:r>
            <w:r>
              <w:rPr>
                <w:rFonts w:ascii="Times New Roman" w:hAnsi="Times New Roman" w:cs="Times New Roman"/>
              </w:rPr>
              <w:t>%</w:t>
            </w:r>
          </w:p>
        </w:tc>
      </w:tr>
      <w:tr w:rsidR="00FC38D9" w14:paraId="232A64C6" w14:textId="77777777" w:rsidTr="00003007">
        <w:tc>
          <w:tcPr>
            <w:tcW w:w="3870" w:type="dxa"/>
            <w:tcBorders>
              <w:right w:val="single" w:sz="18" w:space="0" w:color="auto"/>
            </w:tcBorders>
          </w:tcPr>
          <w:p w14:paraId="6EB0FB83" w14:textId="77777777" w:rsidR="00FC38D9" w:rsidRPr="005F7FD9" w:rsidRDefault="00FC38D9" w:rsidP="00972F7B">
            <w:pPr>
              <w:keepNext/>
              <w:keepLines/>
              <w:jc w:val="center"/>
              <w:rPr>
                <w:rFonts w:ascii="Times New Roman" w:hAnsi="Times New Roman" w:cs="Times New Roman"/>
                <w:i/>
              </w:rPr>
            </w:pPr>
            <w:r w:rsidRPr="005F7FD9">
              <w:rPr>
                <w:rFonts w:ascii="Times New Roman" w:hAnsi="Times New Roman" w:cs="Times New Roman"/>
                <w:i/>
              </w:rPr>
              <w:t>Confirm</w:t>
            </w:r>
          </w:p>
        </w:tc>
        <w:tc>
          <w:tcPr>
            <w:tcW w:w="3330" w:type="dxa"/>
            <w:tcBorders>
              <w:left w:val="single" w:sz="18" w:space="0" w:color="auto"/>
              <w:right w:val="single" w:sz="18" w:space="0" w:color="auto"/>
            </w:tcBorders>
          </w:tcPr>
          <w:p w14:paraId="16ADC34F" w14:textId="77777777" w:rsidR="00FC38D9" w:rsidRDefault="00FC38D9" w:rsidP="00972F7B">
            <w:pPr>
              <w:keepNext/>
              <w:keepLines/>
              <w:jc w:val="center"/>
              <w:rPr>
                <w:rFonts w:ascii="Times New Roman" w:hAnsi="Times New Roman" w:cs="Times New Roman"/>
              </w:rPr>
            </w:pPr>
            <w:r>
              <w:rPr>
                <w:rFonts w:ascii="Times New Roman" w:hAnsi="Times New Roman" w:cs="Times New Roman"/>
              </w:rPr>
              <w:t>38.57%</w:t>
            </w:r>
          </w:p>
        </w:tc>
      </w:tr>
      <w:tr w:rsidR="00FC38D9" w14:paraId="74525335" w14:textId="77777777" w:rsidTr="00003007">
        <w:tc>
          <w:tcPr>
            <w:tcW w:w="3870" w:type="dxa"/>
            <w:tcBorders>
              <w:right w:val="single" w:sz="18" w:space="0" w:color="auto"/>
            </w:tcBorders>
          </w:tcPr>
          <w:p w14:paraId="2C68C6D0" w14:textId="06BE9C0C" w:rsidR="00FC38D9" w:rsidRPr="005F7FD9" w:rsidRDefault="00C66C3A" w:rsidP="00C66C3A">
            <w:pPr>
              <w:keepNext/>
              <w:keepLines/>
              <w:jc w:val="center"/>
              <w:rPr>
                <w:rFonts w:ascii="Times New Roman" w:hAnsi="Times New Roman" w:cs="Times New Roman"/>
                <w:i/>
              </w:rPr>
            </w:pPr>
            <w:r>
              <w:rPr>
                <w:rFonts w:ascii="Times New Roman" w:hAnsi="Times New Roman" w:cs="Times New Roman"/>
                <w:i/>
              </w:rPr>
              <w:t>S&amp;</w:t>
            </w:r>
            <w:r w:rsidR="00037707">
              <w:rPr>
                <w:rFonts w:ascii="Times New Roman" w:hAnsi="Times New Roman" w:cs="Times New Roman"/>
                <w:i/>
              </w:rPr>
              <w:t>C</w:t>
            </w:r>
          </w:p>
        </w:tc>
        <w:tc>
          <w:tcPr>
            <w:tcW w:w="3330" w:type="dxa"/>
            <w:tcBorders>
              <w:left w:val="single" w:sz="18" w:space="0" w:color="auto"/>
              <w:right w:val="single" w:sz="18" w:space="0" w:color="auto"/>
            </w:tcBorders>
          </w:tcPr>
          <w:p w14:paraId="4A9FECF5" w14:textId="77777777" w:rsidR="00FC38D9" w:rsidRDefault="00FC38D9" w:rsidP="00972F7B">
            <w:pPr>
              <w:keepNext/>
              <w:keepLines/>
              <w:jc w:val="center"/>
              <w:rPr>
                <w:rFonts w:ascii="Times New Roman" w:hAnsi="Times New Roman" w:cs="Times New Roman"/>
              </w:rPr>
            </w:pPr>
            <w:r>
              <w:rPr>
                <w:rFonts w:ascii="Times New Roman" w:hAnsi="Times New Roman" w:cs="Times New Roman"/>
              </w:rPr>
              <w:t>35.87%</w:t>
            </w:r>
          </w:p>
        </w:tc>
      </w:tr>
    </w:tbl>
    <w:p w14:paraId="154F2127" w14:textId="77777777" w:rsidR="00FC38D9" w:rsidRPr="00F43406" w:rsidRDefault="00FC38D9" w:rsidP="00FC38D9">
      <w:pPr>
        <w:pStyle w:val="ListParagraph"/>
        <w:spacing w:line="480" w:lineRule="auto"/>
        <w:ind w:left="1440"/>
        <w:rPr>
          <w:rFonts w:ascii="Times New Roman" w:hAnsi="Times New Roman" w:cs="Times New Roman"/>
        </w:rPr>
      </w:pPr>
    </w:p>
    <w:p w14:paraId="17B78340" w14:textId="2317B573" w:rsidR="00FC38D9" w:rsidRDefault="00FC38D9" w:rsidP="00FC38D9">
      <w:pPr>
        <w:spacing w:line="480" w:lineRule="auto"/>
        <w:ind w:firstLine="720"/>
        <w:rPr>
          <w:rFonts w:ascii="Times New Roman" w:hAnsi="Times New Roman" w:cs="Times New Roman"/>
        </w:rPr>
      </w:pPr>
      <w:r w:rsidRPr="00F43406">
        <w:rPr>
          <w:rFonts w:ascii="Times New Roman" w:hAnsi="Times New Roman" w:cs="Times New Roman"/>
        </w:rPr>
        <w:t xml:space="preserve">As the data in Table </w:t>
      </w:r>
      <w:r w:rsidR="00DB4EAD">
        <w:rPr>
          <w:rFonts w:ascii="Times New Roman" w:hAnsi="Times New Roman" w:cs="Times New Roman"/>
        </w:rPr>
        <w:t>46</w:t>
      </w:r>
      <w:r w:rsidR="00B42980" w:rsidRPr="00F43406">
        <w:rPr>
          <w:rFonts w:ascii="Times New Roman" w:hAnsi="Times New Roman" w:cs="Times New Roman"/>
        </w:rPr>
        <w:t xml:space="preserve"> </w:t>
      </w:r>
      <w:r w:rsidRPr="00F43406">
        <w:rPr>
          <w:rFonts w:ascii="Times New Roman" w:hAnsi="Times New Roman" w:cs="Times New Roman"/>
        </w:rPr>
        <w:t xml:space="preserve">show, the success rate drops as our definition becomes more stringent.  More than </w:t>
      </w:r>
      <w:r w:rsidR="00972F7B">
        <w:rPr>
          <w:rFonts w:ascii="Times New Roman" w:hAnsi="Times New Roman" w:cs="Times New Roman"/>
        </w:rPr>
        <w:t>four in ten</w:t>
      </w:r>
      <w:r w:rsidRPr="00F43406">
        <w:rPr>
          <w:rFonts w:ascii="Times New Roman" w:hAnsi="Times New Roman" w:cs="Times New Roman"/>
        </w:rPr>
        <w:t xml:space="preserve"> of the random sample debtors survived 881 days without having their case converted or dismissed. Almost 39% of these debtors confirmed a plan, but at 881 days some of these plans had failed. Only 36% of the random sample debtors succeeded </w:t>
      </w:r>
      <w:r w:rsidR="009E5F6E">
        <w:rPr>
          <w:rFonts w:ascii="Times New Roman" w:hAnsi="Times New Roman" w:cs="Times New Roman"/>
        </w:rPr>
        <w:t>under</w:t>
      </w:r>
      <w:r w:rsidRPr="00F43406">
        <w:rPr>
          <w:rFonts w:ascii="Times New Roman" w:hAnsi="Times New Roman" w:cs="Times New Roman"/>
        </w:rPr>
        <w:t xml:space="preserve"> the most restrictive of the three definitions of success.</w:t>
      </w:r>
    </w:p>
    <w:p w14:paraId="0E3CEF27" w14:textId="2D9E52E5" w:rsidR="000F74FC" w:rsidRDefault="000F74FC" w:rsidP="00FC38D9">
      <w:pPr>
        <w:spacing w:line="480" w:lineRule="auto"/>
        <w:ind w:firstLine="720"/>
        <w:rPr>
          <w:rFonts w:ascii="Times New Roman" w:hAnsi="Times New Roman" w:cs="Times New Roman"/>
        </w:rPr>
      </w:pPr>
      <w:r>
        <w:rPr>
          <w:rFonts w:ascii="Times New Roman" w:hAnsi="Times New Roman" w:cs="Times New Roman"/>
        </w:rPr>
        <w:t xml:space="preserve">Before moving on to a discussion of the predictors of success for the cases in the random sample, we </w:t>
      </w:r>
      <w:r w:rsidR="009E5F6E">
        <w:rPr>
          <w:rFonts w:ascii="Times New Roman" w:hAnsi="Times New Roman" w:cs="Times New Roman"/>
        </w:rPr>
        <w:t>note</w:t>
      </w:r>
      <w:r>
        <w:rPr>
          <w:rFonts w:ascii="Times New Roman" w:hAnsi="Times New Roman" w:cs="Times New Roman"/>
        </w:rPr>
        <w:t xml:space="preserve"> three Code provisions to which some bankruptcy courts have given creative interpretations.</w:t>
      </w:r>
      <w:r>
        <w:rPr>
          <w:rStyle w:val="FootnoteReference"/>
          <w:rFonts w:ascii="Times New Roman" w:hAnsi="Times New Roman" w:cs="Times New Roman"/>
        </w:rPr>
        <w:footnoteReference w:id="231"/>
      </w:r>
      <w:r>
        <w:rPr>
          <w:rFonts w:ascii="Times New Roman" w:hAnsi="Times New Roman" w:cs="Times New Roman"/>
        </w:rPr>
        <w:t xml:space="preserve"> By doing so, these courts </w:t>
      </w:r>
      <w:r w:rsidR="009E5F6E">
        <w:rPr>
          <w:rFonts w:ascii="Times New Roman" w:hAnsi="Times New Roman" w:cs="Times New Roman"/>
        </w:rPr>
        <w:t xml:space="preserve">both </w:t>
      </w:r>
      <w:r>
        <w:rPr>
          <w:rFonts w:ascii="Times New Roman" w:hAnsi="Times New Roman" w:cs="Times New Roman"/>
        </w:rPr>
        <w:t>increase the odds that the debtor will confirm a plan and obtain a discharge</w:t>
      </w:r>
      <w:r w:rsidR="009E5F6E">
        <w:rPr>
          <w:rFonts w:ascii="Times New Roman" w:hAnsi="Times New Roman" w:cs="Times New Roman"/>
        </w:rPr>
        <w:t>, and</w:t>
      </w:r>
      <w:r>
        <w:rPr>
          <w:rFonts w:ascii="Times New Roman" w:hAnsi="Times New Roman" w:cs="Times New Roman"/>
        </w:rPr>
        <w:t xml:space="preserve"> make individual chapter 11 bankruptcies look a little more like chapter 13</w:t>
      </w:r>
      <w:r w:rsidR="00972F7B">
        <w:rPr>
          <w:rFonts w:ascii="Times New Roman" w:hAnsi="Times New Roman" w:cs="Times New Roman"/>
        </w:rPr>
        <w:t xml:space="preserve"> cases</w:t>
      </w:r>
      <w:r>
        <w:rPr>
          <w:rFonts w:ascii="Times New Roman" w:hAnsi="Times New Roman" w:cs="Times New Roman"/>
        </w:rPr>
        <w:t>.</w:t>
      </w:r>
    </w:p>
    <w:p w14:paraId="5E42BF57" w14:textId="15B8E881" w:rsidR="000F74FC" w:rsidRDefault="000F74FC" w:rsidP="000F74FC">
      <w:pPr>
        <w:spacing w:line="480" w:lineRule="auto"/>
        <w:ind w:firstLine="720"/>
      </w:pPr>
      <w:r>
        <w:rPr>
          <w:rFonts w:ascii="Times New Roman" w:hAnsi="Times New Roman" w:cs="Times New Roman"/>
        </w:rPr>
        <w:t>First, t</w:t>
      </w:r>
      <w:r>
        <w:t xml:space="preserve">he absolute priority rule applies if </w:t>
      </w:r>
      <w:r w:rsidR="00972F7B">
        <w:t>a class of unsecured creditors has not accepted the plan.</w:t>
      </w:r>
      <w:r>
        <w:rPr>
          <w:rStyle w:val="FootnoteReference"/>
        </w:rPr>
        <w:footnoteReference w:id="232"/>
      </w:r>
      <w:r>
        <w:t xml:space="preserve"> Section 1126(c) of the Code provides that a class of creditors accepts the plan when creditors “hold[ing] at least two-thirds in amount and more than one-half in number” of voting claims vote to accept the plan.”</w:t>
      </w:r>
      <w:r>
        <w:rPr>
          <w:rStyle w:val="FootnoteReference"/>
        </w:rPr>
        <w:footnoteReference w:id="233"/>
      </w:r>
      <w:r>
        <w:t xml:space="preserve"> The Code apparently does not count silence or lack of objection as acceptance; </w:t>
      </w:r>
      <w:r w:rsidR="009E5F6E">
        <w:t xml:space="preserve">rather, </w:t>
      </w:r>
      <w:r>
        <w:t xml:space="preserve">the creditor must vote, in order to accept the plan.  </w:t>
      </w:r>
    </w:p>
    <w:p w14:paraId="3A2BA05A" w14:textId="539E3EB5" w:rsidR="000F74FC" w:rsidRDefault="000F74FC" w:rsidP="00FC38D9">
      <w:pPr>
        <w:spacing w:line="480" w:lineRule="auto"/>
        <w:ind w:firstLine="720"/>
        <w:rPr>
          <w:rFonts w:ascii="Times New Roman" w:hAnsi="Times New Roman" w:cs="Times New Roman"/>
        </w:rPr>
      </w:pPr>
      <w:r>
        <w:rPr>
          <w:rFonts w:ascii="Times New Roman" w:hAnsi="Times New Roman" w:cs="Times New Roman"/>
        </w:rPr>
        <w:t xml:space="preserve">Yet, </w:t>
      </w:r>
      <w:r w:rsidR="009E5F6E">
        <w:rPr>
          <w:rFonts w:ascii="Times New Roman" w:hAnsi="Times New Roman" w:cs="Times New Roman"/>
        </w:rPr>
        <w:t xml:space="preserve">the bankruptcy court </w:t>
      </w:r>
      <w:r>
        <w:rPr>
          <w:rFonts w:ascii="Times New Roman" w:hAnsi="Times New Roman" w:cs="Times New Roman"/>
        </w:rPr>
        <w:t xml:space="preserve">in </w:t>
      </w:r>
      <w:r w:rsidRPr="00446696">
        <w:rPr>
          <w:i/>
        </w:rPr>
        <w:t>In re Parker</w:t>
      </w:r>
      <w:r w:rsidRPr="00D97FDC">
        <w:rPr>
          <w:rStyle w:val="FootnoteReference"/>
        </w:rPr>
        <w:footnoteReference w:id="234"/>
      </w:r>
      <w:r w:rsidRPr="00D97FDC">
        <w:t xml:space="preserve"> </w:t>
      </w:r>
      <w:r>
        <w:t>confirmed the debtor’s plan even though several classes of impaired secured classes did not cast votes. In his ballot summary, the debtor asserted that these classes were “deemed to have accepted the plan.”</w:t>
      </w:r>
      <w:r>
        <w:rPr>
          <w:rStyle w:val="FootnoteReference"/>
        </w:rPr>
        <w:footnoteReference w:id="235"/>
      </w:r>
      <w:r>
        <w:t xml:space="preserve"> In its </w:t>
      </w:r>
      <w:r w:rsidR="009E5F6E">
        <w:t xml:space="preserve">confirmation </w:t>
      </w:r>
      <w:r>
        <w:t>order, the court held that the plan had “been accepted or [could] be confirmed as to all classes of creditors and interest holders” as provided for in the debtor’s ballot summary.</w:t>
      </w:r>
      <w:r>
        <w:rPr>
          <w:rStyle w:val="FootnoteReference"/>
        </w:rPr>
        <w:footnoteReference w:id="236"/>
      </w:r>
      <w:r>
        <w:t xml:space="preserve"> The confirmation order mentioned neither § 1129(b)(2)</w:t>
      </w:r>
      <w:r w:rsidR="002937B1">
        <w:t>—the provision defining the requirements for finding a plan fair and equitable—</w:t>
      </w:r>
      <w:r>
        <w:t>nor cram down.</w:t>
      </w:r>
      <w:r>
        <w:rPr>
          <w:rStyle w:val="FootnoteReference"/>
        </w:rPr>
        <w:footnoteReference w:id="237"/>
      </w:r>
      <w:r>
        <w:t xml:space="preserve"> </w:t>
      </w:r>
      <w:r w:rsidR="00123404">
        <w:rPr>
          <w:rFonts w:ascii="Times New Roman" w:hAnsi="Times New Roman" w:cs="Times New Roman"/>
        </w:rPr>
        <w:t xml:space="preserve">By counting silence as assent, a bankruptcy court allows the debtor to avoid the need to cram down </w:t>
      </w:r>
      <w:r w:rsidR="009E5F6E">
        <w:rPr>
          <w:rFonts w:ascii="Times New Roman" w:hAnsi="Times New Roman" w:cs="Times New Roman"/>
        </w:rPr>
        <w:t xml:space="preserve">the </w:t>
      </w:r>
      <w:r w:rsidR="00123404">
        <w:rPr>
          <w:rFonts w:ascii="Times New Roman" w:hAnsi="Times New Roman" w:cs="Times New Roman"/>
        </w:rPr>
        <w:t>plan. That, in turn, increases a debtor’s odds of obtaining plan confirmation.</w:t>
      </w:r>
    </w:p>
    <w:p w14:paraId="0178308B" w14:textId="33842519" w:rsidR="00123404" w:rsidRDefault="00123404" w:rsidP="00123404">
      <w:pPr>
        <w:spacing w:line="480" w:lineRule="auto"/>
        <w:ind w:firstLine="720"/>
        <w:rPr>
          <w:rFonts w:ascii="Times New Roman" w:hAnsi="Times New Roman" w:cs="Times New Roman"/>
        </w:rPr>
      </w:pPr>
      <w:r>
        <w:rPr>
          <w:rFonts w:ascii="Times New Roman" w:hAnsi="Times New Roman" w:cs="Times New Roman"/>
        </w:rPr>
        <w:t>Second, §</w:t>
      </w:r>
      <w:r w:rsidRPr="00016526">
        <w:rPr>
          <w:rFonts w:ascii="Times New Roman" w:hAnsi="Times New Roman" w:cs="Times New Roman"/>
        </w:rPr>
        <w:t xml:space="preserve"> 1129(a)(15) allows an unsecured creditor who is not </w:t>
      </w:r>
      <w:r w:rsidR="009E5F6E">
        <w:rPr>
          <w:rFonts w:ascii="Times New Roman" w:hAnsi="Times New Roman" w:cs="Times New Roman"/>
        </w:rPr>
        <w:t xml:space="preserve">fully </w:t>
      </w:r>
      <w:r w:rsidRPr="00016526">
        <w:rPr>
          <w:rFonts w:ascii="Times New Roman" w:hAnsi="Times New Roman" w:cs="Times New Roman"/>
        </w:rPr>
        <w:t xml:space="preserve">paid to demand that </w:t>
      </w:r>
      <w:r w:rsidR="009E5F6E">
        <w:rPr>
          <w:rFonts w:ascii="Times New Roman" w:hAnsi="Times New Roman" w:cs="Times New Roman"/>
        </w:rPr>
        <w:t>the</w:t>
      </w:r>
      <w:r>
        <w:rPr>
          <w:rFonts w:ascii="Times New Roman" w:hAnsi="Times New Roman" w:cs="Times New Roman"/>
        </w:rPr>
        <w:t xml:space="preserve"> </w:t>
      </w:r>
      <w:r w:rsidRPr="00016526">
        <w:rPr>
          <w:rFonts w:ascii="Times New Roman" w:hAnsi="Times New Roman" w:cs="Times New Roman"/>
        </w:rPr>
        <w:t>plan</w:t>
      </w:r>
      <w:r>
        <w:rPr>
          <w:rFonts w:ascii="Times New Roman" w:hAnsi="Times New Roman" w:cs="Times New Roman"/>
        </w:rPr>
        <w:t xml:space="preserve"> propose payments equal to the debtor’s</w:t>
      </w:r>
      <w:r w:rsidRPr="00016526">
        <w:rPr>
          <w:rFonts w:ascii="Times New Roman" w:hAnsi="Times New Roman" w:cs="Times New Roman"/>
        </w:rPr>
        <w:t xml:space="preserve"> projected disposable income for five years or “during the period for which the plan provides payments, whichever is longer.”</w:t>
      </w:r>
      <w:bookmarkStart w:id="27" w:name="_Ref333767898"/>
      <w:r w:rsidRPr="00016526">
        <w:rPr>
          <w:rStyle w:val="FootnoteReference"/>
          <w:rFonts w:ascii="Times New Roman" w:hAnsi="Times New Roman" w:cs="Times New Roman"/>
        </w:rPr>
        <w:footnoteReference w:id="238"/>
      </w:r>
      <w:bookmarkEnd w:id="27"/>
      <w:r w:rsidRPr="00016526">
        <w:rPr>
          <w:rFonts w:ascii="Times New Roman" w:hAnsi="Times New Roman" w:cs="Times New Roman"/>
        </w:rPr>
        <w:t xml:space="preserve"> The majority of confirmed plans in our sample call</w:t>
      </w:r>
      <w:r w:rsidR="00F90490">
        <w:rPr>
          <w:rFonts w:ascii="Times New Roman" w:hAnsi="Times New Roman" w:cs="Times New Roman"/>
        </w:rPr>
        <w:t>ed</w:t>
      </w:r>
      <w:r w:rsidRPr="00016526">
        <w:rPr>
          <w:rFonts w:ascii="Times New Roman" w:hAnsi="Times New Roman" w:cs="Times New Roman"/>
        </w:rPr>
        <w:t xml:space="preserve"> for payments extending beyond five years; the most common time frame for payment of secured creditors in these </w:t>
      </w:r>
      <w:r w:rsidR="002937B1">
        <w:rPr>
          <w:rFonts w:ascii="Times New Roman" w:hAnsi="Times New Roman" w:cs="Times New Roman"/>
        </w:rPr>
        <w:t xml:space="preserve">plans </w:t>
      </w:r>
      <w:r w:rsidR="00F90490">
        <w:rPr>
          <w:rFonts w:ascii="Times New Roman" w:hAnsi="Times New Roman" w:cs="Times New Roman"/>
        </w:rPr>
        <w:t>was</w:t>
      </w:r>
      <w:r w:rsidR="002937B1">
        <w:rPr>
          <w:rFonts w:ascii="Times New Roman" w:hAnsi="Times New Roman" w:cs="Times New Roman"/>
        </w:rPr>
        <w:t xml:space="preserve"> thirty</w:t>
      </w:r>
      <w:r w:rsidRPr="00016526">
        <w:rPr>
          <w:rFonts w:ascii="Times New Roman" w:hAnsi="Times New Roman" w:cs="Times New Roman"/>
        </w:rPr>
        <w:t xml:space="preserve"> years.</w:t>
      </w:r>
      <w:bookmarkStart w:id="28" w:name="_Ref332100934"/>
      <w:r w:rsidRPr="00016526">
        <w:rPr>
          <w:rStyle w:val="FootnoteReference"/>
          <w:rFonts w:ascii="Times New Roman" w:hAnsi="Times New Roman" w:cs="Times New Roman"/>
        </w:rPr>
        <w:footnoteReference w:id="239"/>
      </w:r>
      <w:bookmarkEnd w:id="28"/>
      <w:r>
        <w:rPr>
          <w:rFonts w:ascii="Times New Roman" w:hAnsi="Times New Roman" w:cs="Times New Roman"/>
        </w:rPr>
        <w:t xml:space="preserve"> </w:t>
      </w:r>
      <w:r w:rsidRPr="00016526">
        <w:rPr>
          <w:rFonts w:ascii="Times New Roman" w:hAnsi="Times New Roman" w:cs="Times New Roman"/>
        </w:rPr>
        <w:t>Th</w:t>
      </w:r>
      <w:r>
        <w:rPr>
          <w:rFonts w:ascii="Times New Roman" w:hAnsi="Times New Roman" w:cs="Times New Roman"/>
        </w:rPr>
        <w:t xml:space="preserve">us, </w:t>
      </w:r>
      <w:r w:rsidRPr="00016526">
        <w:rPr>
          <w:rFonts w:ascii="Times New Roman" w:hAnsi="Times New Roman" w:cs="Times New Roman"/>
        </w:rPr>
        <w:t xml:space="preserve">§ 1129(a)(15) </w:t>
      </w:r>
      <w:r w:rsidR="009E5F6E">
        <w:rPr>
          <w:rFonts w:ascii="Times New Roman" w:hAnsi="Times New Roman" w:cs="Times New Roman"/>
        </w:rPr>
        <w:t>plainly requires</w:t>
      </w:r>
      <w:r w:rsidRPr="00016526">
        <w:rPr>
          <w:rFonts w:ascii="Times New Roman" w:hAnsi="Times New Roman" w:cs="Times New Roman"/>
        </w:rPr>
        <w:t xml:space="preserve"> that if an unsecured creditor objects, </w:t>
      </w:r>
      <w:r w:rsidR="00F90490">
        <w:rPr>
          <w:rFonts w:ascii="Times New Roman" w:hAnsi="Times New Roman" w:cs="Times New Roman"/>
        </w:rPr>
        <w:t>the</w:t>
      </w:r>
      <w:r w:rsidR="009E5F6E">
        <w:rPr>
          <w:rFonts w:ascii="Times New Roman" w:hAnsi="Times New Roman" w:cs="Times New Roman"/>
        </w:rPr>
        <w:t xml:space="preserve"> </w:t>
      </w:r>
      <w:r w:rsidRPr="00016526">
        <w:rPr>
          <w:rFonts w:ascii="Times New Roman" w:hAnsi="Times New Roman" w:cs="Times New Roman"/>
        </w:rPr>
        <w:t>debtor must devote an amount equal to his or her disposable inco</w:t>
      </w:r>
      <w:r w:rsidR="002937B1">
        <w:rPr>
          <w:rFonts w:ascii="Times New Roman" w:hAnsi="Times New Roman" w:cs="Times New Roman"/>
        </w:rPr>
        <w:t>me to plan payments over that thirty</w:t>
      </w:r>
      <w:r w:rsidRPr="00016526">
        <w:rPr>
          <w:rFonts w:ascii="Times New Roman" w:hAnsi="Times New Roman" w:cs="Times New Roman"/>
        </w:rPr>
        <w:t xml:space="preserve">-year period.  </w:t>
      </w:r>
    </w:p>
    <w:p w14:paraId="0AD5126D" w14:textId="174A0FB9" w:rsidR="00123404" w:rsidRDefault="00123404" w:rsidP="00123404">
      <w:pPr>
        <w:spacing w:line="480" w:lineRule="auto"/>
        <w:ind w:firstLine="720"/>
        <w:rPr>
          <w:rFonts w:ascii="Times New Roman" w:hAnsi="Times New Roman" w:cs="Times New Roman"/>
        </w:rPr>
      </w:pPr>
      <w:r w:rsidRPr="00016526">
        <w:rPr>
          <w:rFonts w:ascii="Times New Roman" w:hAnsi="Times New Roman" w:cs="Times New Roman"/>
        </w:rPr>
        <w:t>Yet we found no plans that offered payment</w:t>
      </w:r>
      <w:r w:rsidR="002937B1">
        <w:rPr>
          <w:rFonts w:ascii="Times New Roman" w:hAnsi="Times New Roman" w:cs="Times New Roman"/>
        </w:rPr>
        <w:t>s</w:t>
      </w:r>
      <w:r w:rsidRPr="00016526">
        <w:rPr>
          <w:rFonts w:ascii="Times New Roman" w:hAnsi="Times New Roman" w:cs="Times New Roman"/>
        </w:rPr>
        <w:t xml:space="preserve"> to unsecured creditors after five years, suggesting </w:t>
      </w:r>
      <w:r w:rsidR="002937B1">
        <w:rPr>
          <w:rFonts w:ascii="Times New Roman" w:hAnsi="Times New Roman" w:cs="Times New Roman"/>
        </w:rPr>
        <w:t xml:space="preserve">either </w:t>
      </w:r>
      <w:r w:rsidRPr="00016526">
        <w:rPr>
          <w:rFonts w:ascii="Times New Roman" w:hAnsi="Times New Roman" w:cs="Times New Roman"/>
        </w:rPr>
        <w:t>that courts are restricting the projected disposable income test to five years or that unsecured creditors are not demanding more.</w:t>
      </w:r>
      <w:r w:rsidRPr="00016526">
        <w:rPr>
          <w:rStyle w:val="FootnoteReference"/>
          <w:rFonts w:ascii="Times New Roman" w:hAnsi="Times New Roman" w:cs="Times New Roman"/>
        </w:rPr>
        <w:footnoteReference w:id="240"/>
      </w:r>
      <w:r w:rsidRPr="00016526">
        <w:rPr>
          <w:rFonts w:ascii="Times New Roman" w:hAnsi="Times New Roman" w:cs="Times New Roman"/>
        </w:rPr>
        <w:t xml:space="preserve"> As a matter of practice, courts are limiting the devotion of projected disposable income </w:t>
      </w:r>
      <w:r w:rsidR="009C05BD">
        <w:rPr>
          <w:rFonts w:ascii="Times New Roman" w:hAnsi="Times New Roman" w:cs="Times New Roman"/>
        </w:rPr>
        <w:t xml:space="preserve">in chapter 11 cases </w:t>
      </w:r>
      <w:r w:rsidRPr="00016526">
        <w:rPr>
          <w:rFonts w:ascii="Times New Roman" w:hAnsi="Times New Roman" w:cs="Times New Roman"/>
        </w:rPr>
        <w:t xml:space="preserve">to </w:t>
      </w:r>
      <w:r w:rsidR="009C05BD">
        <w:rPr>
          <w:rFonts w:ascii="Times New Roman" w:hAnsi="Times New Roman" w:cs="Times New Roman"/>
        </w:rPr>
        <w:t xml:space="preserve">the period applicable in chapter 13—namely, </w:t>
      </w:r>
      <w:r w:rsidRPr="00016526">
        <w:rPr>
          <w:rFonts w:ascii="Times New Roman" w:hAnsi="Times New Roman" w:cs="Times New Roman"/>
        </w:rPr>
        <w:t xml:space="preserve">the period for which the plan provides payments </w:t>
      </w:r>
      <w:r w:rsidRPr="00016526">
        <w:rPr>
          <w:rFonts w:ascii="Times New Roman" w:hAnsi="Times New Roman" w:cs="Times New Roman"/>
          <w:i/>
        </w:rPr>
        <w:t>to unsecured creditors</w:t>
      </w:r>
      <w:r w:rsidRPr="00016526">
        <w:rPr>
          <w:rFonts w:ascii="Times New Roman" w:hAnsi="Times New Roman" w:cs="Times New Roman"/>
        </w:rPr>
        <w:t>.</w:t>
      </w:r>
      <w:bookmarkStart w:id="29" w:name="_Ref333839298"/>
      <w:r w:rsidR="009C05BD">
        <w:rPr>
          <w:rStyle w:val="FootnoteReference"/>
          <w:rFonts w:ascii="Times New Roman" w:hAnsi="Times New Roman" w:cs="Times New Roman"/>
        </w:rPr>
        <w:footnoteReference w:id="241"/>
      </w:r>
      <w:bookmarkEnd w:id="29"/>
      <w:r w:rsidRPr="00016526">
        <w:rPr>
          <w:rFonts w:ascii="Times New Roman" w:hAnsi="Times New Roman" w:cs="Times New Roman"/>
        </w:rPr>
        <w:t xml:space="preserve"> The end result makes individual chapter 11 cases look much more like chapter 13 cases</w:t>
      </w:r>
      <w:r>
        <w:rPr>
          <w:rFonts w:ascii="Times New Roman" w:hAnsi="Times New Roman" w:cs="Times New Roman"/>
        </w:rPr>
        <w:t>.</w:t>
      </w:r>
    </w:p>
    <w:p w14:paraId="76E6A939" w14:textId="23AA859E" w:rsidR="00123404" w:rsidRPr="00F43406" w:rsidRDefault="00123404" w:rsidP="00123404">
      <w:pPr>
        <w:spacing w:line="480" w:lineRule="auto"/>
        <w:ind w:firstLine="720"/>
        <w:rPr>
          <w:rFonts w:ascii="Times New Roman" w:hAnsi="Times New Roman" w:cs="Times New Roman"/>
        </w:rPr>
      </w:pPr>
      <w:r>
        <w:rPr>
          <w:rFonts w:ascii="Times New Roman" w:hAnsi="Times New Roman" w:cs="Times New Roman"/>
        </w:rPr>
        <w:t>Finally, both chapters 11 and 13 delay discharg</w:t>
      </w:r>
      <w:r w:rsidR="005C1CCB">
        <w:rPr>
          <w:rFonts w:ascii="Times New Roman" w:hAnsi="Times New Roman" w:cs="Times New Roman"/>
        </w:rPr>
        <w:t xml:space="preserve">e until the plan is completed. </w:t>
      </w:r>
      <w:r>
        <w:rPr>
          <w:rFonts w:ascii="Times New Roman" w:hAnsi="Times New Roman" w:cs="Times New Roman"/>
        </w:rPr>
        <w:t>Unlike a chapter 11 plan, which may extend for decades, c</w:t>
      </w:r>
      <w:r w:rsidRPr="00016526">
        <w:rPr>
          <w:rFonts w:ascii="Times New Roman" w:hAnsi="Times New Roman" w:cs="Times New Roman"/>
        </w:rPr>
        <w:t>hapter 13 plans cannot last more than five years.</w:t>
      </w:r>
      <w:bookmarkStart w:id="30" w:name="_Ref333828898"/>
      <w:r>
        <w:rPr>
          <w:rStyle w:val="FootnoteReference"/>
          <w:rFonts w:ascii="Times New Roman" w:hAnsi="Times New Roman" w:cs="Times New Roman"/>
        </w:rPr>
        <w:footnoteReference w:id="242"/>
      </w:r>
      <w:bookmarkEnd w:id="30"/>
      <w:r w:rsidRPr="00016526">
        <w:rPr>
          <w:rFonts w:ascii="Times New Roman" w:hAnsi="Times New Roman" w:cs="Times New Roman"/>
        </w:rPr>
        <w:t xml:space="preserve"> Many debtors will still owe payments </w:t>
      </w:r>
      <w:r>
        <w:rPr>
          <w:rFonts w:ascii="Times New Roman" w:hAnsi="Times New Roman" w:cs="Times New Roman"/>
        </w:rPr>
        <w:t>on their mortgage</w:t>
      </w:r>
      <w:r w:rsidRPr="00016526">
        <w:rPr>
          <w:rFonts w:ascii="Times New Roman" w:hAnsi="Times New Roman" w:cs="Times New Roman"/>
        </w:rPr>
        <w:t xml:space="preserve"> after this time, but if they default on these payments their discharge is not in jeopardy. </w:t>
      </w:r>
      <w:r>
        <w:rPr>
          <w:rFonts w:ascii="Times New Roman" w:hAnsi="Times New Roman" w:cs="Times New Roman"/>
        </w:rPr>
        <w:t>Chapter 11’s identical language, holding discharge in abeyance until completion of the plan,</w:t>
      </w:r>
      <w:bookmarkStart w:id="31" w:name="_Ref332101640"/>
      <w:r w:rsidRPr="00016526">
        <w:rPr>
          <w:rStyle w:val="FootnoteReference"/>
          <w:rFonts w:ascii="Times New Roman" w:hAnsi="Times New Roman" w:cs="Times New Roman"/>
        </w:rPr>
        <w:footnoteReference w:id="243"/>
      </w:r>
      <w:bookmarkEnd w:id="31"/>
      <w:r>
        <w:rPr>
          <w:rFonts w:ascii="Times New Roman" w:hAnsi="Times New Roman" w:cs="Times New Roman"/>
        </w:rPr>
        <w:t xml:space="preserve"> has a very different effect; it states </w:t>
      </w:r>
      <w:r w:rsidRPr="00016526">
        <w:rPr>
          <w:rFonts w:ascii="Times New Roman" w:hAnsi="Times New Roman" w:cs="Times New Roman"/>
        </w:rPr>
        <w:t>that a debtor cannot receive a discharge until all payments—secured and unsecured alike—are completed</w:t>
      </w:r>
      <w:r>
        <w:rPr>
          <w:rFonts w:ascii="Times New Roman" w:hAnsi="Times New Roman" w:cs="Times New Roman"/>
        </w:rPr>
        <w:t>, no matter how long it takes</w:t>
      </w:r>
      <w:r w:rsidR="005C1CCB">
        <w:rPr>
          <w:rFonts w:ascii="Times New Roman" w:hAnsi="Times New Roman" w:cs="Times New Roman"/>
        </w:rPr>
        <w:t xml:space="preserve">. </w:t>
      </w:r>
      <w:r w:rsidRPr="00016526">
        <w:rPr>
          <w:rFonts w:ascii="Times New Roman" w:hAnsi="Times New Roman" w:cs="Times New Roman"/>
        </w:rPr>
        <w:t>Some courts, however, are using language in § 1141(d)(5)(A) that allows them to grant an early discharge for “cause” upon completion of payments to administrative, priority, and general unsecured creditors.</w:t>
      </w:r>
      <w:bookmarkStart w:id="32" w:name="_Ref332101642"/>
      <w:r w:rsidRPr="00016526">
        <w:rPr>
          <w:rStyle w:val="FootnoteReference"/>
          <w:rFonts w:ascii="Times New Roman" w:hAnsi="Times New Roman" w:cs="Times New Roman"/>
        </w:rPr>
        <w:footnoteReference w:id="244"/>
      </w:r>
      <w:bookmarkEnd w:id="32"/>
      <w:r>
        <w:rPr>
          <w:rFonts w:ascii="Times New Roman" w:hAnsi="Times New Roman" w:cs="Times New Roman"/>
        </w:rPr>
        <w:t xml:space="preserve"> The end result, once again, is to make chapter 11 cases look much more like those in chapter 13.</w:t>
      </w:r>
    </w:p>
    <w:p w14:paraId="7632FCEC" w14:textId="77777777" w:rsidR="00FC38D9" w:rsidRPr="00F951E5" w:rsidRDefault="00FC38D9" w:rsidP="00335C21">
      <w:pPr>
        <w:pStyle w:val="ListParagraph"/>
        <w:numPr>
          <w:ilvl w:val="0"/>
          <w:numId w:val="24"/>
        </w:numPr>
        <w:spacing w:line="480" w:lineRule="auto"/>
        <w:ind w:left="0" w:firstLine="0"/>
        <w:rPr>
          <w:rFonts w:ascii="Times New Roman" w:hAnsi="Times New Roman" w:cs="Times New Roman"/>
          <w:i/>
        </w:rPr>
      </w:pPr>
      <w:r w:rsidRPr="00F951E5">
        <w:rPr>
          <w:rFonts w:ascii="Times New Roman" w:hAnsi="Times New Roman" w:cs="Times New Roman"/>
          <w:i/>
        </w:rPr>
        <w:t>Predicting Success</w:t>
      </w:r>
    </w:p>
    <w:p w14:paraId="1D1DDF4D" w14:textId="6F12A34B" w:rsidR="00FC38D9" w:rsidRPr="00F43406" w:rsidRDefault="00FC38D9" w:rsidP="00FC38D9">
      <w:pPr>
        <w:spacing w:line="480" w:lineRule="auto"/>
        <w:ind w:firstLine="720"/>
        <w:rPr>
          <w:rFonts w:ascii="Times New Roman" w:hAnsi="Times New Roman" w:cs="Times New Roman"/>
          <w:b/>
        </w:rPr>
      </w:pPr>
      <w:r w:rsidRPr="00F43406">
        <w:rPr>
          <w:rFonts w:ascii="Times New Roman" w:hAnsi="Times New Roman" w:cs="Times New Roman"/>
        </w:rPr>
        <w:t xml:space="preserve">The random sample data allow us to define success much more carefully </w:t>
      </w:r>
      <w:r w:rsidR="009C05BD">
        <w:rPr>
          <w:rFonts w:ascii="Times New Roman" w:hAnsi="Times New Roman" w:cs="Times New Roman"/>
        </w:rPr>
        <w:t xml:space="preserve">than the PACER data permitted, </w:t>
      </w:r>
      <w:r w:rsidRPr="00F43406">
        <w:rPr>
          <w:rFonts w:ascii="Times New Roman" w:hAnsi="Times New Roman" w:cs="Times New Roman"/>
        </w:rPr>
        <w:t xml:space="preserve">and to explore new theories. </w:t>
      </w:r>
      <w:r w:rsidR="009C05BD">
        <w:rPr>
          <w:rFonts w:ascii="Times New Roman" w:hAnsi="Times New Roman" w:cs="Times New Roman"/>
        </w:rPr>
        <w:t>T</w:t>
      </w:r>
      <w:r>
        <w:rPr>
          <w:rFonts w:ascii="Times New Roman" w:hAnsi="Times New Roman" w:cs="Times New Roman"/>
        </w:rPr>
        <w:t xml:space="preserve">here are </w:t>
      </w:r>
      <w:r w:rsidRPr="00F43406">
        <w:rPr>
          <w:rFonts w:ascii="Times New Roman" w:hAnsi="Times New Roman" w:cs="Times New Roman"/>
        </w:rPr>
        <w:t xml:space="preserve">many fewer observations, </w:t>
      </w:r>
      <w:r w:rsidR="009C05BD">
        <w:rPr>
          <w:rFonts w:ascii="Times New Roman" w:hAnsi="Times New Roman" w:cs="Times New Roman"/>
        </w:rPr>
        <w:t xml:space="preserve">however, </w:t>
      </w:r>
      <w:r w:rsidRPr="00F43406">
        <w:rPr>
          <w:rFonts w:ascii="Times New Roman" w:hAnsi="Times New Roman" w:cs="Times New Roman"/>
        </w:rPr>
        <w:t>so we cannot estimate the predictive power of these variables with as much precision. As a result, what appear to be important relationships may be</w:t>
      </w:r>
      <w:r w:rsidR="009C5468">
        <w:rPr>
          <w:rFonts w:ascii="Times New Roman" w:hAnsi="Times New Roman" w:cs="Times New Roman"/>
        </w:rPr>
        <w:t xml:space="preserve"> due to </w:t>
      </w:r>
      <w:r w:rsidR="00671872">
        <w:rPr>
          <w:rFonts w:ascii="Times New Roman" w:hAnsi="Times New Roman" w:cs="Times New Roman"/>
        </w:rPr>
        <w:t xml:space="preserve">chance. </w:t>
      </w:r>
      <w:r w:rsidRPr="00F43406">
        <w:rPr>
          <w:rFonts w:ascii="Times New Roman" w:hAnsi="Times New Roman" w:cs="Times New Roman"/>
        </w:rPr>
        <w:t xml:space="preserve">We include p-values so that the reader can more easily judge the level of confidence </w:t>
      </w:r>
      <w:r>
        <w:rPr>
          <w:rFonts w:ascii="Times New Roman" w:hAnsi="Times New Roman" w:cs="Times New Roman"/>
        </w:rPr>
        <w:t>to have</w:t>
      </w:r>
      <w:r w:rsidRPr="00F43406">
        <w:rPr>
          <w:rFonts w:ascii="Times New Roman" w:hAnsi="Times New Roman" w:cs="Times New Roman"/>
        </w:rPr>
        <w:t xml:space="preserve"> in the finding</w:t>
      </w:r>
      <w:r>
        <w:rPr>
          <w:rFonts w:ascii="Times New Roman" w:hAnsi="Times New Roman" w:cs="Times New Roman"/>
        </w:rPr>
        <w:t>s</w:t>
      </w:r>
      <w:r w:rsidRPr="00F43406">
        <w:rPr>
          <w:rFonts w:ascii="Times New Roman" w:hAnsi="Times New Roman" w:cs="Times New Roman"/>
        </w:rPr>
        <w:t xml:space="preserve">. On the other hand, </w:t>
      </w:r>
      <w:r>
        <w:rPr>
          <w:rFonts w:ascii="Times New Roman" w:hAnsi="Times New Roman" w:cs="Times New Roman"/>
        </w:rPr>
        <w:t xml:space="preserve">the absence of </w:t>
      </w:r>
      <w:r w:rsidRPr="00F43406">
        <w:rPr>
          <w:rFonts w:ascii="Times New Roman" w:hAnsi="Times New Roman" w:cs="Times New Roman"/>
        </w:rPr>
        <w:t xml:space="preserve">statistical significance for a finding </w:t>
      </w:r>
      <w:r>
        <w:rPr>
          <w:rFonts w:ascii="Times New Roman" w:hAnsi="Times New Roman" w:cs="Times New Roman"/>
        </w:rPr>
        <w:t xml:space="preserve">does not mean the absence of any </w:t>
      </w:r>
      <w:r w:rsidRPr="00F43406">
        <w:rPr>
          <w:rFonts w:ascii="Times New Roman" w:hAnsi="Times New Roman" w:cs="Times New Roman"/>
        </w:rPr>
        <w:t>relationship. In many cases, the estimated values are practically, but not statistically, signi</w:t>
      </w:r>
      <w:r>
        <w:rPr>
          <w:rFonts w:ascii="Times New Roman" w:hAnsi="Times New Roman" w:cs="Times New Roman"/>
        </w:rPr>
        <w:t xml:space="preserve">ficant, </w:t>
      </w:r>
      <w:r w:rsidRPr="00F43406">
        <w:rPr>
          <w:rFonts w:ascii="Times New Roman" w:hAnsi="Times New Roman" w:cs="Times New Roman"/>
        </w:rPr>
        <w:t>because the small number of observations limits the power of our tests. In these cases, a lack of statistical significance merely means that further research is needed to settle the question.</w:t>
      </w:r>
    </w:p>
    <w:p w14:paraId="1E0C404D" w14:textId="6EF8E7A2" w:rsidR="00FC38D9" w:rsidRPr="00F43406" w:rsidRDefault="00FC38D9" w:rsidP="00FC38D9">
      <w:pPr>
        <w:spacing w:line="480" w:lineRule="auto"/>
        <w:ind w:firstLine="720"/>
        <w:rPr>
          <w:rFonts w:ascii="Times New Roman" w:hAnsi="Times New Roman" w:cs="Times New Roman"/>
        </w:rPr>
      </w:pPr>
      <w:r w:rsidRPr="00F43406">
        <w:rPr>
          <w:rFonts w:ascii="Times New Roman" w:hAnsi="Times New Roman" w:cs="Times New Roman"/>
        </w:rPr>
        <w:t xml:space="preserve">Table </w:t>
      </w:r>
      <w:r w:rsidR="00DB4EAD">
        <w:rPr>
          <w:rFonts w:ascii="Times New Roman" w:hAnsi="Times New Roman" w:cs="Times New Roman"/>
        </w:rPr>
        <w:t>47</w:t>
      </w:r>
      <w:r w:rsidR="00B42980" w:rsidRPr="00F43406">
        <w:rPr>
          <w:rFonts w:ascii="Times New Roman" w:hAnsi="Times New Roman" w:cs="Times New Roman"/>
        </w:rPr>
        <w:t xml:space="preserve"> </w:t>
      </w:r>
      <w:r w:rsidRPr="00F43406">
        <w:rPr>
          <w:rFonts w:ascii="Times New Roman" w:hAnsi="Times New Roman" w:cs="Times New Roman"/>
        </w:rPr>
        <w:t xml:space="preserve">summarizes the relationship between a series of dichotomous variables and our measures of success, presenting the success rate of each group as well as the p-value from a chi-squared test of the null hypothesis that the true difference is zero. Not all explanatory variables can be neatly divided into two categories, and so Table </w:t>
      </w:r>
      <w:r w:rsidR="00DB4EAD">
        <w:rPr>
          <w:rFonts w:ascii="Times New Roman" w:hAnsi="Times New Roman" w:cs="Times New Roman"/>
        </w:rPr>
        <w:t>48</w:t>
      </w:r>
      <w:r w:rsidRPr="00F43406">
        <w:rPr>
          <w:rFonts w:ascii="Times New Roman" w:hAnsi="Times New Roman" w:cs="Times New Roman"/>
        </w:rPr>
        <w:t xml:space="preserve"> presents the </w:t>
      </w:r>
      <w:r>
        <w:rPr>
          <w:rFonts w:ascii="Times New Roman" w:hAnsi="Times New Roman" w:cs="Times New Roman"/>
        </w:rPr>
        <w:t xml:space="preserve">estimated </w:t>
      </w:r>
      <w:r w:rsidRPr="00F43406">
        <w:rPr>
          <w:rFonts w:ascii="Times New Roman" w:hAnsi="Times New Roman" w:cs="Times New Roman"/>
        </w:rPr>
        <w:t xml:space="preserve">marginal effects </w:t>
      </w:r>
      <w:r>
        <w:rPr>
          <w:rFonts w:ascii="Times New Roman" w:hAnsi="Times New Roman" w:cs="Times New Roman"/>
        </w:rPr>
        <w:t>from logit</w:t>
      </w:r>
      <w:r w:rsidRPr="00F43406">
        <w:rPr>
          <w:rFonts w:ascii="Times New Roman" w:hAnsi="Times New Roman" w:cs="Times New Roman"/>
        </w:rPr>
        <w:t xml:space="preserve"> regressions with a single explanatory variable.  </w:t>
      </w:r>
    </w:p>
    <w:p w14:paraId="570B8DB5" w14:textId="19C44264" w:rsidR="00FC38D9" w:rsidRPr="00F43406" w:rsidRDefault="00FC38D9" w:rsidP="00FC38D9">
      <w:pPr>
        <w:spacing w:line="480" w:lineRule="auto"/>
        <w:ind w:firstLine="720"/>
        <w:rPr>
          <w:rFonts w:ascii="Times New Roman" w:hAnsi="Times New Roman" w:cs="Times New Roman"/>
          <w:b/>
        </w:rPr>
      </w:pPr>
      <w:r>
        <w:rPr>
          <w:rFonts w:ascii="Times New Roman" w:hAnsi="Times New Roman" w:cs="Times New Roman"/>
        </w:rPr>
        <w:t xml:space="preserve">For Table </w:t>
      </w:r>
      <w:r w:rsidR="00DB4EAD">
        <w:rPr>
          <w:rFonts w:ascii="Times New Roman" w:hAnsi="Times New Roman" w:cs="Times New Roman"/>
        </w:rPr>
        <w:t>47</w:t>
      </w:r>
      <w:r>
        <w:rPr>
          <w:rFonts w:ascii="Times New Roman" w:hAnsi="Times New Roman" w:cs="Times New Roman"/>
        </w:rPr>
        <w:t>, m</w:t>
      </w:r>
      <w:r w:rsidRPr="00F43406">
        <w:rPr>
          <w:rFonts w:ascii="Times New Roman" w:hAnsi="Times New Roman" w:cs="Times New Roman"/>
        </w:rPr>
        <w:t>ean 1</w:t>
      </w:r>
      <w:r w:rsidRPr="00A82B81">
        <w:rPr>
          <w:rFonts w:ascii="Times New Roman" w:hAnsi="Times New Roman" w:cs="Times New Roman"/>
        </w:rPr>
        <w:t>st</w:t>
      </w:r>
      <w:r w:rsidRPr="00F43406">
        <w:rPr>
          <w:rFonts w:ascii="Times New Roman" w:hAnsi="Times New Roman" w:cs="Times New Roman"/>
        </w:rPr>
        <w:t xml:space="preserve"> is the mean for the first item in the comparison</w:t>
      </w:r>
      <w:r w:rsidR="002937B1">
        <w:rPr>
          <w:rFonts w:ascii="Times New Roman" w:hAnsi="Times New Roman" w:cs="Times New Roman"/>
        </w:rPr>
        <w:t>;</w:t>
      </w:r>
      <w:r w:rsidRPr="00F43406">
        <w:rPr>
          <w:rFonts w:ascii="Times New Roman" w:hAnsi="Times New Roman" w:cs="Times New Roman"/>
        </w:rPr>
        <w:t xml:space="preserve"> mean 2nd is for the second item, and is provided underneath the figure for mean 1</w:t>
      </w:r>
      <w:r w:rsidRPr="00A82B81">
        <w:rPr>
          <w:rFonts w:ascii="Times New Roman" w:hAnsi="Times New Roman" w:cs="Times New Roman"/>
        </w:rPr>
        <w:t>st</w:t>
      </w:r>
      <w:r w:rsidRPr="00F43406">
        <w:rPr>
          <w:rFonts w:ascii="Times New Roman" w:hAnsi="Times New Roman" w:cs="Times New Roman"/>
        </w:rPr>
        <w:t xml:space="preserve"> in all columns. </w:t>
      </w:r>
      <w:r>
        <w:rPr>
          <w:rFonts w:ascii="Times New Roman" w:hAnsi="Times New Roman" w:cs="Times New Roman"/>
        </w:rPr>
        <w:t>P-values are provided in parentheses underneath mean 2</w:t>
      </w:r>
      <w:r w:rsidR="009C05BD">
        <w:rPr>
          <w:rFonts w:ascii="Times New Roman" w:hAnsi="Times New Roman" w:cs="Times New Roman"/>
        </w:rPr>
        <w:t>n</w:t>
      </w:r>
      <w:r>
        <w:rPr>
          <w:rFonts w:ascii="Times New Roman" w:hAnsi="Times New Roman" w:cs="Times New Roman"/>
        </w:rPr>
        <w:t xml:space="preserve">d. </w:t>
      </w:r>
      <w:r w:rsidRPr="00F43406">
        <w:rPr>
          <w:rFonts w:ascii="Times New Roman" w:hAnsi="Times New Roman" w:cs="Times New Roman"/>
        </w:rPr>
        <w:t>For example, fo</w:t>
      </w:r>
      <w:r>
        <w:rPr>
          <w:rFonts w:ascii="Times New Roman" w:hAnsi="Times New Roman" w:cs="Times New Roman"/>
        </w:rPr>
        <w:t>r cases filed in 2013, the mean</w:t>
      </w:r>
      <w:r w:rsidRPr="00F43406">
        <w:rPr>
          <w:rFonts w:ascii="Times New Roman" w:hAnsi="Times New Roman" w:cs="Times New Roman"/>
        </w:rPr>
        <w:t xml:space="preserve"> for the </w:t>
      </w:r>
      <w:r w:rsidRPr="00F43406">
        <w:rPr>
          <w:rFonts w:ascii="Times New Roman" w:hAnsi="Times New Roman" w:cs="Times New Roman"/>
          <w:i/>
        </w:rPr>
        <w:t xml:space="preserve">survive </w:t>
      </w:r>
      <w:r w:rsidRPr="00F43406">
        <w:rPr>
          <w:rFonts w:ascii="Times New Roman" w:hAnsi="Times New Roman" w:cs="Times New Roman"/>
        </w:rPr>
        <w:t>measure of success is .4</w:t>
      </w:r>
      <w:r w:rsidR="007474D2">
        <w:rPr>
          <w:rFonts w:ascii="Times New Roman" w:hAnsi="Times New Roman" w:cs="Times New Roman"/>
        </w:rPr>
        <w:t>5</w:t>
      </w:r>
      <w:r w:rsidRPr="00F43406">
        <w:rPr>
          <w:rFonts w:ascii="Times New Roman" w:hAnsi="Times New Roman" w:cs="Times New Roman"/>
        </w:rPr>
        <w:t>6 (mean 1</w:t>
      </w:r>
      <w:r w:rsidRPr="00A82B81">
        <w:rPr>
          <w:rFonts w:ascii="Times New Roman" w:hAnsi="Times New Roman" w:cs="Times New Roman"/>
        </w:rPr>
        <w:t>st</w:t>
      </w:r>
      <w:r w:rsidRPr="00F43406">
        <w:rPr>
          <w:rFonts w:ascii="Times New Roman" w:hAnsi="Times New Roman" w:cs="Times New Roman"/>
        </w:rPr>
        <w:t>), while the mean for 2010 is .367 (mean 2</w:t>
      </w:r>
      <w:r w:rsidRPr="00A82B81">
        <w:rPr>
          <w:rFonts w:ascii="Times New Roman" w:hAnsi="Times New Roman" w:cs="Times New Roman"/>
        </w:rPr>
        <w:t>nd</w:t>
      </w:r>
      <w:r w:rsidRPr="00F43406">
        <w:rPr>
          <w:rFonts w:ascii="Times New Roman" w:hAnsi="Times New Roman" w:cs="Times New Roman"/>
        </w:rPr>
        <w:t>). The p-value is .1</w:t>
      </w:r>
      <w:r w:rsidR="007474D2">
        <w:rPr>
          <w:rFonts w:ascii="Times New Roman" w:hAnsi="Times New Roman" w:cs="Times New Roman"/>
        </w:rPr>
        <w:t>8</w:t>
      </w:r>
      <w:r w:rsidRPr="00F43406">
        <w:rPr>
          <w:rFonts w:ascii="Times New Roman" w:hAnsi="Times New Roman" w:cs="Times New Roman"/>
        </w:rPr>
        <w:t xml:space="preserve">, which means that there is not a statistically significant difference in survival rates between 2010 and 2013. The number of cases or observations </w:t>
      </w:r>
      <w:r>
        <w:rPr>
          <w:rFonts w:ascii="Times New Roman" w:hAnsi="Times New Roman" w:cs="Times New Roman"/>
        </w:rPr>
        <w:t xml:space="preserve">is in parentheses following each half of the relevant comparison in the far left column of Table </w:t>
      </w:r>
      <w:r w:rsidR="00DB4EAD">
        <w:rPr>
          <w:rFonts w:ascii="Times New Roman" w:hAnsi="Times New Roman" w:cs="Times New Roman"/>
        </w:rPr>
        <w:t>47</w:t>
      </w:r>
      <w:r w:rsidR="00B42980">
        <w:rPr>
          <w:rFonts w:ascii="Times New Roman" w:hAnsi="Times New Roman" w:cs="Times New Roman"/>
        </w:rPr>
        <w:t xml:space="preserve">. </w:t>
      </w:r>
      <w:r w:rsidR="00984279">
        <w:rPr>
          <w:rFonts w:ascii="Times New Roman" w:hAnsi="Times New Roman" w:cs="Times New Roman"/>
        </w:rPr>
        <w:t xml:space="preserve">In </w:t>
      </w:r>
      <w:r w:rsidR="00B42980">
        <w:rPr>
          <w:rFonts w:ascii="Times New Roman" w:hAnsi="Times New Roman" w:cs="Times New Roman"/>
        </w:rPr>
        <w:t>many</w:t>
      </w:r>
      <w:r w:rsidR="00984279">
        <w:rPr>
          <w:rFonts w:ascii="Times New Roman" w:hAnsi="Times New Roman" w:cs="Times New Roman"/>
        </w:rPr>
        <w:t xml:space="preserve"> rows the number of observations do not sum to 2</w:t>
      </w:r>
      <w:r w:rsidR="007474D2">
        <w:rPr>
          <w:rFonts w:ascii="Times New Roman" w:hAnsi="Times New Roman" w:cs="Times New Roman"/>
        </w:rPr>
        <w:t>2</w:t>
      </w:r>
      <w:r w:rsidR="00984279">
        <w:rPr>
          <w:rFonts w:ascii="Times New Roman" w:hAnsi="Times New Roman" w:cs="Times New Roman"/>
        </w:rPr>
        <w:t>3 because some cases were missing the relevant information</w:t>
      </w:r>
      <w:r w:rsidR="002937B1">
        <w:rPr>
          <w:rFonts w:ascii="Times New Roman" w:hAnsi="Times New Roman" w:cs="Times New Roman"/>
        </w:rPr>
        <w:t xml:space="preserve"> and we</w:t>
      </w:r>
      <w:r w:rsidR="00B42980">
        <w:rPr>
          <w:rFonts w:ascii="Times New Roman" w:hAnsi="Times New Roman" w:cs="Times New Roman"/>
        </w:rPr>
        <w:t>re dropped</w:t>
      </w:r>
      <w:r w:rsidR="00984279">
        <w:rPr>
          <w:rFonts w:ascii="Times New Roman" w:hAnsi="Times New Roman" w:cs="Times New Roman"/>
        </w:rPr>
        <w:t>.</w:t>
      </w:r>
      <w:r w:rsidR="00671872">
        <w:rPr>
          <w:rFonts w:ascii="Times New Roman" w:hAnsi="Times New Roman" w:cs="Times New Roman"/>
        </w:rPr>
        <w:t xml:space="preserve"> </w:t>
      </w:r>
      <w:r w:rsidR="00B42980">
        <w:rPr>
          <w:rFonts w:ascii="Times New Roman" w:hAnsi="Times New Roman" w:cs="Times New Roman"/>
        </w:rPr>
        <w:t>Finally, some debtors reported zero income or zero assets. To prevent the loss of these observations when we look at ratios or logs</w:t>
      </w:r>
      <w:r w:rsidR="009C05BD">
        <w:rPr>
          <w:rFonts w:ascii="Times New Roman" w:hAnsi="Times New Roman" w:cs="Times New Roman"/>
        </w:rPr>
        <w:t>,</w:t>
      </w:r>
      <w:r w:rsidR="00B42980">
        <w:rPr>
          <w:rFonts w:ascii="Times New Roman" w:hAnsi="Times New Roman" w:cs="Times New Roman"/>
        </w:rPr>
        <w:t xml:space="preserve"> we added $1 to all income and total asset values. </w:t>
      </w:r>
    </w:p>
    <w:p w14:paraId="71483A62" w14:textId="3E520213" w:rsidR="00FC38D9" w:rsidRDefault="00FC38D9" w:rsidP="002937B1">
      <w:pPr>
        <w:keepNext/>
        <w:keepLines/>
        <w:ind w:left="720"/>
        <w:jc w:val="center"/>
        <w:rPr>
          <w:rFonts w:ascii="Times New Roman" w:hAnsi="Times New Roman" w:cs="Times New Roman"/>
          <w:b/>
        </w:rPr>
      </w:pPr>
      <w:r>
        <w:rPr>
          <w:rFonts w:ascii="Times New Roman" w:hAnsi="Times New Roman" w:cs="Times New Roman"/>
          <w:b/>
        </w:rPr>
        <w:t xml:space="preserve">Table </w:t>
      </w:r>
      <w:r w:rsidR="00DB4EAD">
        <w:rPr>
          <w:rFonts w:ascii="Times New Roman" w:hAnsi="Times New Roman" w:cs="Times New Roman"/>
          <w:b/>
        </w:rPr>
        <w:t>47</w:t>
      </w:r>
      <w:r>
        <w:rPr>
          <w:rFonts w:ascii="Times New Roman" w:hAnsi="Times New Roman" w:cs="Times New Roman"/>
          <w:b/>
        </w:rPr>
        <w:t>: Success Comparisons</w:t>
      </w:r>
    </w:p>
    <w:p w14:paraId="7AF4B570" w14:textId="77777777" w:rsidR="00FC38D9" w:rsidRDefault="00FC38D9" w:rsidP="002937B1">
      <w:pPr>
        <w:keepNext/>
        <w:keepLines/>
        <w:ind w:left="720"/>
        <w:jc w:val="center"/>
        <w:rPr>
          <w:rFonts w:ascii="Times New Roman" w:hAnsi="Times New Roman" w:cs="Times New Roman"/>
          <w:b/>
        </w:rPr>
      </w:pPr>
    </w:p>
    <w:tbl>
      <w:tblPr>
        <w:tblStyle w:val="TableGrid"/>
        <w:tblW w:w="9018" w:type="dxa"/>
        <w:tblLook w:val="04A0" w:firstRow="1" w:lastRow="0" w:firstColumn="1" w:lastColumn="0" w:noHBand="0" w:noVBand="1"/>
      </w:tblPr>
      <w:tblGrid>
        <w:gridCol w:w="4518"/>
        <w:gridCol w:w="1440"/>
        <w:gridCol w:w="1530"/>
        <w:gridCol w:w="1530"/>
      </w:tblGrid>
      <w:tr w:rsidR="00FC38D9" w:rsidRPr="005F7FD9" w14:paraId="5EEF8818" w14:textId="77777777" w:rsidTr="00003007">
        <w:tc>
          <w:tcPr>
            <w:tcW w:w="4518" w:type="dxa"/>
            <w:tcBorders>
              <w:top w:val="nil"/>
              <w:left w:val="nil"/>
              <w:bottom w:val="single" w:sz="18" w:space="0" w:color="auto"/>
              <w:right w:val="single" w:sz="18" w:space="0" w:color="auto"/>
            </w:tcBorders>
          </w:tcPr>
          <w:p w14:paraId="18E18300" w14:textId="77777777" w:rsidR="00FC38D9" w:rsidRDefault="00FC38D9" w:rsidP="002937B1">
            <w:pPr>
              <w:keepNext/>
              <w:keepLines/>
              <w:jc w:val="center"/>
              <w:rPr>
                <w:rFonts w:ascii="Times New Roman" w:hAnsi="Times New Roman" w:cs="Times New Roman"/>
                <w:i/>
                <w:sz w:val="20"/>
                <w:szCs w:val="20"/>
              </w:rPr>
            </w:pPr>
          </w:p>
        </w:tc>
        <w:tc>
          <w:tcPr>
            <w:tcW w:w="1440" w:type="dxa"/>
            <w:tcBorders>
              <w:top w:val="single" w:sz="18" w:space="0" w:color="auto"/>
              <w:left w:val="single" w:sz="18" w:space="0" w:color="auto"/>
              <w:bottom w:val="single" w:sz="18" w:space="0" w:color="auto"/>
              <w:right w:val="single" w:sz="18" w:space="0" w:color="auto"/>
            </w:tcBorders>
          </w:tcPr>
          <w:p w14:paraId="1E6B4D7A" w14:textId="77777777" w:rsidR="00FC38D9" w:rsidRPr="00003007" w:rsidRDefault="00FC38D9" w:rsidP="002937B1">
            <w:pPr>
              <w:keepNext/>
              <w:keepLines/>
              <w:jc w:val="center"/>
              <w:rPr>
                <w:rFonts w:ascii="Times New Roman" w:hAnsi="Times New Roman" w:cs="Times New Roman"/>
                <w:b/>
              </w:rPr>
            </w:pPr>
            <w:r w:rsidRPr="00003007">
              <w:rPr>
                <w:rFonts w:ascii="Times New Roman" w:hAnsi="Times New Roman" w:cs="Times New Roman"/>
                <w:b/>
              </w:rPr>
              <w:t>Survive</w:t>
            </w:r>
          </w:p>
        </w:tc>
        <w:tc>
          <w:tcPr>
            <w:tcW w:w="1530" w:type="dxa"/>
            <w:tcBorders>
              <w:top w:val="single" w:sz="18" w:space="0" w:color="auto"/>
              <w:left w:val="single" w:sz="18" w:space="0" w:color="auto"/>
              <w:bottom w:val="single" w:sz="18" w:space="0" w:color="auto"/>
              <w:right w:val="single" w:sz="18" w:space="0" w:color="auto"/>
            </w:tcBorders>
          </w:tcPr>
          <w:p w14:paraId="1587F6D2" w14:textId="77777777" w:rsidR="00FC38D9" w:rsidRPr="00003007" w:rsidRDefault="00FC38D9" w:rsidP="002937B1">
            <w:pPr>
              <w:keepNext/>
              <w:keepLines/>
              <w:jc w:val="center"/>
              <w:rPr>
                <w:rFonts w:ascii="Times New Roman" w:hAnsi="Times New Roman" w:cs="Times New Roman"/>
                <w:b/>
              </w:rPr>
            </w:pPr>
            <w:r w:rsidRPr="00003007">
              <w:rPr>
                <w:rFonts w:ascii="Times New Roman" w:hAnsi="Times New Roman" w:cs="Times New Roman"/>
                <w:b/>
              </w:rPr>
              <w:t>Confirm</w:t>
            </w:r>
          </w:p>
        </w:tc>
        <w:tc>
          <w:tcPr>
            <w:tcW w:w="1530" w:type="dxa"/>
            <w:tcBorders>
              <w:top w:val="single" w:sz="18" w:space="0" w:color="auto"/>
              <w:left w:val="single" w:sz="18" w:space="0" w:color="auto"/>
              <w:bottom w:val="single" w:sz="18" w:space="0" w:color="auto"/>
              <w:right w:val="single" w:sz="18" w:space="0" w:color="auto"/>
            </w:tcBorders>
          </w:tcPr>
          <w:p w14:paraId="1C14A44B" w14:textId="14347F3B" w:rsidR="00FC38D9" w:rsidRPr="00003007" w:rsidRDefault="00FC38D9" w:rsidP="002937B1">
            <w:pPr>
              <w:keepNext/>
              <w:keepLines/>
              <w:jc w:val="center"/>
              <w:rPr>
                <w:rFonts w:ascii="Times New Roman" w:hAnsi="Times New Roman" w:cs="Times New Roman"/>
                <w:b/>
              </w:rPr>
            </w:pPr>
            <w:r w:rsidRPr="00003007">
              <w:rPr>
                <w:rFonts w:ascii="Times New Roman" w:hAnsi="Times New Roman" w:cs="Times New Roman"/>
                <w:b/>
              </w:rPr>
              <w:t>S</w:t>
            </w:r>
            <w:r w:rsidR="004A7CAE">
              <w:rPr>
                <w:rFonts w:ascii="Times New Roman" w:hAnsi="Times New Roman" w:cs="Times New Roman"/>
                <w:b/>
              </w:rPr>
              <w:t>&amp;C</w:t>
            </w:r>
          </w:p>
        </w:tc>
      </w:tr>
      <w:tr w:rsidR="00FC38D9" w:rsidRPr="005F7FD9" w14:paraId="20A1FB47" w14:textId="77777777" w:rsidTr="00003007">
        <w:tc>
          <w:tcPr>
            <w:tcW w:w="4518" w:type="dxa"/>
            <w:tcBorders>
              <w:top w:val="single" w:sz="18" w:space="0" w:color="auto"/>
              <w:left w:val="single" w:sz="18" w:space="0" w:color="auto"/>
              <w:bottom w:val="single" w:sz="18" w:space="0" w:color="auto"/>
              <w:right w:val="single" w:sz="18" w:space="0" w:color="auto"/>
            </w:tcBorders>
          </w:tcPr>
          <w:p w14:paraId="2644D910" w14:textId="77777777" w:rsidR="00FC38D9" w:rsidRPr="00003007" w:rsidRDefault="00FC38D9" w:rsidP="003140EB">
            <w:pPr>
              <w:jc w:val="center"/>
              <w:rPr>
                <w:rFonts w:ascii="Times New Roman" w:hAnsi="Times New Roman" w:cs="Times New Roman"/>
              </w:rPr>
            </w:pPr>
            <w:r w:rsidRPr="00003007">
              <w:rPr>
                <w:rFonts w:ascii="Times New Roman" w:hAnsi="Times New Roman" w:cs="Times New Roman"/>
                <w:i/>
              </w:rPr>
              <w:t>Comparisons</w:t>
            </w:r>
            <w:r w:rsidRPr="00003007">
              <w:rPr>
                <w:rFonts w:ascii="Times New Roman" w:hAnsi="Times New Roman" w:cs="Times New Roman"/>
              </w:rPr>
              <w:t>(# cases)</w:t>
            </w:r>
          </w:p>
        </w:tc>
        <w:tc>
          <w:tcPr>
            <w:tcW w:w="1440" w:type="dxa"/>
            <w:tcBorders>
              <w:top w:val="single" w:sz="18" w:space="0" w:color="auto"/>
              <w:left w:val="single" w:sz="18" w:space="0" w:color="auto"/>
              <w:bottom w:val="single" w:sz="18" w:space="0" w:color="auto"/>
              <w:right w:val="single" w:sz="18" w:space="0" w:color="auto"/>
            </w:tcBorders>
          </w:tcPr>
          <w:p w14:paraId="3A47F435" w14:textId="77777777" w:rsidR="00FC38D9" w:rsidRDefault="00FC38D9" w:rsidP="003140EB">
            <w:pPr>
              <w:jc w:val="center"/>
              <w:rPr>
                <w:rFonts w:ascii="Times New Roman" w:hAnsi="Times New Roman" w:cs="Times New Roman"/>
                <w:sz w:val="20"/>
                <w:szCs w:val="20"/>
              </w:rPr>
            </w:pPr>
            <w:r>
              <w:rPr>
                <w:rFonts w:ascii="Times New Roman" w:hAnsi="Times New Roman" w:cs="Times New Roman"/>
                <w:sz w:val="20"/>
                <w:szCs w:val="20"/>
              </w:rPr>
              <w:t>Mean1st</w:t>
            </w:r>
          </w:p>
          <w:p w14:paraId="75707456" w14:textId="77777777" w:rsidR="00FC38D9" w:rsidRDefault="00FC38D9" w:rsidP="003140EB">
            <w:pPr>
              <w:jc w:val="center"/>
              <w:rPr>
                <w:rFonts w:ascii="Times New Roman" w:hAnsi="Times New Roman" w:cs="Times New Roman"/>
                <w:sz w:val="20"/>
                <w:szCs w:val="20"/>
              </w:rPr>
            </w:pPr>
            <w:r>
              <w:rPr>
                <w:rFonts w:ascii="Times New Roman" w:hAnsi="Times New Roman" w:cs="Times New Roman"/>
                <w:sz w:val="20"/>
                <w:szCs w:val="20"/>
              </w:rPr>
              <w:t>Mean 2</w:t>
            </w:r>
            <w:r w:rsidRPr="00A82B81">
              <w:rPr>
                <w:rFonts w:ascii="Times New Roman" w:hAnsi="Times New Roman" w:cs="Times New Roman"/>
                <w:sz w:val="20"/>
                <w:szCs w:val="20"/>
              </w:rPr>
              <w:t>nd</w:t>
            </w:r>
          </w:p>
          <w:p w14:paraId="762BF456" w14:textId="77777777" w:rsidR="00FC38D9" w:rsidRPr="005F7FD9" w:rsidRDefault="00FC38D9" w:rsidP="003140EB">
            <w:pPr>
              <w:jc w:val="center"/>
              <w:rPr>
                <w:rFonts w:ascii="Times New Roman" w:hAnsi="Times New Roman" w:cs="Times New Roman"/>
                <w:sz w:val="20"/>
                <w:szCs w:val="20"/>
              </w:rPr>
            </w:pPr>
            <w:r>
              <w:rPr>
                <w:rFonts w:ascii="Times New Roman" w:hAnsi="Times New Roman" w:cs="Times New Roman"/>
                <w:sz w:val="20"/>
                <w:szCs w:val="20"/>
              </w:rPr>
              <w:t>(p-value)</w:t>
            </w:r>
          </w:p>
        </w:tc>
        <w:tc>
          <w:tcPr>
            <w:tcW w:w="1530" w:type="dxa"/>
            <w:tcBorders>
              <w:top w:val="single" w:sz="18" w:space="0" w:color="auto"/>
              <w:left w:val="single" w:sz="18" w:space="0" w:color="auto"/>
              <w:bottom w:val="single" w:sz="18" w:space="0" w:color="auto"/>
              <w:right w:val="single" w:sz="18" w:space="0" w:color="auto"/>
            </w:tcBorders>
          </w:tcPr>
          <w:p w14:paraId="0F497311" w14:textId="77777777" w:rsidR="00FC38D9" w:rsidRDefault="00FC38D9" w:rsidP="003140EB">
            <w:pPr>
              <w:jc w:val="center"/>
              <w:rPr>
                <w:rFonts w:ascii="Times New Roman" w:hAnsi="Times New Roman" w:cs="Times New Roman"/>
                <w:sz w:val="20"/>
                <w:szCs w:val="20"/>
              </w:rPr>
            </w:pPr>
            <w:r>
              <w:rPr>
                <w:rFonts w:ascii="Times New Roman" w:hAnsi="Times New Roman" w:cs="Times New Roman"/>
                <w:sz w:val="20"/>
                <w:szCs w:val="20"/>
              </w:rPr>
              <w:t>Mean1st</w:t>
            </w:r>
          </w:p>
          <w:p w14:paraId="0FD01557" w14:textId="77777777" w:rsidR="00FC38D9" w:rsidRDefault="00FC38D9" w:rsidP="003140EB">
            <w:pPr>
              <w:jc w:val="center"/>
              <w:rPr>
                <w:rFonts w:ascii="Times New Roman" w:hAnsi="Times New Roman" w:cs="Times New Roman"/>
                <w:sz w:val="20"/>
                <w:szCs w:val="20"/>
              </w:rPr>
            </w:pPr>
            <w:r>
              <w:rPr>
                <w:rFonts w:ascii="Times New Roman" w:hAnsi="Times New Roman" w:cs="Times New Roman"/>
                <w:sz w:val="20"/>
                <w:szCs w:val="20"/>
              </w:rPr>
              <w:t>Mean 2</w:t>
            </w:r>
            <w:r w:rsidRPr="00A82B81">
              <w:rPr>
                <w:rFonts w:ascii="Times New Roman" w:hAnsi="Times New Roman" w:cs="Times New Roman"/>
                <w:sz w:val="20"/>
                <w:szCs w:val="20"/>
              </w:rPr>
              <w:t>nd</w:t>
            </w:r>
          </w:p>
          <w:p w14:paraId="3CCF6CFE" w14:textId="77777777" w:rsidR="00FC38D9" w:rsidRPr="005F7FD9" w:rsidRDefault="00FC38D9" w:rsidP="003140EB">
            <w:pPr>
              <w:jc w:val="center"/>
              <w:rPr>
                <w:rFonts w:ascii="Times New Roman" w:hAnsi="Times New Roman" w:cs="Times New Roman"/>
                <w:sz w:val="20"/>
                <w:szCs w:val="20"/>
              </w:rPr>
            </w:pPr>
            <w:r>
              <w:rPr>
                <w:rFonts w:ascii="Times New Roman" w:hAnsi="Times New Roman" w:cs="Times New Roman"/>
                <w:sz w:val="20"/>
                <w:szCs w:val="20"/>
              </w:rPr>
              <w:t>p-value)</w:t>
            </w:r>
          </w:p>
        </w:tc>
        <w:tc>
          <w:tcPr>
            <w:tcW w:w="1530" w:type="dxa"/>
            <w:tcBorders>
              <w:top w:val="single" w:sz="18" w:space="0" w:color="auto"/>
              <w:left w:val="single" w:sz="18" w:space="0" w:color="auto"/>
              <w:bottom w:val="single" w:sz="18" w:space="0" w:color="auto"/>
              <w:right w:val="single" w:sz="18" w:space="0" w:color="auto"/>
            </w:tcBorders>
          </w:tcPr>
          <w:p w14:paraId="7C952390" w14:textId="77777777" w:rsidR="00FC38D9" w:rsidRDefault="00FC38D9" w:rsidP="003140EB">
            <w:pPr>
              <w:jc w:val="center"/>
              <w:rPr>
                <w:rFonts w:ascii="Times New Roman" w:hAnsi="Times New Roman" w:cs="Times New Roman"/>
                <w:sz w:val="20"/>
                <w:szCs w:val="20"/>
              </w:rPr>
            </w:pPr>
            <w:r>
              <w:rPr>
                <w:rFonts w:ascii="Times New Roman" w:hAnsi="Times New Roman" w:cs="Times New Roman"/>
                <w:sz w:val="20"/>
                <w:szCs w:val="20"/>
              </w:rPr>
              <w:t>Mean1st</w:t>
            </w:r>
          </w:p>
          <w:p w14:paraId="00823C9C" w14:textId="77777777" w:rsidR="00FC38D9" w:rsidRDefault="00FC38D9" w:rsidP="003140EB">
            <w:pPr>
              <w:jc w:val="center"/>
              <w:rPr>
                <w:rFonts w:ascii="Times New Roman" w:hAnsi="Times New Roman" w:cs="Times New Roman"/>
                <w:sz w:val="20"/>
                <w:szCs w:val="20"/>
              </w:rPr>
            </w:pPr>
            <w:r>
              <w:rPr>
                <w:rFonts w:ascii="Times New Roman" w:hAnsi="Times New Roman" w:cs="Times New Roman"/>
                <w:sz w:val="20"/>
                <w:szCs w:val="20"/>
              </w:rPr>
              <w:t>Mean 2</w:t>
            </w:r>
            <w:r w:rsidRPr="00A82B81">
              <w:rPr>
                <w:rFonts w:ascii="Times New Roman" w:hAnsi="Times New Roman" w:cs="Times New Roman"/>
                <w:sz w:val="20"/>
                <w:szCs w:val="20"/>
              </w:rPr>
              <w:t>nd</w:t>
            </w:r>
          </w:p>
          <w:p w14:paraId="1F5BD25D" w14:textId="77777777" w:rsidR="00FC38D9" w:rsidRPr="005F7FD9" w:rsidRDefault="00FC38D9" w:rsidP="003140EB">
            <w:pPr>
              <w:jc w:val="center"/>
              <w:rPr>
                <w:rFonts w:ascii="Times New Roman" w:hAnsi="Times New Roman" w:cs="Times New Roman"/>
                <w:sz w:val="20"/>
                <w:szCs w:val="20"/>
              </w:rPr>
            </w:pPr>
            <w:r>
              <w:rPr>
                <w:rFonts w:ascii="Times New Roman" w:hAnsi="Times New Roman" w:cs="Times New Roman"/>
                <w:sz w:val="20"/>
                <w:szCs w:val="20"/>
              </w:rPr>
              <w:t>(p-value)</w:t>
            </w:r>
          </w:p>
        </w:tc>
      </w:tr>
      <w:tr w:rsidR="00FC38D9" w:rsidRPr="005F7FD9" w14:paraId="60491B80" w14:textId="77777777" w:rsidTr="00003007">
        <w:tc>
          <w:tcPr>
            <w:tcW w:w="4518" w:type="dxa"/>
            <w:tcBorders>
              <w:top w:val="single" w:sz="18" w:space="0" w:color="auto"/>
              <w:right w:val="single" w:sz="18" w:space="0" w:color="auto"/>
            </w:tcBorders>
          </w:tcPr>
          <w:p w14:paraId="01318855" w14:textId="77777777" w:rsidR="00FC38D9" w:rsidRPr="00296473" w:rsidRDefault="00FC38D9" w:rsidP="003140EB">
            <w:pPr>
              <w:rPr>
                <w:rFonts w:ascii="Times New Roman" w:hAnsi="Times New Roman" w:cs="Times New Roman"/>
                <w:sz w:val="20"/>
                <w:szCs w:val="20"/>
              </w:rPr>
            </w:pPr>
            <w:r w:rsidRPr="00296473">
              <w:rPr>
                <w:rFonts w:ascii="Times New Roman" w:hAnsi="Times New Roman" w:cs="Times New Roman"/>
                <w:sz w:val="20"/>
                <w:szCs w:val="20"/>
              </w:rPr>
              <w:t xml:space="preserve">(1) Cases filed in 2013 </w:t>
            </w:r>
            <w:r>
              <w:rPr>
                <w:rFonts w:ascii="Times New Roman" w:hAnsi="Times New Roman" w:cs="Times New Roman"/>
                <w:sz w:val="20"/>
                <w:szCs w:val="20"/>
              </w:rPr>
              <w:t xml:space="preserve">(114) </w:t>
            </w:r>
            <w:r w:rsidRPr="00296473">
              <w:rPr>
                <w:rFonts w:ascii="Times New Roman" w:hAnsi="Times New Roman" w:cs="Times New Roman"/>
                <w:sz w:val="20"/>
                <w:szCs w:val="20"/>
              </w:rPr>
              <w:t xml:space="preserve">v.  2010  </w:t>
            </w:r>
            <w:r>
              <w:rPr>
                <w:rFonts w:ascii="Times New Roman" w:hAnsi="Times New Roman" w:cs="Times New Roman"/>
                <w:sz w:val="20"/>
                <w:szCs w:val="20"/>
              </w:rPr>
              <w:t>(109)</w:t>
            </w:r>
          </w:p>
        </w:tc>
        <w:tc>
          <w:tcPr>
            <w:tcW w:w="1440" w:type="dxa"/>
            <w:tcBorders>
              <w:top w:val="single" w:sz="18" w:space="0" w:color="auto"/>
              <w:left w:val="single" w:sz="18" w:space="0" w:color="auto"/>
              <w:right w:val="single" w:sz="18" w:space="0" w:color="auto"/>
            </w:tcBorders>
          </w:tcPr>
          <w:p w14:paraId="6447E32E" w14:textId="4354B9B7" w:rsidR="00FC38D9" w:rsidRDefault="00FC38D9" w:rsidP="003140EB">
            <w:pPr>
              <w:jc w:val="right"/>
              <w:rPr>
                <w:rFonts w:ascii="Times New Roman" w:hAnsi="Times New Roman" w:cs="Times New Roman"/>
                <w:sz w:val="20"/>
                <w:szCs w:val="20"/>
              </w:rPr>
            </w:pPr>
            <w:r>
              <w:rPr>
                <w:rFonts w:ascii="Times New Roman" w:hAnsi="Times New Roman" w:cs="Times New Roman"/>
                <w:sz w:val="20"/>
                <w:szCs w:val="20"/>
              </w:rPr>
              <w:t>.45</w:t>
            </w:r>
            <w:r w:rsidR="001B234D">
              <w:rPr>
                <w:rFonts w:ascii="Times New Roman" w:hAnsi="Times New Roman" w:cs="Times New Roman"/>
                <w:sz w:val="20"/>
                <w:szCs w:val="20"/>
              </w:rPr>
              <w:t>6</w:t>
            </w:r>
            <w:r>
              <w:rPr>
                <w:rFonts w:ascii="Times New Roman" w:hAnsi="Times New Roman" w:cs="Times New Roman"/>
                <w:sz w:val="20"/>
                <w:szCs w:val="20"/>
              </w:rPr>
              <w:t xml:space="preserve"> </w:t>
            </w:r>
          </w:p>
          <w:p w14:paraId="34E34A0C" w14:textId="77777777" w:rsidR="00FC38D9" w:rsidRDefault="00FC38D9" w:rsidP="003140EB">
            <w:pPr>
              <w:jc w:val="right"/>
              <w:rPr>
                <w:rFonts w:ascii="Times New Roman" w:hAnsi="Times New Roman" w:cs="Times New Roman"/>
                <w:sz w:val="20"/>
                <w:szCs w:val="20"/>
              </w:rPr>
            </w:pPr>
            <w:r>
              <w:rPr>
                <w:rFonts w:ascii="Times New Roman" w:hAnsi="Times New Roman" w:cs="Times New Roman"/>
                <w:sz w:val="20"/>
                <w:szCs w:val="20"/>
              </w:rPr>
              <w:t xml:space="preserve">.367 </w:t>
            </w:r>
          </w:p>
          <w:p w14:paraId="0E9C6C07" w14:textId="65583D87" w:rsidR="00FC38D9" w:rsidRPr="005F7FD9" w:rsidRDefault="00FC38D9" w:rsidP="003140EB">
            <w:pPr>
              <w:jc w:val="right"/>
              <w:rPr>
                <w:rFonts w:ascii="Times New Roman" w:hAnsi="Times New Roman" w:cs="Times New Roman"/>
                <w:sz w:val="20"/>
                <w:szCs w:val="20"/>
              </w:rPr>
            </w:pPr>
            <w:r>
              <w:rPr>
                <w:rFonts w:ascii="Times New Roman" w:hAnsi="Times New Roman" w:cs="Times New Roman"/>
                <w:sz w:val="20"/>
                <w:szCs w:val="20"/>
              </w:rPr>
              <w:t>(.1</w:t>
            </w:r>
            <w:r w:rsidR="001B234D">
              <w:rPr>
                <w:rFonts w:ascii="Times New Roman" w:hAnsi="Times New Roman" w:cs="Times New Roman"/>
                <w:sz w:val="20"/>
                <w:szCs w:val="20"/>
              </w:rPr>
              <w:t>8</w:t>
            </w:r>
            <w:r>
              <w:rPr>
                <w:rFonts w:ascii="Times New Roman" w:hAnsi="Times New Roman" w:cs="Times New Roman"/>
                <w:sz w:val="20"/>
                <w:szCs w:val="20"/>
              </w:rPr>
              <w:t>)</w:t>
            </w:r>
          </w:p>
        </w:tc>
        <w:tc>
          <w:tcPr>
            <w:tcW w:w="1530" w:type="dxa"/>
            <w:tcBorders>
              <w:top w:val="single" w:sz="18" w:space="0" w:color="auto"/>
              <w:left w:val="single" w:sz="18" w:space="0" w:color="auto"/>
              <w:right w:val="single" w:sz="18" w:space="0" w:color="auto"/>
            </w:tcBorders>
          </w:tcPr>
          <w:p w14:paraId="21E90ED4" w14:textId="77777777" w:rsidR="00FC38D9" w:rsidRDefault="00FC38D9" w:rsidP="003140EB">
            <w:pPr>
              <w:jc w:val="right"/>
              <w:rPr>
                <w:rFonts w:ascii="Times New Roman" w:hAnsi="Times New Roman" w:cs="Times New Roman"/>
                <w:sz w:val="20"/>
                <w:szCs w:val="20"/>
              </w:rPr>
            </w:pPr>
            <w:r>
              <w:rPr>
                <w:rFonts w:ascii="Times New Roman" w:hAnsi="Times New Roman" w:cs="Times New Roman"/>
                <w:sz w:val="20"/>
                <w:szCs w:val="20"/>
              </w:rPr>
              <w:t>.412</w:t>
            </w:r>
          </w:p>
          <w:p w14:paraId="04EA9D08" w14:textId="246582D0" w:rsidR="00FC38D9" w:rsidRDefault="00FC38D9" w:rsidP="003140EB">
            <w:pPr>
              <w:jc w:val="right"/>
              <w:rPr>
                <w:rFonts w:ascii="Times New Roman" w:hAnsi="Times New Roman" w:cs="Times New Roman"/>
                <w:sz w:val="20"/>
                <w:szCs w:val="20"/>
              </w:rPr>
            </w:pPr>
            <w:r>
              <w:rPr>
                <w:rFonts w:ascii="Times New Roman" w:hAnsi="Times New Roman" w:cs="Times New Roman"/>
                <w:sz w:val="20"/>
                <w:szCs w:val="20"/>
              </w:rPr>
              <w:t>.3</w:t>
            </w:r>
            <w:r w:rsidR="001B234D">
              <w:rPr>
                <w:rFonts w:ascii="Times New Roman" w:hAnsi="Times New Roman" w:cs="Times New Roman"/>
                <w:sz w:val="20"/>
                <w:szCs w:val="20"/>
              </w:rPr>
              <w:t>5</w:t>
            </w:r>
            <w:r>
              <w:rPr>
                <w:rFonts w:ascii="Times New Roman" w:hAnsi="Times New Roman" w:cs="Times New Roman"/>
                <w:sz w:val="20"/>
                <w:szCs w:val="20"/>
              </w:rPr>
              <w:t>8</w:t>
            </w:r>
          </w:p>
          <w:p w14:paraId="3796F05B" w14:textId="77777777" w:rsidR="00FC38D9" w:rsidRPr="005F7FD9" w:rsidRDefault="00FC38D9" w:rsidP="003140EB">
            <w:pPr>
              <w:jc w:val="right"/>
              <w:rPr>
                <w:rFonts w:ascii="Times New Roman" w:hAnsi="Times New Roman" w:cs="Times New Roman"/>
                <w:sz w:val="20"/>
                <w:szCs w:val="20"/>
              </w:rPr>
            </w:pPr>
            <w:r>
              <w:rPr>
                <w:rFonts w:ascii="Times New Roman" w:hAnsi="Times New Roman" w:cs="Times New Roman"/>
                <w:sz w:val="20"/>
                <w:szCs w:val="20"/>
              </w:rPr>
              <w:t>(.40)</w:t>
            </w:r>
          </w:p>
        </w:tc>
        <w:tc>
          <w:tcPr>
            <w:tcW w:w="1530" w:type="dxa"/>
            <w:tcBorders>
              <w:top w:val="single" w:sz="18" w:space="0" w:color="auto"/>
              <w:left w:val="single" w:sz="18" w:space="0" w:color="auto"/>
              <w:right w:val="single" w:sz="18" w:space="0" w:color="auto"/>
            </w:tcBorders>
          </w:tcPr>
          <w:p w14:paraId="348FB298" w14:textId="77777777" w:rsidR="00FC38D9" w:rsidRDefault="00FC38D9" w:rsidP="003140EB">
            <w:pPr>
              <w:jc w:val="right"/>
              <w:rPr>
                <w:rFonts w:ascii="Times New Roman" w:hAnsi="Times New Roman" w:cs="Times New Roman"/>
                <w:sz w:val="20"/>
                <w:szCs w:val="20"/>
              </w:rPr>
            </w:pPr>
            <w:r>
              <w:rPr>
                <w:rFonts w:ascii="Times New Roman" w:hAnsi="Times New Roman" w:cs="Times New Roman"/>
                <w:sz w:val="20"/>
                <w:szCs w:val="20"/>
              </w:rPr>
              <w:t>.395</w:t>
            </w:r>
          </w:p>
          <w:p w14:paraId="07C33B67" w14:textId="77777777" w:rsidR="00FC38D9" w:rsidRDefault="00FC38D9" w:rsidP="003140EB">
            <w:pPr>
              <w:jc w:val="right"/>
              <w:rPr>
                <w:rFonts w:ascii="Times New Roman" w:hAnsi="Times New Roman" w:cs="Times New Roman"/>
                <w:sz w:val="20"/>
                <w:szCs w:val="20"/>
              </w:rPr>
            </w:pPr>
            <w:r>
              <w:rPr>
                <w:rFonts w:ascii="Times New Roman" w:hAnsi="Times New Roman" w:cs="Times New Roman"/>
                <w:sz w:val="20"/>
                <w:szCs w:val="20"/>
              </w:rPr>
              <w:t>.321</w:t>
            </w:r>
          </w:p>
          <w:p w14:paraId="67CA8B26" w14:textId="77777777" w:rsidR="00FC38D9" w:rsidRPr="005F7FD9" w:rsidRDefault="00FC38D9" w:rsidP="003140EB">
            <w:pPr>
              <w:jc w:val="right"/>
              <w:rPr>
                <w:rFonts w:ascii="Times New Roman" w:hAnsi="Times New Roman" w:cs="Times New Roman"/>
                <w:sz w:val="20"/>
                <w:szCs w:val="20"/>
              </w:rPr>
            </w:pPr>
            <w:r>
              <w:rPr>
                <w:rFonts w:ascii="Times New Roman" w:hAnsi="Times New Roman" w:cs="Times New Roman"/>
                <w:sz w:val="20"/>
                <w:szCs w:val="20"/>
              </w:rPr>
              <w:t>(.25)</w:t>
            </w:r>
          </w:p>
        </w:tc>
      </w:tr>
      <w:tr w:rsidR="00FC38D9" w:rsidRPr="005F7FD9" w14:paraId="25BF693C" w14:textId="77777777" w:rsidTr="00003007">
        <w:tc>
          <w:tcPr>
            <w:tcW w:w="4518" w:type="dxa"/>
            <w:tcBorders>
              <w:right w:val="single" w:sz="18" w:space="0" w:color="auto"/>
            </w:tcBorders>
          </w:tcPr>
          <w:p w14:paraId="6FB0F083" w14:textId="77777777" w:rsidR="00FC38D9" w:rsidRPr="00296473" w:rsidRDefault="00FC38D9" w:rsidP="003140EB">
            <w:pPr>
              <w:rPr>
                <w:rFonts w:ascii="Times New Roman" w:hAnsi="Times New Roman" w:cs="Times New Roman"/>
                <w:sz w:val="20"/>
                <w:szCs w:val="20"/>
              </w:rPr>
            </w:pPr>
            <w:r w:rsidRPr="00296473">
              <w:rPr>
                <w:rFonts w:ascii="Times New Roman" w:hAnsi="Times New Roman" w:cs="Times New Roman"/>
                <w:sz w:val="20"/>
                <w:szCs w:val="20"/>
              </w:rPr>
              <w:t xml:space="preserve">(2) Non-business debt </w:t>
            </w:r>
            <w:r>
              <w:rPr>
                <w:rFonts w:ascii="Times New Roman" w:hAnsi="Times New Roman" w:cs="Times New Roman"/>
                <w:sz w:val="20"/>
                <w:szCs w:val="20"/>
              </w:rPr>
              <w:t xml:space="preserve">(122) </w:t>
            </w:r>
            <w:r w:rsidRPr="00296473">
              <w:rPr>
                <w:rFonts w:ascii="Times New Roman" w:hAnsi="Times New Roman" w:cs="Times New Roman"/>
                <w:sz w:val="20"/>
                <w:szCs w:val="20"/>
              </w:rPr>
              <w:t>v. business debt</w:t>
            </w:r>
            <w:r>
              <w:rPr>
                <w:rFonts w:ascii="Times New Roman" w:hAnsi="Times New Roman" w:cs="Times New Roman"/>
                <w:sz w:val="20"/>
                <w:szCs w:val="20"/>
              </w:rPr>
              <w:t xml:space="preserve"> (99)</w:t>
            </w:r>
          </w:p>
        </w:tc>
        <w:tc>
          <w:tcPr>
            <w:tcW w:w="1440" w:type="dxa"/>
            <w:tcBorders>
              <w:left w:val="single" w:sz="18" w:space="0" w:color="auto"/>
              <w:right w:val="single" w:sz="18" w:space="0" w:color="auto"/>
            </w:tcBorders>
          </w:tcPr>
          <w:p w14:paraId="7207CAD2" w14:textId="4F187D68" w:rsidR="00FC38D9" w:rsidRPr="00296473" w:rsidRDefault="001B234D" w:rsidP="003140EB">
            <w:pPr>
              <w:jc w:val="right"/>
              <w:rPr>
                <w:rFonts w:ascii="Times New Roman" w:hAnsi="Times New Roman" w:cs="Times New Roman"/>
                <w:sz w:val="20"/>
                <w:szCs w:val="20"/>
              </w:rPr>
            </w:pPr>
            <w:r>
              <w:rPr>
                <w:rFonts w:ascii="Times New Roman" w:hAnsi="Times New Roman" w:cs="Times New Roman"/>
                <w:sz w:val="20"/>
                <w:szCs w:val="20"/>
              </w:rPr>
              <w:t>.361</w:t>
            </w:r>
            <w:r w:rsidR="00FC38D9">
              <w:rPr>
                <w:rFonts w:ascii="Times New Roman" w:hAnsi="Times New Roman" w:cs="Times New Roman"/>
                <w:sz w:val="20"/>
                <w:szCs w:val="20"/>
              </w:rPr>
              <w:t xml:space="preserve"> </w:t>
            </w:r>
          </w:p>
          <w:p w14:paraId="2FFCD699" w14:textId="77777777" w:rsidR="00FC38D9" w:rsidRDefault="00FC38D9" w:rsidP="003140EB">
            <w:pPr>
              <w:jc w:val="right"/>
              <w:rPr>
                <w:rFonts w:ascii="Times New Roman" w:hAnsi="Times New Roman" w:cs="Times New Roman"/>
                <w:sz w:val="20"/>
                <w:szCs w:val="20"/>
              </w:rPr>
            </w:pPr>
            <w:r>
              <w:rPr>
                <w:rFonts w:ascii="Times New Roman" w:hAnsi="Times New Roman" w:cs="Times New Roman"/>
                <w:sz w:val="20"/>
                <w:szCs w:val="20"/>
              </w:rPr>
              <w:t xml:space="preserve">.475 </w:t>
            </w:r>
          </w:p>
          <w:p w14:paraId="44627D5C" w14:textId="49FE426D" w:rsidR="00FC38D9" w:rsidRPr="00296473" w:rsidRDefault="001B234D" w:rsidP="000F165F">
            <w:pPr>
              <w:jc w:val="right"/>
              <w:rPr>
                <w:rFonts w:ascii="Times New Roman" w:hAnsi="Times New Roman" w:cs="Times New Roman"/>
                <w:sz w:val="20"/>
                <w:szCs w:val="20"/>
              </w:rPr>
            </w:pPr>
            <w:r>
              <w:rPr>
                <w:rFonts w:ascii="Times New Roman" w:hAnsi="Times New Roman" w:cs="Times New Roman"/>
                <w:sz w:val="20"/>
                <w:szCs w:val="20"/>
              </w:rPr>
              <w:t>(.09</w:t>
            </w:r>
            <w:r w:rsidR="00FC38D9">
              <w:rPr>
                <w:rFonts w:ascii="Times New Roman" w:hAnsi="Times New Roman" w:cs="Times New Roman"/>
                <w:sz w:val="20"/>
                <w:szCs w:val="20"/>
              </w:rPr>
              <w:t>)</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11700F69" w14:textId="77777777" w:rsidR="00FC38D9" w:rsidRPr="00296473" w:rsidRDefault="00FC38D9" w:rsidP="003140EB">
            <w:pPr>
              <w:jc w:val="right"/>
              <w:rPr>
                <w:rFonts w:ascii="Times New Roman" w:hAnsi="Times New Roman" w:cs="Times New Roman"/>
                <w:sz w:val="20"/>
                <w:szCs w:val="20"/>
              </w:rPr>
            </w:pPr>
            <w:r>
              <w:rPr>
                <w:rFonts w:ascii="Times New Roman" w:hAnsi="Times New Roman" w:cs="Times New Roman"/>
                <w:sz w:val="20"/>
                <w:szCs w:val="20"/>
              </w:rPr>
              <w:t xml:space="preserve">.361 </w:t>
            </w:r>
          </w:p>
          <w:p w14:paraId="130BF295" w14:textId="77777777" w:rsidR="00FC38D9" w:rsidRDefault="00FC38D9" w:rsidP="003140EB">
            <w:pPr>
              <w:jc w:val="right"/>
              <w:rPr>
                <w:rFonts w:ascii="Times New Roman" w:hAnsi="Times New Roman" w:cs="Times New Roman"/>
                <w:sz w:val="20"/>
                <w:szCs w:val="20"/>
              </w:rPr>
            </w:pPr>
            <w:r>
              <w:rPr>
                <w:rFonts w:ascii="Times New Roman" w:hAnsi="Times New Roman" w:cs="Times New Roman"/>
                <w:sz w:val="20"/>
                <w:szCs w:val="20"/>
              </w:rPr>
              <w:t>.414</w:t>
            </w:r>
          </w:p>
          <w:p w14:paraId="7A009BE4" w14:textId="5663E6FD" w:rsidR="00FC38D9" w:rsidRPr="00296473" w:rsidRDefault="00FC38D9" w:rsidP="000F165F">
            <w:pPr>
              <w:jc w:val="right"/>
              <w:rPr>
                <w:rFonts w:ascii="Times New Roman" w:hAnsi="Times New Roman" w:cs="Times New Roman"/>
                <w:sz w:val="20"/>
                <w:szCs w:val="20"/>
              </w:rPr>
            </w:pPr>
            <w:r>
              <w:rPr>
                <w:rFonts w:ascii="Times New Roman" w:hAnsi="Times New Roman" w:cs="Times New Roman"/>
                <w:sz w:val="20"/>
                <w:szCs w:val="20"/>
              </w:rPr>
              <w:t>(.42)</w:t>
            </w:r>
          </w:p>
        </w:tc>
        <w:tc>
          <w:tcPr>
            <w:tcW w:w="1530" w:type="dxa"/>
            <w:tcBorders>
              <w:left w:val="single" w:sz="18" w:space="0" w:color="auto"/>
              <w:right w:val="single" w:sz="18" w:space="0" w:color="auto"/>
            </w:tcBorders>
          </w:tcPr>
          <w:p w14:paraId="04697D1C" w14:textId="77777777" w:rsidR="00FC38D9" w:rsidRPr="00296473" w:rsidRDefault="00FC38D9" w:rsidP="003140EB">
            <w:pPr>
              <w:jc w:val="right"/>
              <w:rPr>
                <w:rFonts w:ascii="Times New Roman" w:hAnsi="Times New Roman" w:cs="Times New Roman"/>
                <w:sz w:val="20"/>
                <w:szCs w:val="20"/>
              </w:rPr>
            </w:pPr>
            <w:r>
              <w:rPr>
                <w:rFonts w:ascii="Times New Roman" w:hAnsi="Times New Roman" w:cs="Times New Roman"/>
                <w:sz w:val="20"/>
                <w:szCs w:val="20"/>
              </w:rPr>
              <w:t>.328</w:t>
            </w:r>
          </w:p>
          <w:p w14:paraId="5DF13CD0" w14:textId="77777777" w:rsidR="00FC38D9" w:rsidRDefault="00FC38D9" w:rsidP="003140EB">
            <w:pPr>
              <w:jc w:val="right"/>
              <w:rPr>
                <w:rFonts w:ascii="Times New Roman" w:hAnsi="Times New Roman" w:cs="Times New Roman"/>
                <w:sz w:val="20"/>
                <w:szCs w:val="20"/>
              </w:rPr>
            </w:pPr>
            <w:r>
              <w:rPr>
                <w:rFonts w:ascii="Times New Roman" w:hAnsi="Times New Roman" w:cs="Times New Roman"/>
                <w:sz w:val="20"/>
                <w:szCs w:val="20"/>
              </w:rPr>
              <w:t>.394</w:t>
            </w:r>
          </w:p>
          <w:p w14:paraId="0AB6E6C2" w14:textId="77777777" w:rsidR="00FC38D9" w:rsidRPr="005F7FD9" w:rsidRDefault="00FC38D9" w:rsidP="003140EB">
            <w:pPr>
              <w:jc w:val="right"/>
              <w:rPr>
                <w:rFonts w:ascii="Times New Roman" w:hAnsi="Times New Roman" w:cs="Times New Roman"/>
                <w:sz w:val="20"/>
                <w:szCs w:val="20"/>
              </w:rPr>
            </w:pPr>
            <w:r>
              <w:rPr>
                <w:rFonts w:ascii="Times New Roman" w:hAnsi="Times New Roman" w:cs="Times New Roman"/>
                <w:sz w:val="20"/>
                <w:szCs w:val="20"/>
              </w:rPr>
              <w:t>(.31)</w:t>
            </w:r>
          </w:p>
        </w:tc>
      </w:tr>
      <w:tr w:rsidR="00FC38D9" w:rsidRPr="005F7FD9" w14:paraId="4F9307B8" w14:textId="77777777" w:rsidTr="00003007">
        <w:tc>
          <w:tcPr>
            <w:tcW w:w="4518" w:type="dxa"/>
            <w:tcBorders>
              <w:right w:val="single" w:sz="18" w:space="0" w:color="auto"/>
            </w:tcBorders>
          </w:tcPr>
          <w:p w14:paraId="3B34E496" w14:textId="77777777" w:rsidR="00FC38D9" w:rsidRPr="0015537E" w:rsidRDefault="00FC38D9" w:rsidP="003140EB">
            <w:pPr>
              <w:rPr>
                <w:rFonts w:ascii="Times New Roman" w:hAnsi="Times New Roman" w:cs="Times New Roman"/>
                <w:sz w:val="20"/>
                <w:szCs w:val="20"/>
              </w:rPr>
            </w:pPr>
            <w:r w:rsidRPr="00F7017D">
              <w:rPr>
                <w:rFonts w:ascii="Times New Roman" w:hAnsi="Times New Roman" w:cs="Times New Roman"/>
                <w:sz w:val="20"/>
                <w:szCs w:val="20"/>
              </w:rPr>
              <w:t xml:space="preserve">(3) No business operations </w:t>
            </w:r>
            <w:r>
              <w:rPr>
                <w:rFonts w:ascii="Times New Roman" w:hAnsi="Times New Roman" w:cs="Times New Roman"/>
                <w:sz w:val="20"/>
                <w:szCs w:val="20"/>
              </w:rPr>
              <w:t xml:space="preserve">(24) </w:t>
            </w:r>
            <w:r w:rsidRPr="00F7017D">
              <w:rPr>
                <w:rFonts w:ascii="Times New Roman" w:hAnsi="Times New Roman" w:cs="Times New Roman"/>
                <w:sz w:val="20"/>
                <w:szCs w:val="20"/>
              </w:rPr>
              <w:t>v. business operations</w:t>
            </w:r>
            <w:r>
              <w:rPr>
                <w:rFonts w:ascii="Times New Roman" w:hAnsi="Times New Roman" w:cs="Times New Roman"/>
                <w:sz w:val="20"/>
                <w:szCs w:val="20"/>
              </w:rPr>
              <w:t xml:space="preserve"> (174) </w:t>
            </w:r>
          </w:p>
        </w:tc>
        <w:tc>
          <w:tcPr>
            <w:tcW w:w="1440" w:type="dxa"/>
            <w:tcBorders>
              <w:left w:val="single" w:sz="18" w:space="0" w:color="auto"/>
              <w:right w:val="single" w:sz="18" w:space="0" w:color="auto"/>
            </w:tcBorders>
          </w:tcPr>
          <w:p w14:paraId="77321466"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.292 </w:t>
            </w:r>
          </w:p>
          <w:p w14:paraId="574578F3" w14:textId="54CC8653"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w:t>
            </w:r>
            <w:r w:rsidR="001B234D">
              <w:rPr>
                <w:rFonts w:ascii="Times New Roman" w:hAnsi="Times New Roman" w:cs="Times New Roman"/>
                <w:sz w:val="20"/>
                <w:szCs w:val="20"/>
              </w:rPr>
              <w:t>45</w:t>
            </w:r>
            <w:r w:rsidRPr="00F7017D">
              <w:rPr>
                <w:rFonts w:ascii="Times New Roman" w:hAnsi="Times New Roman" w:cs="Times New Roman"/>
                <w:sz w:val="20"/>
                <w:szCs w:val="20"/>
              </w:rPr>
              <w:t xml:space="preserve">6 </w:t>
            </w:r>
          </w:p>
          <w:p w14:paraId="1F3DF1B3" w14:textId="6AEC6C6E"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001B234D">
              <w:rPr>
                <w:rFonts w:ascii="Times New Roman" w:hAnsi="Times New Roman" w:cs="Times New Roman"/>
                <w:sz w:val="20"/>
                <w:szCs w:val="20"/>
              </w:rPr>
              <w:t>.12</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266E1754" w14:textId="77777777" w:rsidR="00FC38D9" w:rsidRPr="00F951E5" w:rsidRDefault="00FC38D9" w:rsidP="003140EB">
            <w:pPr>
              <w:jc w:val="right"/>
              <w:rPr>
                <w:rFonts w:ascii="Times New Roman" w:hAnsi="Times New Roman" w:cs="Times New Roman"/>
                <w:sz w:val="20"/>
                <w:szCs w:val="20"/>
              </w:rPr>
            </w:pPr>
            <w:r w:rsidRPr="00F951E5">
              <w:rPr>
                <w:rFonts w:ascii="Times New Roman" w:hAnsi="Times New Roman" w:cs="Times New Roman"/>
                <w:sz w:val="20"/>
                <w:szCs w:val="20"/>
              </w:rPr>
              <w:t xml:space="preserve">.25 </w:t>
            </w:r>
          </w:p>
          <w:p w14:paraId="6881A6F0" w14:textId="77777777" w:rsidR="00FC38D9" w:rsidRPr="00F7017D" w:rsidRDefault="00FC38D9" w:rsidP="003140EB">
            <w:pPr>
              <w:jc w:val="right"/>
              <w:rPr>
                <w:rFonts w:ascii="Times New Roman" w:hAnsi="Times New Roman" w:cs="Times New Roman"/>
                <w:sz w:val="20"/>
                <w:szCs w:val="20"/>
              </w:rPr>
            </w:pPr>
            <w:r w:rsidRPr="00F951E5">
              <w:rPr>
                <w:rFonts w:ascii="Times New Roman" w:hAnsi="Times New Roman" w:cs="Times New Roman"/>
                <w:sz w:val="20"/>
                <w:szCs w:val="20"/>
              </w:rPr>
              <w:t>.437</w:t>
            </w:r>
          </w:p>
          <w:p w14:paraId="50EE3295" w14:textId="77777777"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.08</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5D175F76"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.25 </w:t>
            </w:r>
          </w:p>
          <w:p w14:paraId="64B609D5"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.402 </w:t>
            </w:r>
          </w:p>
          <w:p w14:paraId="36A413A9" w14:textId="77777777"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.15</w:t>
            </w:r>
            <w:r>
              <w:rPr>
                <w:rFonts w:ascii="Times New Roman" w:hAnsi="Times New Roman" w:cs="Times New Roman"/>
                <w:sz w:val="20"/>
                <w:szCs w:val="20"/>
              </w:rPr>
              <w:t>)</w:t>
            </w:r>
          </w:p>
        </w:tc>
      </w:tr>
      <w:tr w:rsidR="00FC38D9" w:rsidRPr="005F7FD9" w14:paraId="2173F83E" w14:textId="77777777" w:rsidTr="00003007">
        <w:tc>
          <w:tcPr>
            <w:tcW w:w="4518" w:type="dxa"/>
            <w:tcBorders>
              <w:right w:val="single" w:sz="18" w:space="0" w:color="auto"/>
            </w:tcBorders>
          </w:tcPr>
          <w:p w14:paraId="569C0911" w14:textId="77777777" w:rsidR="00FC38D9" w:rsidRPr="0015537E" w:rsidRDefault="00FC38D9" w:rsidP="003140EB">
            <w:pPr>
              <w:rPr>
                <w:rFonts w:ascii="Times New Roman" w:hAnsi="Times New Roman" w:cs="Times New Roman"/>
                <w:sz w:val="20"/>
                <w:szCs w:val="20"/>
              </w:rPr>
            </w:pPr>
            <w:r w:rsidRPr="00F7017D">
              <w:rPr>
                <w:rFonts w:ascii="Times New Roman" w:hAnsi="Times New Roman" w:cs="Times New Roman"/>
                <w:sz w:val="20"/>
                <w:szCs w:val="20"/>
              </w:rPr>
              <w:t xml:space="preserve">(4) Not small business </w:t>
            </w:r>
            <w:r>
              <w:rPr>
                <w:rFonts w:ascii="Times New Roman" w:hAnsi="Times New Roman" w:cs="Times New Roman"/>
                <w:sz w:val="20"/>
                <w:szCs w:val="20"/>
              </w:rPr>
              <w:t xml:space="preserve">(168) </w:t>
            </w:r>
            <w:r w:rsidRPr="00F7017D">
              <w:rPr>
                <w:rFonts w:ascii="Times New Roman" w:hAnsi="Times New Roman" w:cs="Times New Roman"/>
                <w:sz w:val="20"/>
                <w:szCs w:val="20"/>
              </w:rPr>
              <w:t>v. small business</w:t>
            </w:r>
            <w:r>
              <w:rPr>
                <w:rFonts w:ascii="Times New Roman" w:hAnsi="Times New Roman" w:cs="Times New Roman"/>
                <w:sz w:val="20"/>
                <w:szCs w:val="20"/>
              </w:rPr>
              <w:t xml:space="preserve"> (30)</w:t>
            </w:r>
          </w:p>
        </w:tc>
        <w:tc>
          <w:tcPr>
            <w:tcW w:w="1440" w:type="dxa"/>
            <w:tcBorders>
              <w:left w:val="single" w:sz="18" w:space="0" w:color="auto"/>
              <w:right w:val="single" w:sz="18" w:space="0" w:color="auto"/>
            </w:tcBorders>
          </w:tcPr>
          <w:p w14:paraId="3B14A83E" w14:textId="6B0B0E31" w:rsidR="00FC38D9" w:rsidRPr="00F7017D" w:rsidRDefault="00F918CC" w:rsidP="003140EB">
            <w:pPr>
              <w:jc w:val="right"/>
              <w:rPr>
                <w:rFonts w:ascii="Times New Roman" w:hAnsi="Times New Roman" w:cs="Times New Roman"/>
                <w:sz w:val="20"/>
                <w:szCs w:val="20"/>
              </w:rPr>
            </w:pPr>
            <w:r>
              <w:rPr>
                <w:rFonts w:ascii="Times New Roman" w:hAnsi="Times New Roman" w:cs="Times New Roman"/>
                <w:sz w:val="20"/>
                <w:szCs w:val="20"/>
              </w:rPr>
              <w:t>.422</w:t>
            </w:r>
            <w:r w:rsidR="00FC38D9" w:rsidRPr="00F7017D">
              <w:rPr>
                <w:rFonts w:ascii="Times New Roman" w:hAnsi="Times New Roman" w:cs="Times New Roman"/>
                <w:sz w:val="20"/>
                <w:szCs w:val="20"/>
              </w:rPr>
              <w:t xml:space="preserve"> </w:t>
            </w:r>
          </w:p>
          <w:p w14:paraId="22872EEA"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.433 </w:t>
            </w:r>
          </w:p>
          <w:p w14:paraId="371F7910" w14:textId="55A37E79"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00F918CC">
              <w:rPr>
                <w:rFonts w:ascii="Times New Roman" w:hAnsi="Times New Roman" w:cs="Times New Roman"/>
                <w:sz w:val="20"/>
                <w:szCs w:val="20"/>
              </w:rPr>
              <w:t>.91</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4D741B2D"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.399 </w:t>
            </w:r>
          </w:p>
          <w:p w14:paraId="7A43684F"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.467 </w:t>
            </w:r>
          </w:p>
          <w:p w14:paraId="07058C2C" w14:textId="77777777"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.49</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7ADF35FE"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.369 </w:t>
            </w:r>
          </w:p>
          <w:p w14:paraId="60275273" w14:textId="77777777" w:rsidR="00FC38D9"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.433 </w:t>
            </w:r>
          </w:p>
          <w:p w14:paraId="5F92E54F" w14:textId="77777777"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.50</w:t>
            </w:r>
            <w:r>
              <w:rPr>
                <w:rFonts w:ascii="Times New Roman" w:hAnsi="Times New Roman" w:cs="Times New Roman"/>
                <w:sz w:val="20"/>
                <w:szCs w:val="20"/>
              </w:rPr>
              <w:t>)</w:t>
            </w:r>
          </w:p>
        </w:tc>
      </w:tr>
      <w:tr w:rsidR="00FC38D9" w:rsidRPr="005F7FD9" w14:paraId="6912096D" w14:textId="77777777" w:rsidTr="00003007">
        <w:tc>
          <w:tcPr>
            <w:tcW w:w="4518" w:type="dxa"/>
            <w:tcBorders>
              <w:right w:val="single" w:sz="18" w:space="0" w:color="auto"/>
            </w:tcBorders>
          </w:tcPr>
          <w:p w14:paraId="7907359E" w14:textId="77777777" w:rsidR="00FC38D9" w:rsidRPr="0015537E" w:rsidRDefault="00FC38D9" w:rsidP="003140EB">
            <w:pPr>
              <w:rPr>
                <w:rFonts w:ascii="Times New Roman" w:hAnsi="Times New Roman" w:cs="Times New Roman"/>
                <w:sz w:val="20"/>
                <w:szCs w:val="20"/>
              </w:rPr>
            </w:pPr>
            <w:r w:rsidRPr="00F7017D">
              <w:rPr>
                <w:rFonts w:ascii="Times New Roman" w:hAnsi="Times New Roman" w:cs="Times New Roman"/>
                <w:sz w:val="20"/>
                <w:szCs w:val="20"/>
              </w:rPr>
              <w:t xml:space="preserve">(5) Assets expected to be available for general </w:t>
            </w:r>
            <w:r>
              <w:rPr>
                <w:rFonts w:ascii="Times New Roman" w:hAnsi="Times New Roman" w:cs="Times New Roman"/>
                <w:sz w:val="20"/>
                <w:szCs w:val="20"/>
              </w:rPr>
              <w:t xml:space="preserve">unsecured </w:t>
            </w:r>
            <w:r w:rsidRPr="00F7017D">
              <w:rPr>
                <w:rFonts w:ascii="Times New Roman" w:hAnsi="Times New Roman" w:cs="Times New Roman"/>
                <w:sz w:val="20"/>
                <w:szCs w:val="20"/>
              </w:rPr>
              <w:t>creditors</w:t>
            </w:r>
            <w:r>
              <w:rPr>
                <w:rFonts w:ascii="Times New Roman" w:hAnsi="Times New Roman" w:cs="Times New Roman"/>
                <w:sz w:val="20"/>
                <w:szCs w:val="20"/>
              </w:rPr>
              <w:t xml:space="preserve"> (172)</w:t>
            </w:r>
            <w:r w:rsidRPr="00F7017D">
              <w:rPr>
                <w:rFonts w:ascii="Times New Roman" w:hAnsi="Times New Roman" w:cs="Times New Roman"/>
                <w:sz w:val="20"/>
                <w:szCs w:val="20"/>
              </w:rPr>
              <w:t xml:space="preserve"> v. no</w:t>
            </w:r>
            <w:r>
              <w:rPr>
                <w:rFonts w:ascii="Times New Roman" w:hAnsi="Times New Roman" w:cs="Times New Roman"/>
                <w:sz w:val="20"/>
                <w:szCs w:val="20"/>
              </w:rPr>
              <w:t>-</w:t>
            </w:r>
            <w:r w:rsidRPr="00F7017D">
              <w:rPr>
                <w:rFonts w:ascii="Times New Roman" w:hAnsi="Times New Roman" w:cs="Times New Roman"/>
                <w:sz w:val="20"/>
                <w:szCs w:val="20"/>
              </w:rPr>
              <w:t xml:space="preserve">asset case </w:t>
            </w:r>
            <w:r>
              <w:rPr>
                <w:rFonts w:ascii="Times New Roman" w:hAnsi="Times New Roman" w:cs="Times New Roman"/>
                <w:sz w:val="20"/>
                <w:szCs w:val="20"/>
              </w:rPr>
              <w:t xml:space="preserve"> (43)</w:t>
            </w:r>
          </w:p>
        </w:tc>
        <w:tc>
          <w:tcPr>
            <w:tcW w:w="1440" w:type="dxa"/>
            <w:tcBorders>
              <w:left w:val="single" w:sz="18" w:space="0" w:color="auto"/>
              <w:right w:val="single" w:sz="18" w:space="0" w:color="auto"/>
            </w:tcBorders>
          </w:tcPr>
          <w:p w14:paraId="24A0D919" w14:textId="3546A2B4" w:rsidR="00FC38D9" w:rsidRPr="00F7017D" w:rsidRDefault="00F918CC" w:rsidP="003140EB">
            <w:pPr>
              <w:jc w:val="right"/>
              <w:rPr>
                <w:rFonts w:ascii="Times New Roman" w:hAnsi="Times New Roman" w:cs="Times New Roman"/>
                <w:sz w:val="20"/>
                <w:szCs w:val="20"/>
              </w:rPr>
            </w:pPr>
            <w:r>
              <w:rPr>
                <w:rFonts w:ascii="Times New Roman" w:hAnsi="Times New Roman" w:cs="Times New Roman"/>
                <w:sz w:val="20"/>
                <w:szCs w:val="20"/>
              </w:rPr>
              <w:t>.448</w:t>
            </w:r>
            <w:r w:rsidR="00FC38D9" w:rsidRPr="00F7017D">
              <w:rPr>
                <w:rFonts w:ascii="Times New Roman" w:hAnsi="Times New Roman" w:cs="Times New Roman"/>
                <w:sz w:val="20"/>
                <w:szCs w:val="20"/>
              </w:rPr>
              <w:t xml:space="preserve"> </w:t>
            </w:r>
          </w:p>
          <w:p w14:paraId="49B560BC"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.302 </w:t>
            </w:r>
          </w:p>
          <w:p w14:paraId="4E4CDF2B" w14:textId="2DF1DA19"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00F918CC">
              <w:rPr>
                <w:rFonts w:ascii="Times New Roman" w:hAnsi="Times New Roman" w:cs="Times New Roman"/>
                <w:sz w:val="20"/>
                <w:szCs w:val="20"/>
              </w:rPr>
              <w:t>.08</w:t>
            </w:r>
            <w:r>
              <w:rPr>
                <w:rFonts w:ascii="Times New Roman" w:hAnsi="Times New Roman" w:cs="Times New Roman"/>
                <w:sz w:val="20"/>
                <w:szCs w:val="20"/>
              </w:rPr>
              <w:t>)</w:t>
            </w:r>
            <w:r w:rsidRPr="00F7017D">
              <w:rPr>
                <w:rFonts w:ascii="Times New Roman" w:hAnsi="Times New Roman" w:cs="Times New Roman"/>
                <w:sz w:val="20"/>
                <w:szCs w:val="20"/>
              </w:rPr>
              <w:t>*</w:t>
            </w:r>
          </w:p>
        </w:tc>
        <w:tc>
          <w:tcPr>
            <w:tcW w:w="1530" w:type="dxa"/>
            <w:tcBorders>
              <w:left w:val="single" w:sz="18" w:space="0" w:color="auto"/>
              <w:right w:val="single" w:sz="18" w:space="0" w:color="auto"/>
            </w:tcBorders>
          </w:tcPr>
          <w:p w14:paraId="761A4A69"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.419 </w:t>
            </w:r>
          </w:p>
          <w:p w14:paraId="69A59D85"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.279 </w:t>
            </w:r>
          </w:p>
          <w:p w14:paraId="1198EF6E" w14:textId="77777777"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.09</w:t>
            </w:r>
            <w:r>
              <w:rPr>
                <w:rFonts w:ascii="Times New Roman" w:hAnsi="Times New Roman" w:cs="Times New Roman"/>
                <w:sz w:val="20"/>
                <w:szCs w:val="20"/>
              </w:rPr>
              <w:t>)</w:t>
            </w:r>
            <w:r w:rsidRPr="00F7017D">
              <w:rPr>
                <w:rFonts w:ascii="Times New Roman" w:hAnsi="Times New Roman" w:cs="Times New Roman"/>
                <w:sz w:val="20"/>
                <w:szCs w:val="20"/>
              </w:rPr>
              <w:t>*</w:t>
            </w:r>
          </w:p>
        </w:tc>
        <w:tc>
          <w:tcPr>
            <w:tcW w:w="1530" w:type="dxa"/>
            <w:tcBorders>
              <w:left w:val="single" w:sz="18" w:space="0" w:color="auto"/>
              <w:right w:val="single" w:sz="18" w:space="0" w:color="auto"/>
            </w:tcBorders>
          </w:tcPr>
          <w:p w14:paraId="332608F5"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.389 </w:t>
            </w:r>
          </w:p>
          <w:p w14:paraId="5532691B" w14:textId="77777777" w:rsidR="00FC38D9" w:rsidRPr="00F7017D" w:rsidRDefault="00FC38D9" w:rsidP="003140EB">
            <w:pPr>
              <w:jc w:val="right"/>
              <w:rPr>
                <w:rFonts w:ascii="Times New Roman" w:hAnsi="Times New Roman" w:cs="Times New Roman"/>
                <w:sz w:val="20"/>
                <w:szCs w:val="20"/>
              </w:rPr>
            </w:pPr>
            <w:r w:rsidRPr="0015537E">
              <w:rPr>
                <w:rFonts w:ascii="Times New Roman" w:hAnsi="Times New Roman" w:cs="Times New Roman"/>
                <w:sz w:val="20"/>
                <w:szCs w:val="20"/>
              </w:rPr>
              <w:t xml:space="preserve">.279 </w:t>
            </w:r>
          </w:p>
          <w:p w14:paraId="09F7234D" w14:textId="77777777"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.18</w:t>
            </w:r>
            <w:r>
              <w:rPr>
                <w:rFonts w:ascii="Times New Roman" w:hAnsi="Times New Roman" w:cs="Times New Roman"/>
                <w:sz w:val="20"/>
                <w:szCs w:val="20"/>
              </w:rPr>
              <w:t>)</w:t>
            </w:r>
          </w:p>
        </w:tc>
      </w:tr>
      <w:tr w:rsidR="00FC38D9" w:rsidRPr="005F7FD9" w14:paraId="22009A83" w14:textId="77777777" w:rsidTr="00003007">
        <w:tc>
          <w:tcPr>
            <w:tcW w:w="4518" w:type="dxa"/>
            <w:tcBorders>
              <w:right w:val="single" w:sz="18" w:space="0" w:color="auto"/>
            </w:tcBorders>
          </w:tcPr>
          <w:p w14:paraId="74008D3C" w14:textId="77777777" w:rsidR="00FC38D9" w:rsidRPr="0015537E" w:rsidRDefault="00FC38D9" w:rsidP="003140EB">
            <w:pPr>
              <w:rPr>
                <w:rFonts w:ascii="Times New Roman" w:hAnsi="Times New Roman" w:cs="Times New Roman"/>
                <w:sz w:val="20"/>
                <w:szCs w:val="20"/>
              </w:rPr>
            </w:pPr>
            <w:r w:rsidRPr="00F7017D">
              <w:rPr>
                <w:rFonts w:ascii="Times New Roman" w:hAnsi="Times New Roman" w:cs="Times New Roman"/>
                <w:sz w:val="20"/>
                <w:szCs w:val="20"/>
              </w:rPr>
              <w:t xml:space="preserve">(6) One debtor </w:t>
            </w:r>
            <w:r>
              <w:rPr>
                <w:rFonts w:ascii="Times New Roman" w:hAnsi="Times New Roman" w:cs="Times New Roman"/>
                <w:sz w:val="20"/>
                <w:szCs w:val="20"/>
              </w:rPr>
              <w:t xml:space="preserve">(139) </w:t>
            </w:r>
            <w:r w:rsidRPr="00F7017D">
              <w:rPr>
                <w:rFonts w:ascii="Times New Roman" w:hAnsi="Times New Roman" w:cs="Times New Roman"/>
                <w:sz w:val="20"/>
                <w:szCs w:val="20"/>
              </w:rPr>
              <w:t>v. joint filing</w:t>
            </w:r>
            <w:r>
              <w:rPr>
                <w:rFonts w:ascii="Times New Roman" w:hAnsi="Times New Roman" w:cs="Times New Roman"/>
                <w:sz w:val="20"/>
                <w:szCs w:val="20"/>
              </w:rPr>
              <w:t xml:space="preserve"> (84)</w:t>
            </w:r>
          </w:p>
        </w:tc>
        <w:tc>
          <w:tcPr>
            <w:tcW w:w="1440" w:type="dxa"/>
            <w:tcBorders>
              <w:left w:val="single" w:sz="18" w:space="0" w:color="auto"/>
              <w:right w:val="single" w:sz="18" w:space="0" w:color="auto"/>
            </w:tcBorders>
          </w:tcPr>
          <w:p w14:paraId="5437338D" w14:textId="7D053344" w:rsidR="00FC38D9" w:rsidRPr="00F7017D" w:rsidRDefault="00F918CC" w:rsidP="003140EB">
            <w:pPr>
              <w:jc w:val="right"/>
              <w:rPr>
                <w:rFonts w:ascii="Times New Roman" w:hAnsi="Times New Roman" w:cs="Times New Roman"/>
                <w:sz w:val="20"/>
                <w:szCs w:val="20"/>
              </w:rPr>
            </w:pPr>
            <w:r>
              <w:rPr>
                <w:rFonts w:ascii="Times New Roman" w:hAnsi="Times New Roman" w:cs="Times New Roman"/>
                <w:sz w:val="20"/>
                <w:szCs w:val="20"/>
              </w:rPr>
              <w:t>.360</w:t>
            </w:r>
            <w:r w:rsidR="00FC38D9" w:rsidRPr="00F7017D">
              <w:rPr>
                <w:rFonts w:ascii="Times New Roman" w:hAnsi="Times New Roman" w:cs="Times New Roman"/>
                <w:sz w:val="20"/>
                <w:szCs w:val="20"/>
              </w:rPr>
              <w:t xml:space="preserve"> </w:t>
            </w:r>
          </w:p>
          <w:p w14:paraId="64C192B2"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.500 </w:t>
            </w:r>
          </w:p>
          <w:p w14:paraId="712594C5" w14:textId="49AB81D5"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00F918CC">
              <w:rPr>
                <w:rFonts w:ascii="Times New Roman" w:hAnsi="Times New Roman" w:cs="Times New Roman"/>
                <w:sz w:val="20"/>
                <w:szCs w:val="20"/>
              </w:rPr>
              <w:t>.04</w:t>
            </w:r>
            <w:r>
              <w:rPr>
                <w:rFonts w:ascii="Times New Roman" w:hAnsi="Times New Roman" w:cs="Times New Roman"/>
                <w:sz w:val="20"/>
                <w:szCs w:val="20"/>
              </w:rPr>
              <w:t>)</w:t>
            </w:r>
            <w:r w:rsidRPr="00F7017D">
              <w:rPr>
                <w:rFonts w:ascii="Times New Roman" w:hAnsi="Times New Roman" w:cs="Times New Roman"/>
                <w:sz w:val="20"/>
                <w:szCs w:val="20"/>
              </w:rPr>
              <w:t>*</w:t>
            </w:r>
            <w:r w:rsidR="00F918CC">
              <w:rPr>
                <w:rFonts w:ascii="Times New Roman" w:hAnsi="Times New Roman" w:cs="Times New Roman"/>
                <w:sz w:val="20"/>
                <w:szCs w:val="20"/>
              </w:rPr>
              <w:t>*</w:t>
            </w:r>
          </w:p>
        </w:tc>
        <w:tc>
          <w:tcPr>
            <w:tcW w:w="1530" w:type="dxa"/>
            <w:tcBorders>
              <w:left w:val="single" w:sz="18" w:space="0" w:color="auto"/>
              <w:right w:val="single" w:sz="18" w:space="0" w:color="auto"/>
            </w:tcBorders>
          </w:tcPr>
          <w:p w14:paraId="49C94F2A"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.295 </w:t>
            </w:r>
          </w:p>
          <w:p w14:paraId="4AEED300"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.536 </w:t>
            </w:r>
          </w:p>
          <w:p w14:paraId="4721918C" w14:textId="77777777"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.00</w:t>
            </w:r>
            <w:r>
              <w:rPr>
                <w:rFonts w:ascii="Times New Roman" w:hAnsi="Times New Roman" w:cs="Times New Roman"/>
                <w:sz w:val="20"/>
                <w:szCs w:val="20"/>
              </w:rPr>
              <w:t>)</w:t>
            </w:r>
            <w:r w:rsidRPr="00F7017D">
              <w:rPr>
                <w:rFonts w:ascii="Times New Roman" w:hAnsi="Times New Roman" w:cs="Times New Roman"/>
                <w:sz w:val="20"/>
                <w:szCs w:val="20"/>
              </w:rPr>
              <w:t>*</w:t>
            </w:r>
          </w:p>
        </w:tc>
        <w:tc>
          <w:tcPr>
            <w:tcW w:w="1530" w:type="dxa"/>
            <w:tcBorders>
              <w:left w:val="single" w:sz="18" w:space="0" w:color="auto"/>
              <w:right w:val="single" w:sz="18" w:space="0" w:color="auto"/>
            </w:tcBorders>
          </w:tcPr>
          <w:p w14:paraId="6DD98CEF"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.281 </w:t>
            </w:r>
          </w:p>
          <w:p w14:paraId="4E00AE4D"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.488 </w:t>
            </w:r>
          </w:p>
          <w:p w14:paraId="0B2B9505" w14:textId="77777777"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.00</w:t>
            </w:r>
            <w:r>
              <w:rPr>
                <w:rFonts w:ascii="Times New Roman" w:hAnsi="Times New Roman" w:cs="Times New Roman"/>
                <w:sz w:val="20"/>
                <w:szCs w:val="20"/>
              </w:rPr>
              <w:t>)</w:t>
            </w:r>
            <w:r w:rsidRPr="00F7017D">
              <w:rPr>
                <w:rFonts w:ascii="Times New Roman" w:hAnsi="Times New Roman" w:cs="Times New Roman"/>
                <w:sz w:val="20"/>
                <w:szCs w:val="20"/>
              </w:rPr>
              <w:t>***</w:t>
            </w:r>
          </w:p>
        </w:tc>
      </w:tr>
      <w:tr w:rsidR="00FC38D9" w:rsidRPr="005F7FD9" w14:paraId="4DAF836E" w14:textId="77777777" w:rsidTr="00003007">
        <w:tc>
          <w:tcPr>
            <w:tcW w:w="4518" w:type="dxa"/>
            <w:tcBorders>
              <w:right w:val="single" w:sz="18" w:space="0" w:color="auto"/>
            </w:tcBorders>
          </w:tcPr>
          <w:p w14:paraId="0C346830" w14:textId="671478B9" w:rsidR="00FC38D9" w:rsidRPr="0015537E" w:rsidRDefault="00FC38D9" w:rsidP="003140EB">
            <w:pPr>
              <w:rPr>
                <w:rFonts w:ascii="Times New Roman" w:hAnsi="Times New Roman" w:cs="Times New Roman"/>
                <w:sz w:val="20"/>
                <w:szCs w:val="20"/>
              </w:rPr>
            </w:pPr>
            <w:r w:rsidRPr="00F7017D">
              <w:rPr>
                <w:rFonts w:ascii="Times New Roman" w:hAnsi="Times New Roman" w:cs="Times New Roman"/>
                <w:sz w:val="20"/>
                <w:szCs w:val="20"/>
              </w:rPr>
              <w:t xml:space="preserve">(7) Single </w:t>
            </w:r>
            <w:r>
              <w:rPr>
                <w:rFonts w:ascii="Times New Roman" w:hAnsi="Times New Roman" w:cs="Times New Roman"/>
                <w:sz w:val="20"/>
                <w:szCs w:val="20"/>
              </w:rPr>
              <w:t>(5</w:t>
            </w:r>
            <w:r w:rsidR="00B63C30">
              <w:rPr>
                <w:rFonts w:ascii="Times New Roman" w:hAnsi="Times New Roman" w:cs="Times New Roman"/>
                <w:sz w:val="20"/>
                <w:szCs w:val="20"/>
              </w:rPr>
              <w:t>2</w:t>
            </w:r>
            <w:r>
              <w:rPr>
                <w:rFonts w:ascii="Times New Roman" w:hAnsi="Times New Roman" w:cs="Times New Roman"/>
                <w:sz w:val="20"/>
                <w:szCs w:val="20"/>
              </w:rPr>
              <w:t xml:space="preserve">) </w:t>
            </w:r>
            <w:r w:rsidRPr="00F7017D">
              <w:rPr>
                <w:rFonts w:ascii="Times New Roman" w:hAnsi="Times New Roman" w:cs="Times New Roman"/>
                <w:sz w:val="20"/>
                <w:szCs w:val="20"/>
              </w:rPr>
              <w:t>v. married</w:t>
            </w:r>
            <w:r>
              <w:rPr>
                <w:rFonts w:ascii="Times New Roman" w:hAnsi="Times New Roman" w:cs="Times New Roman"/>
                <w:sz w:val="20"/>
                <w:szCs w:val="20"/>
              </w:rPr>
              <w:t xml:space="preserve"> (15</w:t>
            </w:r>
            <w:r w:rsidR="00B63C30">
              <w:rPr>
                <w:rFonts w:ascii="Times New Roman" w:hAnsi="Times New Roman" w:cs="Times New Roman"/>
                <w:sz w:val="20"/>
                <w:szCs w:val="20"/>
              </w:rPr>
              <w:t>4</w:t>
            </w:r>
            <w:r>
              <w:rPr>
                <w:rFonts w:ascii="Times New Roman" w:hAnsi="Times New Roman" w:cs="Times New Roman"/>
                <w:sz w:val="20"/>
                <w:szCs w:val="20"/>
              </w:rPr>
              <w:t xml:space="preserve">) </w:t>
            </w:r>
          </w:p>
        </w:tc>
        <w:tc>
          <w:tcPr>
            <w:tcW w:w="1440" w:type="dxa"/>
            <w:tcBorders>
              <w:left w:val="single" w:sz="18" w:space="0" w:color="auto"/>
              <w:right w:val="single" w:sz="18" w:space="0" w:color="auto"/>
            </w:tcBorders>
          </w:tcPr>
          <w:p w14:paraId="518DAFAF" w14:textId="17684413"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.34</w:t>
            </w:r>
            <w:r w:rsidR="00B63C30">
              <w:rPr>
                <w:rFonts w:ascii="Times New Roman" w:hAnsi="Times New Roman" w:cs="Times New Roman"/>
                <w:sz w:val="20"/>
                <w:szCs w:val="20"/>
              </w:rPr>
              <w:t>6</w:t>
            </w:r>
            <w:r w:rsidRPr="00F7017D">
              <w:rPr>
                <w:rFonts w:ascii="Times New Roman" w:hAnsi="Times New Roman" w:cs="Times New Roman"/>
                <w:sz w:val="20"/>
                <w:szCs w:val="20"/>
              </w:rPr>
              <w:t xml:space="preserve"> </w:t>
            </w:r>
          </w:p>
          <w:p w14:paraId="4399B9E5" w14:textId="160851D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.4</w:t>
            </w:r>
            <w:r w:rsidR="00B63C30">
              <w:rPr>
                <w:rFonts w:ascii="Times New Roman" w:hAnsi="Times New Roman" w:cs="Times New Roman"/>
                <w:sz w:val="20"/>
                <w:szCs w:val="20"/>
              </w:rPr>
              <w:t>74</w:t>
            </w:r>
            <w:r w:rsidRPr="00F7017D">
              <w:rPr>
                <w:rFonts w:ascii="Times New Roman" w:hAnsi="Times New Roman" w:cs="Times New Roman"/>
                <w:sz w:val="20"/>
                <w:szCs w:val="20"/>
              </w:rPr>
              <w:t xml:space="preserve"> </w:t>
            </w:r>
          </w:p>
          <w:p w14:paraId="7B7D608D" w14:textId="054C1690"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w:t>
            </w:r>
            <w:r w:rsidR="00B63C30">
              <w:rPr>
                <w:rFonts w:ascii="Times New Roman" w:hAnsi="Times New Roman" w:cs="Times New Roman"/>
                <w:sz w:val="20"/>
                <w:szCs w:val="20"/>
              </w:rPr>
              <w:t>11</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13EE03AD" w14:textId="530A44BD"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.25</w:t>
            </w:r>
            <w:r w:rsidR="00B63C30">
              <w:rPr>
                <w:rFonts w:ascii="Times New Roman" w:hAnsi="Times New Roman" w:cs="Times New Roman"/>
                <w:sz w:val="20"/>
                <w:szCs w:val="20"/>
              </w:rPr>
              <w:t>0</w:t>
            </w:r>
            <w:r w:rsidRPr="00F7017D">
              <w:rPr>
                <w:rFonts w:ascii="Times New Roman" w:hAnsi="Times New Roman" w:cs="Times New Roman"/>
                <w:sz w:val="20"/>
                <w:szCs w:val="20"/>
              </w:rPr>
              <w:t xml:space="preserve"> </w:t>
            </w:r>
          </w:p>
          <w:p w14:paraId="2D0FC077" w14:textId="4BFBE9DD"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.4</w:t>
            </w:r>
            <w:r w:rsidR="00B63C30">
              <w:rPr>
                <w:rFonts w:ascii="Times New Roman" w:hAnsi="Times New Roman" w:cs="Times New Roman"/>
                <w:sz w:val="20"/>
                <w:szCs w:val="20"/>
              </w:rPr>
              <w:t>68</w:t>
            </w:r>
            <w:r w:rsidRPr="00F7017D">
              <w:rPr>
                <w:rFonts w:ascii="Times New Roman" w:hAnsi="Times New Roman" w:cs="Times New Roman"/>
                <w:sz w:val="20"/>
                <w:szCs w:val="20"/>
              </w:rPr>
              <w:t xml:space="preserve"> </w:t>
            </w:r>
          </w:p>
          <w:p w14:paraId="50576D0C" w14:textId="1A47B002"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.0</w:t>
            </w:r>
            <w:r w:rsidR="00B63C30">
              <w:rPr>
                <w:rFonts w:ascii="Times New Roman" w:hAnsi="Times New Roman" w:cs="Times New Roman"/>
                <w:sz w:val="20"/>
                <w:szCs w:val="20"/>
              </w:rPr>
              <w:t>1</w:t>
            </w:r>
            <w:r>
              <w:rPr>
                <w:rFonts w:ascii="Times New Roman" w:hAnsi="Times New Roman" w:cs="Times New Roman"/>
                <w:sz w:val="20"/>
                <w:szCs w:val="20"/>
              </w:rPr>
              <w:t>)</w:t>
            </w:r>
            <w:r w:rsidRPr="00F7017D">
              <w:rPr>
                <w:rFonts w:ascii="Times New Roman" w:hAnsi="Times New Roman" w:cs="Times New Roman"/>
                <w:sz w:val="20"/>
                <w:szCs w:val="20"/>
              </w:rPr>
              <w:t>***</w:t>
            </w:r>
          </w:p>
        </w:tc>
        <w:tc>
          <w:tcPr>
            <w:tcW w:w="1530" w:type="dxa"/>
            <w:tcBorders>
              <w:left w:val="single" w:sz="18" w:space="0" w:color="auto"/>
              <w:right w:val="single" w:sz="18" w:space="0" w:color="auto"/>
            </w:tcBorders>
          </w:tcPr>
          <w:p w14:paraId="44FF3AB4" w14:textId="4B3805B5"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.2</w:t>
            </w:r>
            <w:r w:rsidR="00B63C30">
              <w:rPr>
                <w:rFonts w:ascii="Times New Roman" w:hAnsi="Times New Roman" w:cs="Times New Roman"/>
                <w:sz w:val="20"/>
                <w:szCs w:val="20"/>
              </w:rPr>
              <w:t>50</w:t>
            </w:r>
            <w:r w:rsidRPr="00F7017D">
              <w:rPr>
                <w:rFonts w:ascii="Times New Roman" w:hAnsi="Times New Roman" w:cs="Times New Roman"/>
                <w:sz w:val="20"/>
                <w:szCs w:val="20"/>
              </w:rPr>
              <w:t xml:space="preserve"> </w:t>
            </w:r>
          </w:p>
          <w:p w14:paraId="0E7BE0F6" w14:textId="3F3FC772" w:rsidR="00FC38D9"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.43</w:t>
            </w:r>
            <w:r w:rsidR="00B63C30">
              <w:rPr>
                <w:rFonts w:ascii="Times New Roman" w:hAnsi="Times New Roman" w:cs="Times New Roman"/>
                <w:sz w:val="20"/>
                <w:szCs w:val="20"/>
              </w:rPr>
              <w:t>0</w:t>
            </w:r>
            <w:r w:rsidRPr="00F7017D">
              <w:rPr>
                <w:rFonts w:ascii="Times New Roman" w:hAnsi="Times New Roman" w:cs="Times New Roman"/>
                <w:sz w:val="20"/>
                <w:szCs w:val="20"/>
              </w:rPr>
              <w:t xml:space="preserve"> </w:t>
            </w:r>
          </w:p>
          <w:p w14:paraId="4172017A" w14:textId="77777777"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.02</w:t>
            </w:r>
            <w:r>
              <w:rPr>
                <w:rFonts w:ascii="Times New Roman" w:hAnsi="Times New Roman" w:cs="Times New Roman"/>
                <w:sz w:val="20"/>
                <w:szCs w:val="20"/>
              </w:rPr>
              <w:t>)</w:t>
            </w:r>
            <w:r w:rsidRPr="00F7017D">
              <w:rPr>
                <w:rFonts w:ascii="Times New Roman" w:hAnsi="Times New Roman" w:cs="Times New Roman"/>
                <w:sz w:val="20"/>
                <w:szCs w:val="20"/>
              </w:rPr>
              <w:t>**</w:t>
            </w:r>
          </w:p>
        </w:tc>
      </w:tr>
      <w:tr w:rsidR="00FC38D9" w:rsidRPr="005F7FD9" w14:paraId="052BEDAD" w14:textId="77777777" w:rsidTr="00003007">
        <w:tc>
          <w:tcPr>
            <w:tcW w:w="4518" w:type="dxa"/>
            <w:tcBorders>
              <w:right w:val="single" w:sz="18" w:space="0" w:color="auto"/>
            </w:tcBorders>
          </w:tcPr>
          <w:p w14:paraId="6151F231" w14:textId="0CD34053" w:rsidR="00FC38D9" w:rsidRPr="0015537E" w:rsidRDefault="00FC38D9" w:rsidP="003140EB">
            <w:pPr>
              <w:rPr>
                <w:rFonts w:ascii="Times New Roman" w:hAnsi="Times New Roman" w:cs="Times New Roman"/>
                <w:sz w:val="20"/>
                <w:szCs w:val="20"/>
              </w:rPr>
            </w:pPr>
            <w:r w:rsidRPr="00F7017D">
              <w:rPr>
                <w:rFonts w:ascii="Times New Roman" w:hAnsi="Times New Roman" w:cs="Times New Roman"/>
                <w:sz w:val="20"/>
                <w:szCs w:val="20"/>
              </w:rPr>
              <w:t xml:space="preserve">(8) Married debtor filing alone </w:t>
            </w:r>
            <w:r>
              <w:rPr>
                <w:rFonts w:ascii="Times New Roman" w:hAnsi="Times New Roman" w:cs="Times New Roman"/>
                <w:sz w:val="20"/>
                <w:szCs w:val="20"/>
              </w:rPr>
              <w:t xml:space="preserve">(73) </w:t>
            </w:r>
            <w:r w:rsidRPr="00F7017D">
              <w:rPr>
                <w:rFonts w:ascii="Times New Roman" w:hAnsi="Times New Roman" w:cs="Times New Roman"/>
                <w:sz w:val="20"/>
                <w:szCs w:val="20"/>
              </w:rPr>
              <w:t>v. married filing jointly with spouse</w:t>
            </w:r>
            <w:r>
              <w:rPr>
                <w:rFonts w:ascii="Times New Roman" w:hAnsi="Times New Roman" w:cs="Times New Roman"/>
                <w:sz w:val="20"/>
                <w:szCs w:val="20"/>
              </w:rPr>
              <w:t xml:space="preserve"> (8</w:t>
            </w:r>
            <w:r w:rsidR="00B63C30">
              <w:rPr>
                <w:rFonts w:ascii="Times New Roman" w:hAnsi="Times New Roman" w:cs="Times New Roman"/>
                <w:sz w:val="20"/>
                <w:szCs w:val="20"/>
              </w:rPr>
              <w:t>1</w:t>
            </w:r>
            <w:r>
              <w:rPr>
                <w:rFonts w:ascii="Times New Roman" w:hAnsi="Times New Roman" w:cs="Times New Roman"/>
                <w:sz w:val="20"/>
                <w:szCs w:val="20"/>
              </w:rPr>
              <w:t xml:space="preserve">) </w:t>
            </w:r>
          </w:p>
        </w:tc>
        <w:tc>
          <w:tcPr>
            <w:tcW w:w="1440" w:type="dxa"/>
            <w:tcBorders>
              <w:left w:val="single" w:sz="18" w:space="0" w:color="auto"/>
              <w:right w:val="single" w:sz="18" w:space="0" w:color="auto"/>
            </w:tcBorders>
          </w:tcPr>
          <w:p w14:paraId="1FC53CD6" w14:textId="1A5D9A2C"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.4</w:t>
            </w:r>
            <w:r w:rsidR="00C15F8B">
              <w:rPr>
                <w:rFonts w:ascii="Times New Roman" w:hAnsi="Times New Roman" w:cs="Times New Roman"/>
                <w:sz w:val="20"/>
                <w:szCs w:val="20"/>
              </w:rPr>
              <w:t>25</w:t>
            </w:r>
            <w:r w:rsidRPr="00F7017D">
              <w:rPr>
                <w:rFonts w:ascii="Times New Roman" w:hAnsi="Times New Roman" w:cs="Times New Roman"/>
                <w:sz w:val="20"/>
                <w:szCs w:val="20"/>
              </w:rPr>
              <w:t xml:space="preserve"> </w:t>
            </w:r>
          </w:p>
          <w:p w14:paraId="6CBB9AF5" w14:textId="1F5776D0"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.5</w:t>
            </w:r>
            <w:r w:rsidR="00B63C30">
              <w:rPr>
                <w:rFonts w:ascii="Times New Roman" w:hAnsi="Times New Roman" w:cs="Times New Roman"/>
                <w:sz w:val="20"/>
                <w:szCs w:val="20"/>
              </w:rPr>
              <w:t>19</w:t>
            </w:r>
            <w:r w:rsidRPr="00F7017D">
              <w:rPr>
                <w:rFonts w:ascii="Times New Roman" w:hAnsi="Times New Roman" w:cs="Times New Roman"/>
                <w:sz w:val="20"/>
                <w:szCs w:val="20"/>
              </w:rPr>
              <w:t xml:space="preserve"> </w:t>
            </w:r>
          </w:p>
          <w:p w14:paraId="74349233" w14:textId="7975C80D"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.2</w:t>
            </w:r>
            <w:r w:rsidR="00B63C30">
              <w:rPr>
                <w:rFonts w:ascii="Times New Roman" w:hAnsi="Times New Roman" w:cs="Times New Roman"/>
                <w:sz w:val="20"/>
                <w:szCs w:val="20"/>
              </w:rPr>
              <w:t>4</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1FD9AFA2" w14:textId="13F045C8"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.37</w:t>
            </w:r>
            <w:r w:rsidR="00C15F8B">
              <w:rPr>
                <w:rFonts w:ascii="Times New Roman" w:hAnsi="Times New Roman" w:cs="Times New Roman"/>
                <w:sz w:val="20"/>
                <w:szCs w:val="20"/>
              </w:rPr>
              <w:t>0</w:t>
            </w:r>
            <w:r w:rsidRPr="00F7017D">
              <w:rPr>
                <w:rFonts w:ascii="Times New Roman" w:hAnsi="Times New Roman" w:cs="Times New Roman"/>
                <w:sz w:val="20"/>
                <w:szCs w:val="20"/>
              </w:rPr>
              <w:t xml:space="preserve"> </w:t>
            </w:r>
          </w:p>
          <w:p w14:paraId="7D338C20" w14:textId="2EBB29BB"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.5</w:t>
            </w:r>
            <w:r w:rsidR="00B63C30">
              <w:rPr>
                <w:rFonts w:ascii="Times New Roman" w:hAnsi="Times New Roman" w:cs="Times New Roman"/>
                <w:sz w:val="20"/>
                <w:szCs w:val="20"/>
              </w:rPr>
              <w:t>56</w:t>
            </w:r>
            <w:r w:rsidRPr="00F7017D">
              <w:rPr>
                <w:rFonts w:ascii="Times New Roman" w:hAnsi="Times New Roman" w:cs="Times New Roman"/>
                <w:sz w:val="20"/>
                <w:szCs w:val="20"/>
              </w:rPr>
              <w:t xml:space="preserve"> </w:t>
            </w:r>
          </w:p>
          <w:p w14:paraId="3D93A342" w14:textId="77777777"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.02</w:t>
            </w:r>
            <w:r>
              <w:rPr>
                <w:rFonts w:ascii="Times New Roman" w:hAnsi="Times New Roman" w:cs="Times New Roman"/>
                <w:sz w:val="20"/>
                <w:szCs w:val="20"/>
              </w:rPr>
              <w:t>)</w:t>
            </w:r>
            <w:r w:rsidRPr="00F7017D">
              <w:rPr>
                <w:rFonts w:ascii="Times New Roman" w:hAnsi="Times New Roman" w:cs="Times New Roman"/>
                <w:sz w:val="20"/>
                <w:szCs w:val="20"/>
              </w:rPr>
              <w:t>**</w:t>
            </w:r>
          </w:p>
        </w:tc>
        <w:tc>
          <w:tcPr>
            <w:tcW w:w="1530" w:type="dxa"/>
            <w:tcBorders>
              <w:left w:val="single" w:sz="18" w:space="0" w:color="auto"/>
              <w:right w:val="single" w:sz="18" w:space="0" w:color="auto"/>
            </w:tcBorders>
          </w:tcPr>
          <w:p w14:paraId="63EAE9B9"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.343 </w:t>
            </w:r>
          </w:p>
          <w:p w14:paraId="46155ABD" w14:textId="5D3CAA79"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.5</w:t>
            </w:r>
            <w:r w:rsidR="00B63C30">
              <w:rPr>
                <w:rFonts w:ascii="Times New Roman" w:hAnsi="Times New Roman" w:cs="Times New Roman"/>
                <w:sz w:val="20"/>
                <w:szCs w:val="20"/>
              </w:rPr>
              <w:t>06</w:t>
            </w:r>
            <w:r w:rsidRPr="00F7017D">
              <w:rPr>
                <w:rFonts w:ascii="Times New Roman" w:hAnsi="Times New Roman" w:cs="Times New Roman"/>
                <w:sz w:val="20"/>
                <w:szCs w:val="20"/>
              </w:rPr>
              <w:t xml:space="preserve"> </w:t>
            </w:r>
          </w:p>
          <w:p w14:paraId="3C46DA27" w14:textId="7B64BEFE"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.0</w:t>
            </w:r>
            <w:r w:rsidR="00B63C30">
              <w:rPr>
                <w:rFonts w:ascii="Times New Roman" w:hAnsi="Times New Roman" w:cs="Times New Roman"/>
                <w:sz w:val="20"/>
                <w:szCs w:val="20"/>
              </w:rPr>
              <w:t>4</w:t>
            </w:r>
            <w:r>
              <w:rPr>
                <w:rFonts w:ascii="Times New Roman" w:hAnsi="Times New Roman" w:cs="Times New Roman"/>
                <w:sz w:val="20"/>
                <w:szCs w:val="20"/>
              </w:rPr>
              <w:t>)</w:t>
            </w:r>
            <w:r w:rsidRPr="00F7017D">
              <w:rPr>
                <w:rFonts w:ascii="Times New Roman" w:hAnsi="Times New Roman" w:cs="Times New Roman"/>
                <w:sz w:val="20"/>
                <w:szCs w:val="20"/>
              </w:rPr>
              <w:t>**</w:t>
            </w:r>
          </w:p>
        </w:tc>
      </w:tr>
      <w:tr w:rsidR="00FC38D9" w:rsidRPr="005F7FD9" w14:paraId="05906BAC" w14:textId="77777777" w:rsidTr="00003007">
        <w:tc>
          <w:tcPr>
            <w:tcW w:w="4518" w:type="dxa"/>
            <w:tcBorders>
              <w:right w:val="single" w:sz="18" w:space="0" w:color="auto"/>
            </w:tcBorders>
          </w:tcPr>
          <w:p w14:paraId="0149C1B8" w14:textId="77777777" w:rsidR="00FC38D9" w:rsidRPr="0015537E" w:rsidRDefault="00FC38D9" w:rsidP="003140EB">
            <w:pPr>
              <w:rPr>
                <w:rFonts w:ascii="Times New Roman" w:hAnsi="Times New Roman" w:cs="Times New Roman"/>
                <w:sz w:val="20"/>
                <w:szCs w:val="20"/>
              </w:rPr>
            </w:pPr>
            <w:r w:rsidRPr="00F7017D">
              <w:rPr>
                <w:rFonts w:ascii="Times New Roman" w:hAnsi="Times New Roman" w:cs="Times New Roman"/>
                <w:sz w:val="20"/>
                <w:szCs w:val="20"/>
              </w:rPr>
              <w:t xml:space="preserve">(9) Non-homeowner </w:t>
            </w:r>
            <w:r>
              <w:rPr>
                <w:rFonts w:ascii="Times New Roman" w:hAnsi="Times New Roman" w:cs="Times New Roman"/>
                <w:sz w:val="20"/>
                <w:szCs w:val="20"/>
              </w:rPr>
              <w:t xml:space="preserve">(18) </w:t>
            </w:r>
            <w:r w:rsidRPr="00F7017D">
              <w:rPr>
                <w:rFonts w:ascii="Times New Roman" w:hAnsi="Times New Roman" w:cs="Times New Roman"/>
                <w:sz w:val="20"/>
                <w:szCs w:val="20"/>
              </w:rPr>
              <w:t>v. homeowner</w:t>
            </w:r>
            <w:r>
              <w:rPr>
                <w:rFonts w:ascii="Times New Roman" w:hAnsi="Times New Roman" w:cs="Times New Roman"/>
                <w:sz w:val="20"/>
                <w:szCs w:val="20"/>
              </w:rPr>
              <w:t xml:space="preserve"> (186)</w:t>
            </w:r>
          </w:p>
        </w:tc>
        <w:tc>
          <w:tcPr>
            <w:tcW w:w="1440" w:type="dxa"/>
            <w:tcBorders>
              <w:left w:val="single" w:sz="18" w:space="0" w:color="auto"/>
              <w:right w:val="single" w:sz="18" w:space="0" w:color="auto"/>
            </w:tcBorders>
          </w:tcPr>
          <w:p w14:paraId="05996858"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.389 </w:t>
            </w:r>
          </w:p>
          <w:p w14:paraId="6944A9CC" w14:textId="1E147293" w:rsidR="00FC38D9" w:rsidRPr="00F7017D" w:rsidRDefault="00C15F8B" w:rsidP="003140EB">
            <w:pPr>
              <w:jc w:val="right"/>
              <w:rPr>
                <w:rFonts w:ascii="Times New Roman" w:hAnsi="Times New Roman" w:cs="Times New Roman"/>
                <w:sz w:val="20"/>
                <w:szCs w:val="20"/>
              </w:rPr>
            </w:pPr>
            <w:r>
              <w:rPr>
                <w:rFonts w:ascii="Times New Roman" w:hAnsi="Times New Roman" w:cs="Times New Roman"/>
                <w:sz w:val="20"/>
                <w:szCs w:val="20"/>
              </w:rPr>
              <w:t>.441</w:t>
            </w:r>
            <w:r w:rsidR="00FC38D9" w:rsidRPr="00F7017D">
              <w:rPr>
                <w:rFonts w:ascii="Times New Roman" w:hAnsi="Times New Roman" w:cs="Times New Roman"/>
                <w:sz w:val="20"/>
                <w:szCs w:val="20"/>
              </w:rPr>
              <w:t xml:space="preserve"> </w:t>
            </w:r>
          </w:p>
          <w:p w14:paraId="0A32D46E" w14:textId="6BDB34AB"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00C15F8B">
              <w:rPr>
                <w:rFonts w:ascii="Times New Roman" w:hAnsi="Times New Roman" w:cs="Times New Roman"/>
                <w:sz w:val="20"/>
                <w:szCs w:val="20"/>
              </w:rPr>
              <w:t>.67</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5B0C47F7"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.333 </w:t>
            </w:r>
          </w:p>
          <w:p w14:paraId="0131BDEE"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.419 </w:t>
            </w:r>
          </w:p>
          <w:p w14:paraId="6C4FF5DA" w14:textId="77777777"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.48</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52979459"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.333 </w:t>
            </w:r>
          </w:p>
          <w:p w14:paraId="1C22EBC8" w14:textId="77777777" w:rsidR="00FC38D9"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.387</w:t>
            </w:r>
          </w:p>
          <w:p w14:paraId="02BC1C25" w14:textId="77777777"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.65</w:t>
            </w:r>
            <w:r>
              <w:rPr>
                <w:rFonts w:ascii="Times New Roman" w:hAnsi="Times New Roman" w:cs="Times New Roman"/>
                <w:sz w:val="20"/>
                <w:szCs w:val="20"/>
              </w:rPr>
              <w:t>)</w:t>
            </w:r>
          </w:p>
        </w:tc>
      </w:tr>
      <w:tr w:rsidR="00FC38D9" w:rsidRPr="005F7FD9" w14:paraId="33F7BC70" w14:textId="77777777" w:rsidTr="00003007">
        <w:tc>
          <w:tcPr>
            <w:tcW w:w="4518" w:type="dxa"/>
            <w:tcBorders>
              <w:right w:val="single" w:sz="18" w:space="0" w:color="auto"/>
            </w:tcBorders>
          </w:tcPr>
          <w:p w14:paraId="107F49C1" w14:textId="77777777" w:rsidR="00FC38D9" w:rsidRPr="0015537E" w:rsidRDefault="00FC38D9" w:rsidP="003140EB">
            <w:pPr>
              <w:rPr>
                <w:rFonts w:ascii="Times New Roman" w:hAnsi="Times New Roman" w:cs="Times New Roman"/>
                <w:sz w:val="20"/>
                <w:szCs w:val="20"/>
              </w:rPr>
            </w:pPr>
            <w:r w:rsidRPr="00F7017D">
              <w:rPr>
                <w:rFonts w:ascii="Times New Roman" w:hAnsi="Times New Roman" w:cs="Times New Roman"/>
                <w:sz w:val="20"/>
                <w:szCs w:val="20"/>
              </w:rPr>
              <w:t xml:space="preserve">(10) Employment duration more than a year </w:t>
            </w:r>
            <w:r>
              <w:rPr>
                <w:rFonts w:ascii="Times New Roman" w:hAnsi="Times New Roman" w:cs="Times New Roman"/>
                <w:sz w:val="20"/>
                <w:szCs w:val="20"/>
              </w:rPr>
              <w:t xml:space="preserve">(142) </w:t>
            </w:r>
            <w:r w:rsidRPr="00F7017D">
              <w:rPr>
                <w:rFonts w:ascii="Times New Roman" w:hAnsi="Times New Roman" w:cs="Times New Roman"/>
                <w:sz w:val="20"/>
                <w:szCs w:val="20"/>
              </w:rPr>
              <w:t>v. less than a year</w:t>
            </w:r>
            <w:r>
              <w:rPr>
                <w:rFonts w:ascii="Times New Roman" w:hAnsi="Times New Roman" w:cs="Times New Roman"/>
                <w:sz w:val="20"/>
                <w:szCs w:val="20"/>
              </w:rPr>
              <w:t xml:space="preserve"> (15) </w:t>
            </w:r>
          </w:p>
        </w:tc>
        <w:tc>
          <w:tcPr>
            <w:tcW w:w="1440" w:type="dxa"/>
            <w:tcBorders>
              <w:left w:val="single" w:sz="18" w:space="0" w:color="auto"/>
              <w:right w:val="single" w:sz="18" w:space="0" w:color="auto"/>
            </w:tcBorders>
          </w:tcPr>
          <w:p w14:paraId="7E3D3848" w14:textId="17013197" w:rsidR="00FC38D9" w:rsidRPr="00F7017D" w:rsidRDefault="008B6780" w:rsidP="003140EB">
            <w:pPr>
              <w:jc w:val="right"/>
              <w:rPr>
                <w:rFonts w:ascii="Times New Roman" w:hAnsi="Times New Roman" w:cs="Times New Roman"/>
                <w:sz w:val="20"/>
                <w:szCs w:val="20"/>
              </w:rPr>
            </w:pPr>
            <w:r>
              <w:rPr>
                <w:rFonts w:ascii="Times New Roman" w:hAnsi="Times New Roman" w:cs="Times New Roman"/>
                <w:sz w:val="20"/>
                <w:szCs w:val="20"/>
              </w:rPr>
              <w:t>.444</w:t>
            </w:r>
            <w:r w:rsidR="00FC38D9" w:rsidRPr="00F7017D">
              <w:rPr>
                <w:rFonts w:ascii="Times New Roman" w:hAnsi="Times New Roman" w:cs="Times New Roman"/>
                <w:sz w:val="20"/>
                <w:szCs w:val="20"/>
              </w:rPr>
              <w:t xml:space="preserve"> </w:t>
            </w:r>
          </w:p>
          <w:p w14:paraId="0DA5288B"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.400 </w:t>
            </w:r>
          </w:p>
          <w:p w14:paraId="14111A77" w14:textId="3D3AB73E"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008B6780">
              <w:rPr>
                <w:rFonts w:ascii="Times New Roman" w:hAnsi="Times New Roman" w:cs="Times New Roman"/>
                <w:sz w:val="20"/>
                <w:szCs w:val="20"/>
              </w:rPr>
              <w:t>.75</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6F310305"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.430 </w:t>
            </w:r>
          </w:p>
          <w:p w14:paraId="464DD512"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.400 </w:t>
            </w:r>
          </w:p>
          <w:p w14:paraId="32F3EFED" w14:textId="77777777"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.83</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53482F83" w14:textId="15B899E6" w:rsidR="00FC38D9" w:rsidRPr="00F7017D" w:rsidRDefault="008B6780" w:rsidP="003140EB">
            <w:pPr>
              <w:jc w:val="right"/>
              <w:rPr>
                <w:rFonts w:ascii="Times New Roman" w:hAnsi="Times New Roman" w:cs="Times New Roman"/>
                <w:sz w:val="20"/>
                <w:szCs w:val="20"/>
              </w:rPr>
            </w:pPr>
            <w:r>
              <w:rPr>
                <w:rFonts w:ascii="Times New Roman" w:hAnsi="Times New Roman" w:cs="Times New Roman"/>
                <w:sz w:val="20"/>
                <w:szCs w:val="20"/>
              </w:rPr>
              <w:t>.390</w:t>
            </w:r>
          </w:p>
          <w:p w14:paraId="13539B52"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.333 </w:t>
            </w:r>
          </w:p>
          <w:p w14:paraId="097A4D64" w14:textId="77777777"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.65</w:t>
            </w:r>
            <w:r>
              <w:rPr>
                <w:rFonts w:ascii="Times New Roman" w:hAnsi="Times New Roman" w:cs="Times New Roman"/>
                <w:sz w:val="20"/>
                <w:szCs w:val="20"/>
              </w:rPr>
              <w:t>)</w:t>
            </w:r>
          </w:p>
        </w:tc>
      </w:tr>
      <w:tr w:rsidR="00FC38D9" w:rsidRPr="005F7FD9" w14:paraId="62541C67" w14:textId="77777777" w:rsidTr="00003007">
        <w:tc>
          <w:tcPr>
            <w:tcW w:w="4518" w:type="dxa"/>
            <w:tcBorders>
              <w:right w:val="single" w:sz="18" w:space="0" w:color="auto"/>
            </w:tcBorders>
          </w:tcPr>
          <w:p w14:paraId="4204D6A0" w14:textId="77777777" w:rsidR="00FC38D9" w:rsidRPr="0015537E" w:rsidRDefault="00FC38D9" w:rsidP="003140EB">
            <w:pPr>
              <w:rPr>
                <w:rFonts w:ascii="Times New Roman" w:hAnsi="Times New Roman" w:cs="Times New Roman"/>
                <w:sz w:val="20"/>
                <w:szCs w:val="20"/>
              </w:rPr>
            </w:pPr>
            <w:r w:rsidRPr="00F7017D">
              <w:rPr>
                <w:rFonts w:ascii="Times New Roman" w:hAnsi="Times New Roman" w:cs="Times New Roman"/>
                <w:sz w:val="20"/>
                <w:szCs w:val="20"/>
              </w:rPr>
              <w:t xml:space="preserve">(11) Represented debtor </w:t>
            </w:r>
            <w:r>
              <w:rPr>
                <w:rFonts w:ascii="Times New Roman" w:hAnsi="Times New Roman" w:cs="Times New Roman"/>
                <w:sz w:val="20"/>
                <w:szCs w:val="20"/>
              </w:rPr>
              <w:t xml:space="preserve">(205) </w:t>
            </w:r>
            <w:r w:rsidRPr="00F7017D">
              <w:rPr>
                <w:rFonts w:ascii="Times New Roman" w:hAnsi="Times New Roman" w:cs="Times New Roman"/>
                <w:sz w:val="20"/>
                <w:szCs w:val="20"/>
              </w:rPr>
              <w:t>v. pro se filing</w:t>
            </w:r>
            <w:r>
              <w:rPr>
                <w:rFonts w:ascii="Times New Roman" w:hAnsi="Times New Roman" w:cs="Times New Roman"/>
                <w:sz w:val="20"/>
                <w:szCs w:val="20"/>
              </w:rPr>
              <w:t xml:space="preserve"> (18) </w:t>
            </w:r>
          </w:p>
        </w:tc>
        <w:tc>
          <w:tcPr>
            <w:tcW w:w="1440" w:type="dxa"/>
            <w:tcBorders>
              <w:left w:val="single" w:sz="18" w:space="0" w:color="auto"/>
              <w:right w:val="single" w:sz="18" w:space="0" w:color="auto"/>
            </w:tcBorders>
          </w:tcPr>
          <w:p w14:paraId="4EAA8BF8"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.449 </w:t>
            </w:r>
          </w:p>
          <w:p w14:paraId="7FC88CBF" w14:textId="709D40A6" w:rsidR="00FC38D9" w:rsidRPr="00F7017D" w:rsidRDefault="008B6780" w:rsidP="003140EB">
            <w:pPr>
              <w:jc w:val="right"/>
              <w:rPr>
                <w:rFonts w:ascii="Times New Roman" w:hAnsi="Times New Roman" w:cs="Times New Roman"/>
                <w:sz w:val="20"/>
                <w:szCs w:val="20"/>
              </w:rPr>
            </w:pPr>
            <w:r>
              <w:rPr>
                <w:rFonts w:ascii="Times New Roman" w:hAnsi="Times New Roman" w:cs="Times New Roman"/>
                <w:sz w:val="20"/>
                <w:szCs w:val="20"/>
              </w:rPr>
              <w:t>.00</w:t>
            </w:r>
            <w:r w:rsidR="00FC38D9" w:rsidRPr="00F7017D">
              <w:rPr>
                <w:rFonts w:ascii="Times New Roman" w:hAnsi="Times New Roman" w:cs="Times New Roman"/>
                <w:sz w:val="20"/>
                <w:szCs w:val="20"/>
              </w:rPr>
              <w:t xml:space="preserve"> </w:t>
            </w:r>
          </w:p>
          <w:p w14:paraId="4BCC6B8E" w14:textId="77777777"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.00</w:t>
            </w:r>
            <w:r>
              <w:rPr>
                <w:rFonts w:ascii="Times New Roman" w:hAnsi="Times New Roman" w:cs="Times New Roman"/>
                <w:sz w:val="20"/>
                <w:szCs w:val="20"/>
              </w:rPr>
              <w:t>)</w:t>
            </w:r>
            <w:r w:rsidRPr="00F7017D">
              <w:rPr>
                <w:rFonts w:ascii="Times New Roman" w:hAnsi="Times New Roman" w:cs="Times New Roman"/>
                <w:sz w:val="20"/>
                <w:szCs w:val="20"/>
              </w:rPr>
              <w:t>***</w:t>
            </w:r>
          </w:p>
        </w:tc>
        <w:tc>
          <w:tcPr>
            <w:tcW w:w="1530" w:type="dxa"/>
            <w:tcBorders>
              <w:left w:val="single" w:sz="18" w:space="0" w:color="auto"/>
              <w:right w:val="single" w:sz="18" w:space="0" w:color="auto"/>
            </w:tcBorders>
          </w:tcPr>
          <w:p w14:paraId="7C46FD46"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.420 </w:t>
            </w:r>
          </w:p>
          <w:p w14:paraId="4A6F6CB3"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0 </w:t>
            </w:r>
          </w:p>
          <w:p w14:paraId="2FA9FC0D" w14:textId="77777777"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.00</w:t>
            </w:r>
            <w:r>
              <w:rPr>
                <w:rFonts w:ascii="Times New Roman" w:hAnsi="Times New Roman" w:cs="Times New Roman"/>
                <w:sz w:val="20"/>
                <w:szCs w:val="20"/>
              </w:rPr>
              <w:t>)</w:t>
            </w:r>
            <w:r w:rsidRPr="00F7017D">
              <w:rPr>
                <w:rFonts w:ascii="Times New Roman" w:hAnsi="Times New Roman" w:cs="Times New Roman"/>
                <w:sz w:val="20"/>
                <w:szCs w:val="20"/>
              </w:rPr>
              <w:t>***</w:t>
            </w:r>
          </w:p>
        </w:tc>
        <w:tc>
          <w:tcPr>
            <w:tcW w:w="1530" w:type="dxa"/>
            <w:tcBorders>
              <w:left w:val="single" w:sz="18" w:space="0" w:color="auto"/>
              <w:right w:val="single" w:sz="18" w:space="0" w:color="auto"/>
            </w:tcBorders>
          </w:tcPr>
          <w:p w14:paraId="27373D37"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.390 </w:t>
            </w:r>
          </w:p>
          <w:p w14:paraId="0D342D31"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0 </w:t>
            </w:r>
          </w:p>
          <w:p w14:paraId="25B66BD9" w14:textId="77777777"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.00</w:t>
            </w:r>
            <w:r>
              <w:rPr>
                <w:rFonts w:ascii="Times New Roman" w:hAnsi="Times New Roman" w:cs="Times New Roman"/>
                <w:sz w:val="20"/>
                <w:szCs w:val="20"/>
              </w:rPr>
              <w:t>)</w:t>
            </w:r>
            <w:r w:rsidRPr="00F7017D">
              <w:rPr>
                <w:rFonts w:ascii="Times New Roman" w:hAnsi="Times New Roman" w:cs="Times New Roman"/>
                <w:sz w:val="20"/>
                <w:szCs w:val="20"/>
              </w:rPr>
              <w:t>***</w:t>
            </w:r>
          </w:p>
        </w:tc>
      </w:tr>
      <w:tr w:rsidR="00FC38D9" w:rsidRPr="005F7FD9" w14:paraId="1C7D3E29" w14:textId="77777777" w:rsidTr="00003007">
        <w:tc>
          <w:tcPr>
            <w:tcW w:w="4518" w:type="dxa"/>
            <w:tcBorders>
              <w:right w:val="single" w:sz="18" w:space="0" w:color="auto"/>
            </w:tcBorders>
          </w:tcPr>
          <w:p w14:paraId="4FD27A94" w14:textId="77777777" w:rsidR="00FC38D9" w:rsidRPr="0015537E" w:rsidRDefault="00FC38D9" w:rsidP="003140EB">
            <w:pPr>
              <w:rPr>
                <w:rFonts w:ascii="Times New Roman" w:hAnsi="Times New Roman" w:cs="Times New Roman"/>
                <w:sz w:val="20"/>
                <w:szCs w:val="20"/>
              </w:rPr>
            </w:pPr>
            <w:r w:rsidRPr="00F7017D">
              <w:rPr>
                <w:rFonts w:ascii="Times New Roman" w:hAnsi="Times New Roman" w:cs="Times New Roman"/>
                <w:sz w:val="20"/>
                <w:szCs w:val="20"/>
              </w:rPr>
              <w:t>(12) Low-experience attorney (</w:t>
            </w:r>
            <w:r>
              <w:rPr>
                <w:rFonts w:ascii="Times New Roman" w:hAnsi="Times New Roman" w:cs="Times New Roman"/>
                <w:sz w:val="20"/>
                <w:szCs w:val="20"/>
              </w:rPr>
              <w:t>8</w:t>
            </w:r>
            <w:r w:rsidRPr="00F7017D">
              <w:rPr>
                <w:rFonts w:ascii="Times New Roman" w:hAnsi="Times New Roman" w:cs="Times New Roman"/>
                <w:sz w:val="20"/>
                <w:szCs w:val="20"/>
              </w:rPr>
              <w:t>1) v. mid-experience attorney (</w:t>
            </w:r>
            <w:r>
              <w:rPr>
                <w:rFonts w:ascii="Times New Roman" w:hAnsi="Times New Roman" w:cs="Times New Roman"/>
                <w:sz w:val="20"/>
                <w:szCs w:val="20"/>
              </w:rPr>
              <w:t>80</w:t>
            </w:r>
            <w:r w:rsidRPr="00F7017D">
              <w:rPr>
                <w:rFonts w:ascii="Times New Roman" w:hAnsi="Times New Roman" w:cs="Times New Roman"/>
                <w:sz w:val="20"/>
                <w:szCs w:val="20"/>
              </w:rPr>
              <w:t>)</w:t>
            </w:r>
          </w:p>
        </w:tc>
        <w:tc>
          <w:tcPr>
            <w:tcW w:w="1440" w:type="dxa"/>
            <w:tcBorders>
              <w:left w:val="single" w:sz="18" w:space="0" w:color="auto"/>
              <w:right w:val="single" w:sz="18" w:space="0" w:color="auto"/>
            </w:tcBorders>
          </w:tcPr>
          <w:p w14:paraId="58B54D77"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.420 </w:t>
            </w:r>
          </w:p>
          <w:p w14:paraId="3E69B5EF" w14:textId="28C173FA" w:rsidR="00FC38D9" w:rsidRPr="00F7017D" w:rsidRDefault="008B6780" w:rsidP="003140EB">
            <w:pPr>
              <w:jc w:val="right"/>
              <w:rPr>
                <w:rFonts w:ascii="Times New Roman" w:hAnsi="Times New Roman" w:cs="Times New Roman"/>
                <w:sz w:val="20"/>
                <w:szCs w:val="20"/>
              </w:rPr>
            </w:pPr>
            <w:r>
              <w:rPr>
                <w:rFonts w:ascii="Times New Roman" w:hAnsi="Times New Roman" w:cs="Times New Roman"/>
                <w:sz w:val="20"/>
                <w:szCs w:val="20"/>
              </w:rPr>
              <w:t>.4</w:t>
            </w:r>
            <w:r w:rsidR="00FC38D9" w:rsidRPr="00F7017D">
              <w:rPr>
                <w:rFonts w:ascii="Times New Roman" w:hAnsi="Times New Roman" w:cs="Times New Roman"/>
                <w:sz w:val="20"/>
                <w:szCs w:val="20"/>
              </w:rPr>
              <w:t>5</w:t>
            </w:r>
            <w:r>
              <w:rPr>
                <w:rFonts w:ascii="Times New Roman" w:hAnsi="Times New Roman" w:cs="Times New Roman"/>
                <w:sz w:val="20"/>
                <w:szCs w:val="20"/>
              </w:rPr>
              <w:t>0</w:t>
            </w:r>
            <w:r w:rsidR="00FC38D9" w:rsidRPr="00F7017D">
              <w:rPr>
                <w:rFonts w:ascii="Times New Roman" w:hAnsi="Times New Roman" w:cs="Times New Roman"/>
                <w:sz w:val="20"/>
                <w:szCs w:val="20"/>
              </w:rPr>
              <w:t xml:space="preserve"> </w:t>
            </w:r>
          </w:p>
          <w:p w14:paraId="78755448" w14:textId="77777777"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.70</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482F52C7"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.370 </w:t>
            </w:r>
          </w:p>
          <w:p w14:paraId="5A87899D"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.413 </w:t>
            </w:r>
          </w:p>
          <w:p w14:paraId="1CB72667" w14:textId="77777777"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.59</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3948F324"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.321</w:t>
            </w:r>
          </w:p>
          <w:p w14:paraId="3EA48EFC"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.400 </w:t>
            </w:r>
          </w:p>
          <w:p w14:paraId="4A0E2A65" w14:textId="77777777" w:rsidR="00FC38D9" w:rsidRPr="0015537E" w:rsidRDefault="00FC38D9" w:rsidP="003140EB">
            <w:pPr>
              <w:jc w:val="right"/>
              <w:rPr>
                <w:rFonts w:ascii="Times New Roman" w:hAnsi="Times New Roman" w:cs="Times New Roman"/>
                <w:sz w:val="20"/>
                <w:szCs w:val="20"/>
              </w:rPr>
            </w:pPr>
            <w:r>
              <w:rPr>
                <w:rFonts w:ascii="Times New Roman" w:hAnsi="Times New Roman" w:cs="Times New Roman"/>
                <w:sz w:val="20"/>
                <w:szCs w:val="20"/>
              </w:rPr>
              <w:t>(.30)</w:t>
            </w:r>
          </w:p>
        </w:tc>
      </w:tr>
      <w:tr w:rsidR="00FC38D9" w:rsidRPr="005F7FD9" w14:paraId="26394B38" w14:textId="77777777" w:rsidTr="00003007">
        <w:tc>
          <w:tcPr>
            <w:tcW w:w="4518" w:type="dxa"/>
            <w:tcBorders>
              <w:right w:val="single" w:sz="18" w:space="0" w:color="auto"/>
            </w:tcBorders>
          </w:tcPr>
          <w:p w14:paraId="0BC659BA" w14:textId="77777777" w:rsidR="00FC38D9" w:rsidRPr="00F7017D" w:rsidRDefault="00FC38D9" w:rsidP="003140EB">
            <w:pPr>
              <w:rPr>
                <w:rFonts w:ascii="Times New Roman" w:hAnsi="Times New Roman" w:cs="Times New Roman"/>
                <w:sz w:val="20"/>
                <w:szCs w:val="20"/>
              </w:rPr>
            </w:pPr>
            <w:r w:rsidRPr="00F7017D">
              <w:rPr>
                <w:rFonts w:ascii="Times New Roman" w:hAnsi="Times New Roman" w:cs="Times New Roman"/>
                <w:sz w:val="20"/>
                <w:szCs w:val="20"/>
              </w:rPr>
              <w:t xml:space="preserve">(13) Low-experience attorney </w:t>
            </w:r>
            <w:r>
              <w:rPr>
                <w:rFonts w:ascii="Times New Roman" w:hAnsi="Times New Roman" w:cs="Times New Roman"/>
                <w:sz w:val="20"/>
                <w:szCs w:val="20"/>
              </w:rPr>
              <w:t xml:space="preserve">(81) </w:t>
            </w:r>
            <w:r w:rsidRPr="00F7017D">
              <w:rPr>
                <w:rFonts w:ascii="Times New Roman" w:hAnsi="Times New Roman" w:cs="Times New Roman"/>
                <w:sz w:val="20"/>
                <w:szCs w:val="20"/>
              </w:rPr>
              <w:t>v. high-experience attorney</w:t>
            </w:r>
            <w:r>
              <w:rPr>
                <w:rFonts w:ascii="Times New Roman" w:hAnsi="Times New Roman" w:cs="Times New Roman"/>
                <w:sz w:val="20"/>
                <w:szCs w:val="20"/>
              </w:rPr>
              <w:t xml:space="preserve"> (44) </w:t>
            </w:r>
          </w:p>
        </w:tc>
        <w:tc>
          <w:tcPr>
            <w:tcW w:w="1440" w:type="dxa"/>
            <w:tcBorders>
              <w:left w:val="single" w:sz="18" w:space="0" w:color="auto"/>
              <w:right w:val="single" w:sz="18" w:space="0" w:color="auto"/>
            </w:tcBorders>
          </w:tcPr>
          <w:p w14:paraId="536CFC33"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.420 </w:t>
            </w:r>
          </w:p>
          <w:p w14:paraId="1714233F"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.5 </w:t>
            </w:r>
          </w:p>
          <w:p w14:paraId="7A98DEE1" w14:textId="2B770D30"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008B6780">
              <w:rPr>
                <w:rFonts w:ascii="Times New Roman" w:hAnsi="Times New Roman" w:cs="Times New Roman"/>
                <w:sz w:val="20"/>
                <w:szCs w:val="20"/>
              </w:rPr>
              <w:t>.</w:t>
            </w:r>
            <w:r w:rsidRPr="00F7017D">
              <w:rPr>
                <w:rFonts w:ascii="Times New Roman" w:hAnsi="Times New Roman" w:cs="Times New Roman"/>
                <w:sz w:val="20"/>
                <w:szCs w:val="20"/>
              </w:rPr>
              <w:t>39</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55AB6A61"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.370 </w:t>
            </w:r>
          </w:p>
          <w:p w14:paraId="2C1CE2D5"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.523 </w:t>
            </w:r>
          </w:p>
          <w:p w14:paraId="6B36C5D1" w14:textId="77777777"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.10</w:t>
            </w:r>
            <w:r>
              <w:rPr>
                <w:rFonts w:ascii="Times New Roman" w:hAnsi="Times New Roman" w:cs="Times New Roman"/>
                <w:sz w:val="20"/>
                <w:szCs w:val="20"/>
              </w:rPr>
              <w:t>)</w:t>
            </w:r>
            <w:r w:rsidRPr="00F7017D">
              <w:rPr>
                <w:rFonts w:ascii="Times New Roman" w:hAnsi="Times New Roman" w:cs="Times New Roman"/>
                <w:sz w:val="20"/>
                <w:szCs w:val="20"/>
              </w:rPr>
              <w:t>*</w:t>
            </w:r>
          </w:p>
        </w:tc>
        <w:tc>
          <w:tcPr>
            <w:tcW w:w="1530" w:type="dxa"/>
            <w:tcBorders>
              <w:left w:val="single" w:sz="18" w:space="0" w:color="auto"/>
              <w:right w:val="single" w:sz="18" w:space="0" w:color="auto"/>
            </w:tcBorders>
          </w:tcPr>
          <w:p w14:paraId="2F4FC4DC"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.321 </w:t>
            </w:r>
          </w:p>
          <w:p w14:paraId="223FEEFC"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.500 </w:t>
            </w:r>
          </w:p>
          <w:p w14:paraId="09C002D5" w14:textId="77777777"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.05</w:t>
            </w:r>
            <w:r>
              <w:rPr>
                <w:rFonts w:ascii="Times New Roman" w:hAnsi="Times New Roman" w:cs="Times New Roman"/>
                <w:sz w:val="20"/>
                <w:szCs w:val="20"/>
              </w:rPr>
              <w:t>)</w:t>
            </w:r>
            <w:r w:rsidRPr="00F7017D">
              <w:rPr>
                <w:rFonts w:ascii="Times New Roman" w:hAnsi="Times New Roman" w:cs="Times New Roman"/>
                <w:sz w:val="20"/>
                <w:szCs w:val="20"/>
              </w:rPr>
              <w:t>*</w:t>
            </w:r>
          </w:p>
        </w:tc>
      </w:tr>
      <w:tr w:rsidR="00FC38D9" w:rsidRPr="005F7FD9" w14:paraId="4EECD20F" w14:textId="77777777" w:rsidTr="00003007">
        <w:tc>
          <w:tcPr>
            <w:tcW w:w="4518" w:type="dxa"/>
            <w:tcBorders>
              <w:right w:val="single" w:sz="18" w:space="0" w:color="auto"/>
            </w:tcBorders>
          </w:tcPr>
          <w:p w14:paraId="7F0772C4" w14:textId="77777777" w:rsidR="00FC38D9" w:rsidRPr="00F7017D" w:rsidRDefault="00FC38D9" w:rsidP="003140EB">
            <w:pPr>
              <w:rPr>
                <w:rFonts w:ascii="Times New Roman" w:hAnsi="Times New Roman" w:cs="Times New Roman"/>
                <w:sz w:val="20"/>
                <w:szCs w:val="20"/>
              </w:rPr>
            </w:pPr>
            <w:r w:rsidRPr="00F7017D">
              <w:rPr>
                <w:rFonts w:ascii="Times New Roman" w:hAnsi="Times New Roman" w:cs="Times New Roman"/>
                <w:sz w:val="20"/>
                <w:szCs w:val="20"/>
              </w:rPr>
              <w:t xml:space="preserve">(14) Mid-experience attorney </w:t>
            </w:r>
            <w:r>
              <w:rPr>
                <w:rFonts w:ascii="Times New Roman" w:hAnsi="Times New Roman" w:cs="Times New Roman"/>
                <w:sz w:val="20"/>
                <w:szCs w:val="20"/>
              </w:rPr>
              <w:t xml:space="preserve">(80) </w:t>
            </w:r>
            <w:r w:rsidRPr="00F7017D">
              <w:rPr>
                <w:rFonts w:ascii="Times New Roman" w:hAnsi="Times New Roman" w:cs="Times New Roman"/>
                <w:sz w:val="20"/>
                <w:szCs w:val="20"/>
              </w:rPr>
              <w:t>v. high-experience attorney</w:t>
            </w:r>
            <w:r>
              <w:rPr>
                <w:rFonts w:ascii="Times New Roman" w:hAnsi="Times New Roman" w:cs="Times New Roman"/>
                <w:sz w:val="20"/>
                <w:szCs w:val="20"/>
              </w:rPr>
              <w:t xml:space="preserve"> (44) </w:t>
            </w:r>
          </w:p>
        </w:tc>
        <w:tc>
          <w:tcPr>
            <w:tcW w:w="1440" w:type="dxa"/>
            <w:tcBorders>
              <w:left w:val="single" w:sz="18" w:space="0" w:color="auto"/>
              <w:right w:val="single" w:sz="18" w:space="0" w:color="auto"/>
            </w:tcBorders>
          </w:tcPr>
          <w:p w14:paraId="5BCAB7B9"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.45 </w:t>
            </w:r>
          </w:p>
          <w:p w14:paraId="0AF70B0D"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.5 </w:t>
            </w:r>
          </w:p>
          <w:p w14:paraId="426FB934" w14:textId="77777777"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.59</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5320E4AB"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.413 </w:t>
            </w:r>
          </w:p>
          <w:p w14:paraId="2FF159BA" w14:textId="753648A8" w:rsidR="00FC38D9" w:rsidRDefault="008B6780" w:rsidP="003140EB">
            <w:pPr>
              <w:jc w:val="right"/>
              <w:rPr>
                <w:rFonts w:ascii="Times New Roman" w:hAnsi="Times New Roman" w:cs="Times New Roman"/>
                <w:sz w:val="20"/>
                <w:szCs w:val="20"/>
              </w:rPr>
            </w:pPr>
            <w:r>
              <w:rPr>
                <w:rFonts w:ascii="Times New Roman" w:hAnsi="Times New Roman" w:cs="Times New Roman"/>
                <w:sz w:val="20"/>
                <w:szCs w:val="20"/>
              </w:rPr>
              <w:t>.5</w:t>
            </w:r>
            <w:r w:rsidR="00FC38D9" w:rsidRPr="00F7017D">
              <w:rPr>
                <w:rFonts w:ascii="Times New Roman" w:hAnsi="Times New Roman" w:cs="Times New Roman"/>
                <w:sz w:val="20"/>
                <w:szCs w:val="20"/>
              </w:rPr>
              <w:t>23</w:t>
            </w:r>
          </w:p>
          <w:p w14:paraId="590BF3BC" w14:textId="77777777"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.24</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3A9251DB"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.400 </w:t>
            </w:r>
          </w:p>
          <w:p w14:paraId="1A5B213E"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.500 </w:t>
            </w:r>
          </w:p>
          <w:p w14:paraId="35170378" w14:textId="77777777"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.28</w:t>
            </w:r>
            <w:r>
              <w:rPr>
                <w:rFonts w:ascii="Times New Roman" w:hAnsi="Times New Roman" w:cs="Times New Roman"/>
                <w:sz w:val="20"/>
                <w:szCs w:val="20"/>
              </w:rPr>
              <w:t>)</w:t>
            </w:r>
          </w:p>
        </w:tc>
      </w:tr>
      <w:tr w:rsidR="00FC38D9" w:rsidRPr="005F7FD9" w14:paraId="046045D4" w14:textId="77777777" w:rsidTr="00003007">
        <w:tc>
          <w:tcPr>
            <w:tcW w:w="4518" w:type="dxa"/>
            <w:tcBorders>
              <w:right w:val="single" w:sz="18" w:space="0" w:color="auto"/>
            </w:tcBorders>
          </w:tcPr>
          <w:p w14:paraId="6E435D84" w14:textId="77777777" w:rsidR="00FC38D9" w:rsidRPr="00F7017D" w:rsidRDefault="00FC38D9" w:rsidP="003140EB">
            <w:pPr>
              <w:rPr>
                <w:rFonts w:ascii="Times New Roman" w:hAnsi="Times New Roman" w:cs="Times New Roman"/>
                <w:sz w:val="20"/>
                <w:szCs w:val="20"/>
              </w:rPr>
            </w:pPr>
            <w:r w:rsidRPr="00F7017D">
              <w:rPr>
                <w:rFonts w:ascii="Times New Roman" w:hAnsi="Times New Roman" w:cs="Times New Roman"/>
                <w:sz w:val="20"/>
                <w:szCs w:val="20"/>
              </w:rPr>
              <w:t xml:space="preserve">(15)No prior bankruptcy </w:t>
            </w:r>
            <w:r>
              <w:rPr>
                <w:rFonts w:ascii="Times New Roman" w:hAnsi="Times New Roman" w:cs="Times New Roman"/>
                <w:sz w:val="20"/>
                <w:szCs w:val="20"/>
              </w:rPr>
              <w:t xml:space="preserve">(174) </w:t>
            </w:r>
            <w:r w:rsidRPr="00F7017D">
              <w:rPr>
                <w:rFonts w:ascii="Times New Roman" w:hAnsi="Times New Roman" w:cs="Times New Roman"/>
                <w:sz w:val="20"/>
                <w:szCs w:val="20"/>
              </w:rPr>
              <w:t>v. prior bankruptcy</w:t>
            </w:r>
            <w:r>
              <w:rPr>
                <w:rFonts w:ascii="Times New Roman" w:hAnsi="Times New Roman" w:cs="Times New Roman"/>
                <w:sz w:val="20"/>
                <w:szCs w:val="20"/>
              </w:rPr>
              <w:t xml:space="preserve"> (42)</w:t>
            </w:r>
          </w:p>
        </w:tc>
        <w:tc>
          <w:tcPr>
            <w:tcW w:w="1440" w:type="dxa"/>
            <w:tcBorders>
              <w:left w:val="single" w:sz="18" w:space="0" w:color="auto"/>
              <w:right w:val="single" w:sz="18" w:space="0" w:color="auto"/>
            </w:tcBorders>
          </w:tcPr>
          <w:p w14:paraId="29678984" w14:textId="63000AB6" w:rsidR="00FC38D9" w:rsidRPr="00F7017D" w:rsidRDefault="00405AD6" w:rsidP="003140EB">
            <w:pPr>
              <w:jc w:val="right"/>
              <w:rPr>
                <w:rFonts w:ascii="Times New Roman" w:hAnsi="Times New Roman" w:cs="Times New Roman"/>
                <w:sz w:val="20"/>
                <w:szCs w:val="20"/>
              </w:rPr>
            </w:pPr>
            <w:r>
              <w:rPr>
                <w:rFonts w:ascii="Times New Roman" w:hAnsi="Times New Roman" w:cs="Times New Roman"/>
                <w:sz w:val="20"/>
                <w:szCs w:val="20"/>
              </w:rPr>
              <w:t>.44</w:t>
            </w:r>
            <w:r w:rsidR="00B63C30">
              <w:rPr>
                <w:rFonts w:ascii="Times New Roman" w:hAnsi="Times New Roman" w:cs="Times New Roman"/>
                <w:sz w:val="20"/>
                <w:szCs w:val="20"/>
              </w:rPr>
              <w:t>2</w:t>
            </w:r>
            <w:r w:rsidR="00FC38D9" w:rsidRPr="00F7017D">
              <w:rPr>
                <w:rFonts w:ascii="Times New Roman" w:hAnsi="Times New Roman" w:cs="Times New Roman"/>
                <w:sz w:val="20"/>
                <w:szCs w:val="20"/>
              </w:rPr>
              <w:t xml:space="preserve"> </w:t>
            </w:r>
          </w:p>
          <w:p w14:paraId="04134A79" w14:textId="5E4033C6" w:rsidR="00FC38D9" w:rsidRPr="00F7017D" w:rsidRDefault="00405AD6" w:rsidP="003140EB">
            <w:pPr>
              <w:jc w:val="right"/>
              <w:rPr>
                <w:rFonts w:ascii="Times New Roman" w:hAnsi="Times New Roman" w:cs="Times New Roman"/>
                <w:sz w:val="20"/>
                <w:szCs w:val="20"/>
              </w:rPr>
            </w:pPr>
            <w:r>
              <w:rPr>
                <w:rFonts w:ascii="Times New Roman" w:hAnsi="Times New Roman" w:cs="Times New Roman"/>
                <w:sz w:val="20"/>
                <w:szCs w:val="20"/>
              </w:rPr>
              <w:t>.286</w:t>
            </w:r>
            <w:r w:rsidR="00FC38D9" w:rsidRPr="00F7017D">
              <w:rPr>
                <w:rFonts w:ascii="Times New Roman" w:hAnsi="Times New Roman" w:cs="Times New Roman"/>
                <w:sz w:val="20"/>
                <w:szCs w:val="20"/>
              </w:rPr>
              <w:t xml:space="preserve"> </w:t>
            </w:r>
          </w:p>
          <w:p w14:paraId="731CBC4D" w14:textId="77777777"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.06</w:t>
            </w:r>
            <w:r>
              <w:rPr>
                <w:rFonts w:ascii="Times New Roman" w:hAnsi="Times New Roman" w:cs="Times New Roman"/>
                <w:sz w:val="20"/>
                <w:szCs w:val="20"/>
              </w:rPr>
              <w:t>)</w:t>
            </w:r>
            <w:r w:rsidRPr="00F7017D">
              <w:rPr>
                <w:rFonts w:ascii="Times New Roman" w:hAnsi="Times New Roman" w:cs="Times New Roman"/>
                <w:sz w:val="20"/>
                <w:szCs w:val="20"/>
              </w:rPr>
              <w:t>*</w:t>
            </w:r>
          </w:p>
        </w:tc>
        <w:tc>
          <w:tcPr>
            <w:tcW w:w="1530" w:type="dxa"/>
            <w:tcBorders>
              <w:left w:val="single" w:sz="18" w:space="0" w:color="auto"/>
              <w:right w:val="single" w:sz="18" w:space="0" w:color="auto"/>
            </w:tcBorders>
          </w:tcPr>
          <w:p w14:paraId="3070C697" w14:textId="13A7CC73"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.4</w:t>
            </w:r>
            <w:r w:rsidR="00B63C30">
              <w:rPr>
                <w:rFonts w:ascii="Times New Roman" w:hAnsi="Times New Roman" w:cs="Times New Roman"/>
                <w:sz w:val="20"/>
                <w:szCs w:val="20"/>
              </w:rPr>
              <w:t>09</w:t>
            </w:r>
            <w:r w:rsidRPr="00F7017D">
              <w:rPr>
                <w:rFonts w:ascii="Times New Roman" w:hAnsi="Times New Roman" w:cs="Times New Roman"/>
                <w:sz w:val="20"/>
                <w:szCs w:val="20"/>
              </w:rPr>
              <w:t xml:space="preserve"> </w:t>
            </w:r>
          </w:p>
          <w:p w14:paraId="717F68FE"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.286 </w:t>
            </w:r>
          </w:p>
          <w:p w14:paraId="3FEBC5D2" w14:textId="275B1392"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.1</w:t>
            </w:r>
            <w:r w:rsidR="00B63C30">
              <w:rPr>
                <w:rFonts w:ascii="Times New Roman" w:hAnsi="Times New Roman" w:cs="Times New Roman"/>
                <w:sz w:val="20"/>
                <w:szCs w:val="20"/>
              </w:rPr>
              <w:t>4</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5310D258" w14:textId="6C0A9FED"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.38</w:t>
            </w:r>
            <w:r w:rsidR="00B63C30">
              <w:rPr>
                <w:rFonts w:ascii="Times New Roman" w:hAnsi="Times New Roman" w:cs="Times New Roman"/>
                <w:sz w:val="20"/>
                <w:szCs w:val="20"/>
              </w:rPr>
              <w:t>1</w:t>
            </w:r>
            <w:r w:rsidRPr="00F7017D">
              <w:rPr>
                <w:rFonts w:ascii="Times New Roman" w:hAnsi="Times New Roman" w:cs="Times New Roman"/>
                <w:sz w:val="20"/>
                <w:szCs w:val="20"/>
              </w:rPr>
              <w:t xml:space="preserve"> </w:t>
            </w:r>
          </w:p>
          <w:p w14:paraId="476257A1"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.262 </w:t>
            </w:r>
          </w:p>
          <w:p w14:paraId="22C89747" w14:textId="6EA649C5"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.1</w:t>
            </w:r>
            <w:r w:rsidR="00B63C30">
              <w:rPr>
                <w:rFonts w:ascii="Times New Roman" w:hAnsi="Times New Roman" w:cs="Times New Roman"/>
                <w:sz w:val="20"/>
                <w:szCs w:val="20"/>
              </w:rPr>
              <w:t>5</w:t>
            </w:r>
            <w:r>
              <w:rPr>
                <w:rFonts w:ascii="Times New Roman" w:hAnsi="Times New Roman" w:cs="Times New Roman"/>
                <w:sz w:val="20"/>
                <w:szCs w:val="20"/>
              </w:rPr>
              <w:t>)</w:t>
            </w:r>
          </w:p>
        </w:tc>
      </w:tr>
      <w:tr w:rsidR="00FC38D9" w:rsidRPr="005F7FD9" w14:paraId="1291D9BB" w14:textId="77777777" w:rsidTr="00003007">
        <w:tc>
          <w:tcPr>
            <w:tcW w:w="4518" w:type="dxa"/>
            <w:tcBorders>
              <w:right w:val="single" w:sz="18" w:space="0" w:color="auto"/>
            </w:tcBorders>
          </w:tcPr>
          <w:p w14:paraId="7C6390FB" w14:textId="1E7F20FB" w:rsidR="00FC38D9" w:rsidRPr="00F7017D" w:rsidRDefault="00FC38D9" w:rsidP="003140EB">
            <w:pPr>
              <w:rPr>
                <w:rFonts w:ascii="Times New Roman" w:hAnsi="Times New Roman" w:cs="Times New Roman"/>
                <w:sz w:val="20"/>
                <w:szCs w:val="20"/>
              </w:rPr>
            </w:pPr>
            <w:r w:rsidRPr="00F7017D">
              <w:rPr>
                <w:rFonts w:ascii="Times New Roman" w:hAnsi="Times New Roman" w:cs="Times New Roman"/>
                <w:sz w:val="20"/>
                <w:szCs w:val="20"/>
              </w:rPr>
              <w:t xml:space="preserve">(16) Priority debt less than 12*monthly income </w:t>
            </w:r>
            <w:r w:rsidR="00405AD6">
              <w:rPr>
                <w:rFonts w:ascii="Times New Roman" w:hAnsi="Times New Roman" w:cs="Times New Roman"/>
                <w:sz w:val="20"/>
                <w:szCs w:val="20"/>
              </w:rPr>
              <w:t>(177</w:t>
            </w:r>
            <w:r>
              <w:rPr>
                <w:rFonts w:ascii="Times New Roman" w:hAnsi="Times New Roman" w:cs="Times New Roman"/>
                <w:sz w:val="20"/>
                <w:szCs w:val="20"/>
              </w:rPr>
              <w:t xml:space="preserve">) </w:t>
            </w:r>
            <w:r w:rsidRPr="00F7017D">
              <w:rPr>
                <w:rFonts w:ascii="Times New Roman" w:hAnsi="Times New Roman" w:cs="Times New Roman"/>
                <w:sz w:val="20"/>
                <w:szCs w:val="20"/>
              </w:rPr>
              <w:t>v. greater than 12* monthly income</w:t>
            </w:r>
            <w:r w:rsidR="00405AD6">
              <w:rPr>
                <w:rFonts w:ascii="Times New Roman" w:hAnsi="Times New Roman" w:cs="Times New Roman"/>
                <w:sz w:val="20"/>
                <w:szCs w:val="20"/>
              </w:rPr>
              <w:t xml:space="preserve"> (28</w:t>
            </w:r>
            <w:r>
              <w:rPr>
                <w:rFonts w:ascii="Times New Roman" w:hAnsi="Times New Roman" w:cs="Times New Roman"/>
                <w:sz w:val="20"/>
                <w:szCs w:val="20"/>
              </w:rPr>
              <w:t xml:space="preserve">) </w:t>
            </w:r>
          </w:p>
        </w:tc>
        <w:tc>
          <w:tcPr>
            <w:tcW w:w="1440" w:type="dxa"/>
            <w:tcBorders>
              <w:left w:val="single" w:sz="18" w:space="0" w:color="auto"/>
              <w:right w:val="single" w:sz="18" w:space="0" w:color="auto"/>
            </w:tcBorders>
          </w:tcPr>
          <w:p w14:paraId="12BDEB84" w14:textId="1118E5AA" w:rsidR="00FC38D9" w:rsidRPr="00F7017D" w:rsidRDefault="00936996" w:rsidP="003140EB">
            <w:pPr>
              <w:jc w:val="right"/>
              <w:rPr>
                <w:rFonts w:ascii="Times New Roman" w:hAnsi="Times New Roman" w:cs="Times New Roman"/>
                <w:sz w:val="20"/>
                <w:szCs w:val="20"/>
              </w:rPr>
            </w:pPr>
            <w:r>
              <w:rPr>
                <w:rFonts w:ascii="Times New Roman" w:hAnsi="Times New Roman" w:cs="Times New Roman"/>
                <w:sz w:val="20"/>
                <w:szCs w:val="20"/>
              </w:rPr>
              <w:t>.467</w:t>
            </w:r>
            <w:r w:rsidR="00FC38D9" w:rsidRPr="00F7017D">
              <w:rPr>
                <w:rFonts w:ascii="Times New Roman" w:hAnsi="Times New Roman" w:cs="Times New Roman"/>
                <w:sz w:val="20"/>
                <w:szCs w:val="20"/>
              </w:rPr>
              <w:t xml:space="preserve"> </w:t>
            </w:r>
          </w:p>
          <w:p w14:paraId="1B00E406" w14:textId="7456FAED" w:rsidR="00FC38D9" w:rsidRPr="00F7017D" w:rsidRDefault="00936996" w:rsidP="003140EB">
            <w:pPr>
              <w:jc w:val="right"/>
              <w:rPr>
                <w:rFonts w:ascii="Times New Roman" w:hAnsi="Times New Roman" w:cs="Times New Roman"/>
                <w:sz w:val="20"/>
                <w:szCs w:val="20"/>
              </w:rPr>
            </w:pPr>
            <w:r>
              <w:rPr>
                <w:rFonts w:ascii="Times New Roman" w:hAnsi="Times New Roman" w:cs="Times New Roman"/>
                <w:sz w:val="20"/>
                <w:szCs w:val="20"/>
              </w:rPr>
              <w:t>.286</w:t>
            </w:r>
            <w:r w:rsidR="00FC38D9" w:rsidRPr="00F7017D">
              <w:rPr>
                <w:rFonts w:ascii="Times New Roman" w:hAnsi="Times New Roman" w:cs="Times New Roman"/>
                <w:sz w:val="20"/>
                <w:szCs w:val="20"/>
              </w:rPr>
              <w:t xml:space="preserve"> </w:t>
            </w:r>
          </w:p>
          <w:p w14:paraId="0C386F15" w14:textId="604ABDDA"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00936996">
              <w:rPr>
                <w:rFonts w:ascii="Times New Roman" w:hAnsi="Times New Roman" w:cs="Times New Roman"/>
                <w:sz w:val="20"/>
                <w:szCs w:val="20"/>
              </w:rPr>
              <w:t>.07</w:t>
            </w:r>
            <w:r>
              <w:rPr>
                <w:rFonts w:ascii="Times New Roman" w:hAnsi="Times New Roman" w:cs="Times New Roman"/>
                <w:sz w:val="20"/>
                <w:szCs w:val="20"/>
              </w:rPr>
              <w:t>)</w:t>
            </w:r>
            <w:r w:rsidRPr="00F7017D">
              <w:rPr>
                <w:rFonts w:ascii="Times New Roman" w:hAnsi="Times New Roman" w:cs="Times New Roman"/>
                <w:sz w:val="20"/>
                <w:szCs w:val="20"/>
              </w:rPr>
              <w:t>*</w:t>
            </w:r>
          </w:p>
        </w:tc>
        <w:tc>
          <w:tcPr>
            <w:tcW w:w="1530" w:type="dxa"/>
            <w:tcBorders>
              <w:left w:val="single" w:sz="18" w:space="0" w:color="auto"/>
              <w:right w:val="single" w:sz="18" w:space="0" w:color="auto"/>
            </w:tcBorders>
          </w:tcPr>
          <w:p w14:paraId="6C0A353E" w14:textId="21F09082" w:rsidR="00FC38D9" w:rsidRPr="00F7017D" w:rsidRDefault="00936996" w:rsidP="003140EB">
            <w:pPr>
              <w:jc w:val="right"/>
              <w:rPr>
                <w:rFonts w:ascii="Times New Roman" w:hAnsi="Times New Roman" w:cs="Times New Roman"/>
                <w:sz w:val="20"/>
                <w:szCs w:val="20"/>
              </w:rPr>
            </w:pPr>
            <w:r>
              <w:rPr>
                <w:rFonts w:ascii="Times New Roman" w:hAnsi="Times New Roman" w:cs="Times New Roman"/>
                <w:sz w:val="20"/>
                <w:szCs w:val="20"/>
              </w:rPr>
              <w:t>.446</w:t>
            </w:r>
            <w:r w:rsidR="00FC38D9" w:rsidRPr="00F7017D">
              <w:rPr>
                <w:rFonts w:ascii="Times New Roman" w:hAnsi="Times New Roman" w:cs="Times New Roman"/>
                <w:sz w:val="20"/>
                <w:szCs w:val="20"/>
              </w:rPr>
              <w:t xml:space="preserve"> </w:t>
            </w:r>
          </w:p>
          <w:p w14:paraId="5EA989B3" w14:textId="77777777" w:rsidR="00FC38D9"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.25 </w:t>
            </w:r>
          </w:p>
          <w:p w14:paraId="291493BC" w14:textId="28CA6229"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00936996">
              <w:rPr>
                <w:rFonts w:ascii="Times New Roman" w:hAnsi="Times New Roman" w:cs="Times New Roman"/>
                <w:sz w:val="20"/>
                <w:szCs w:val="20"/>
              </w:rPr>
              <w:t>.05</w:t>
            </w:r>
            <w:r>
              <w:rPr>
                <w:rFonts w:ascii="Times New Roman" w:hAnsi="Times New Roman" w:cs="Times New Roman"/>
                <w:sz w:val="20"/>
                <w:szCs w:val="20"/>
              </w:rPr>
              <w:t>)</w:t>
            </w:r>
            <w:r w:rsidRPr="00F7017D">
              <w:rPr>
                <w:rFonts w:ascii="Times New Roman" w:hAnsi="Times New Roman" w:cs="Times New Roman"/>
                <w:sz w:val="20"/>
                <w:szCs w:val="20"/>
              </w:rPr>
              <w:t>*</w:t>
            </w:r>
          </w:p>
        </w:tc>
        <w:tc>
          <w:tcPr>
            <w:tcW w:w="1530" w:type="dxa"/>
            <w:tcBorders>
              <w:left w:val="single" w:sz="18" w:space="0" w:color="auto"/>
              <w:right w:val="single" w:sz="18" w:space="0" w:color="auto"/>
            </w:tcBorders>
          </w:tcPr>
          <w:p w14:paraId="157468DE" w14:textId="0E2AA64C" w:rsidR="00FC38D9" w:rsidRPr="00F7017D" w:rsidRDefault="00936996" w:rsidP="003140EB">
            <w:pPr>
              <w:jc w:val="right"/>
              <w:rPr>
                <w:rFonts w:ascii="Times New Roman" w:hAnsi="Times New Roman" w:cs="Times New Roman"/>
                <w:sz w:val="20"/>
                <w:szCs w:val="20"/>
              </w:rPr>
            </w:pPr>
            <w:r>
              <w:rPr>
                <w:rFonts w:ascii="Times New Roman" w:hAnsi="Times New Roman" w:cs="Times New Roman"/>
                <w:sz w:val="20"/>
                <w:szCs w:val="20"/>
              </w:rPr>
              <w:t>.412</w:t>
            </w:r>
            <w:r w:rsidR="00FC38D9" w:rsidRPr="00F7017D">
              <w:rPr>
                <w:rFonts w:ascii="Times New Roman" w:hAnsi="Times New Roman" w:cs="Times New Roman"/>
                <w:sz w:val="20"/>
                <w:szCs w:val="20"/>
              </w:rPr>
              <w:t xml:space="preserve"> </w:t>
            </w:r>
          </w:p>
          <w:p w14:paraId="2DE7D0C2"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.2</w:t>
            </w:r>
            <w:r>
              <w:rPr>
                <w:rFonts w:ascii="Times New Roman" w:hAnsi="Times New Roman" w:cs="Times New Roman"/>
                <w:sz w:val="20"/>
                <w:szCs w:val="20"/>
              </w:rPr>
              <w:t>5</w:t>
            </w:r>
          </w:p>
          <w:p w14:paraId="31408096" w14:textId="3D8A92AC"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00936996">
              <w:rPr>
                <w:rFonts w:ascii="Times New Roman" w:hAnsi="Times New Roman" w:cs="Times New Roman"/>
                <w:sz w:val="20"/>
                <w:szCs w:val="20"/>
              </w:rPr>
              <w:t>.10</w:t>
            </w:r>
            <w:r>
              <w:rPr>
                <w:rFonts w:ascii="Times New Roman" w:hAnsi="Times New Roman" w:cs="Times New Roman"/>
                <w:sz w:val="20"/>
                <w:szCs w:val="20"/>
              </w:rPr>
              <w:t>)</w:t>
            </w:r>
          </w:p>
        </w:tc>
      </w:tr>
      <w:tr w:rsidR="00FC38D9" w:rsidRPr="005F7FD9" w14:paraId="4E7A70EE" w14:textId="77777777" w:rsidTr="00003007">
        <w:tc>
          <w:tcPr>
            <w:tcW w:w="4518" w:type="dxa"/>
            <w:tcBorders>
              <w:right w:val="single" w:sz="18" w:space="0" w:color="auto"/>
            </w:tcBorders>
          </w:tcPr>
          <w:p w14:paraId="005A893E" w14:textId="77777777" w:rsidR="00FC38D9" w:rsidRPr="00F7017D" w:rsidRDefault="00FC38D9" w:rsidP="003140EB">
            <w:pPr>
              <w:rPr>
                <w:rFonts w:ascii="Times New Roman" w:hAnsi="Times New Roman" w:cs="Times New Roman"/>
                <w:sz w:val="20"/>
                <w:szCs w:val="20"/>
              </w:rPr>
            </w:pPr>
            <w:r w:rsidRPr="00F7017D">
              <w:rPr>
                <w:rFonts w:ascii="Times New Roman" w:hAnsi="Times New Roman" w:cs="Times New Roman"/>
                <w:sz w:val="20"/>
                <w:szCs w:val="20"/>
              </w:rPr>
              <w:t xml:space="preserve">(17) Less than 3 real estate parcels </w:t>
            </w:r>
            <w:r>
              <w:rPr>
                <w:rFonts w:ascii="Times New Roman" w:hAnsi="Times New Roman" w:cs="Times New Roman"/>
                <w:sz w:val="20"/>
                <w:szCs w:val="20"/>
              </w:rPr>
              <w:t xml:space="preserve">(113) </w:t>
            </w:r>
            <w:r w:rsidRPr="00F7017D">
              <w:rPr>
                <w:rFonts w:ascii="Times New Roman" w:hAnsi="Times New Roman" w:cs="Times New Roman"/>
                <w:sz w:val="20"/>
                <w:szCs w:val="20"/>
              </w:rPr>
              <w:t>v. more than 2 real estate parcels</w:t>
            </w:r>
            <w:r>
              <w:rPr>
                <w:rFonts w:ascii="Times New Roman" w:hAnsi="Times New Roman" w:cs="Times New Roman"/>
                <w:sz w:val="20"/>
                <w:szCs w:val="20"/>
              </w:rPr>
              <w:t xml:space="preserve"> (110)</w:t>
            </w:r>
          </w:p>
        </w:tc>
        <w:tc>
          <w:tcPr>
            <w:tcW w:w="1440" w:type="dxa"/>
            <w:tcBorders>
              <w:left w:val="single" w:sz="18" w:space="0" w:color="auto"/>
              <w:right w:val="single" w:sz="18" w:space="0" w:color="auto"/>
            </w:tcBorders>
          </w:tcPr>
          <w:p w14:paraId="2C4FCCBE" w14:textId="011DA06B" w:rsidR="00FC38D9" w:rsidRPr="00F7017D" w:rsidRDefault="00D76713" w:rsidP="003140EB">
            <w:pPr>
              <w:jc w:val="right"/>
              <w:rPr>
                <w:rFonts w:ascii="Times New Roman" w:hAnsi="Times New Roman" w:cs="Times New Roman"/>
                <w:sz w:val="20"/>
                <w:szCs w:val="20"/>
              </w:rPr>
            </w:pPr>
            <w:r>
              <w:rPr>
                <w:rFonts w:ascii="Times New Roman" w:hAnsi="Times New Roman" w:cs="Times New Roman"/>
                <w:sz w:val="20"/>
                <w:szCs w:val="20"/>
              </w:rPr>
              <w:t>.3</w:t>
            </w:r>
            <w:r w:rsidR="00FC38D9" w:rsidRPr="00F7017D">
              <w:rPr>
                <w:rFonts w:ascii="Times New Roman" w:hAnsi="Times New Roman" w:cs="Times New Roman"/>
                <w:sz w:val="20"/>
                <w:szCs w:val="20"/>
              </w:rPr>
              <w:t>4</w:t>
            </w:r>
            <w:r>
              <w:rPr>
                <w:rFonts w:ascii="Times New Roman" w:hAnsi="Times New Roman" w:cs="Times New Roman"/>
                <w:sz w:val="20"/>
                <w:szCs w:val="20"/>
              </w:rPr>
              <w:t>5</w:t>
            </w:r>
            <w:r w:rsidR="00FC38D9" w:rsidRPr="00F7017D">
              <w:rPr>
                <w:rFonts w:ascii="Times New Roman" w:hAnsi="Times New Roman" w:cs="Times New Roman"/>
                <w:sz w:val="20"/>
                <w:szCs w:val="20"/>
              </w:rPr>
              <w:t xml:space="preserve"> </w:t>
            </w:r>
          </w:p>
          <w:p w14:paraId="0C6E57DD"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.535 </w:t>
            </w:r>
          </w:p>
          <w:p w14:paraId="002D7C0D" w14:textId="34F54D4D"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.01</w:t>
            </w:r>
            <w:r>
              <w:rPr>
                <w:rFonts w:ascii="Times New Roman" w:hAnsi="Times New Roman" w:cs="Times New Roman"/>
                <w:sz w:val="20"/>
                <w:szCs w:val="20"/>
              </w:rPr>
              <w:t>)</w:t>
            </w:r>
            <w:r w:rsidRPr="00F7017D">
              <w:rPr>
                <w:rFonts w:ascii="Times New Roman" w:hAnsi="Times New Roman" w:cs="Times New Roman"/>
                <w:sz w:val="20"/>
                <w:szCs w:val="20"/>
              </w:rPr>
              <w:t>**</w:t>
            </w:r>
            <w:r w:rsidR="00405AD6">
              <w:rPr>
                <w:rFonts w:ascii="Times New Roman" w:hAnsi="Times New Roman" w:cs="Times New Roman"/>
                <w:sz w:val="20"/>
                <w:szCs w:val="20"/>
              </w:rPr>
              <w:t>*</w:t>
            </w:r>
          </w:p>
        </w:tc>
        <w:tc>
          <w:tcPr>
            <w:tcW w:w="1530" w:type="dxa"/>
            <w:tcBorders>
              <w:left w:val="single" w:sz="18" w:space="0" w:color="auto"/>
              <w:right w:val="single" w:sz="18" w:space="0" w:color="auto"/>
            </w:tcBorders>
          </w:tcPr>
          <w:p w14:paraId="6BFCAC20"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.354 </w:t>
            </w:r>
          </w:p>
          <w:p w14:paraId="57644AAD"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.465 </w:t>
            </w:r>
          </w:p>
          <w:p w14:paraId="3D91AB3C" w14:textId="77777777"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.10</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1862F537"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.310 </w:t>
            </w:r>
          </w:p>
          <w:p w14:paraId="2765FF58"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.455</w:t>
            </w:r>
          </w:p>
          <w:p w14:paraId="0F01ADEF" w14:textId="77777777"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.03</w:t>
            </w:r>
            <w:r>
              <w:rPr>
                <w:rFonts w:ascii="Times New Roman" w:hAnsi="Times New Roman" w:cs="Times New Roman"/>
                <w:sz w:val="20"/>
                <w:szCs w:val="20"/>
              </w:rPr>
              <w:t>)</w:t>
            </w:r>
            <w:r w:rsidRPr="00F7017D">
              <w:rPr>
                <w:rFonts w:ascii="Times New Roman" w:hAnsi="Times New Roman" w:cs="Times New Roman"/>
                <w:sz w:val="20"/>
                <w:szCs w:val="20"/>
              </w:rPr>
              <w:t>**</w:t>
            </w:r>
          </w:p>
        </w:tc>
      </w:tr>
      <w:tr w:rsidR="00FC38D9" w:rsidRPr="005F7FD9" w14:paraId="652FC6F9" w14:textId="77777777" w:rsidTr="00003007">
        <w:tc>
          <w:tcPr>
            <w:tcW w:w="4518" w:type="dxa"/>
            <w:tcBorders>
              <w:right w:val="single" w:sz="18" w:space="0" w:color="auto"/>
            </w:tcBorders>
          </w:tcPr>
          <w:p w14:paraId="4A4B42C3" w14:textId="77777777" w:rsidR="00FC38D9" w:rsidRPr="00F7017D" w:rsidRDefault="00FC38D9" w:rsidP="003140EB">
            <w:pPr>
              <w:rPr>
                <w:rFonts w:ascii="Times New Roman" w:hAnsi="Times New Roman" w:cs="Times New Roman"/>
                <w:sz w:val="20"/>
                <w:szCs w:val="20"/>
              </w:rPr>
            </w:pPr>
            <w:r w:rsidRPr="00F7017D">
              <w:rPr>
                <w:rFonts w:ascii="Times New Roman" w:hAnsi="Times New Roman" w:cs="Times New Roman"/>
                <w:sz w:val="20"/>
                <w:szCs w:val="20"/>
              </w:rPr>
              <w:t xml:space="preserve">(18) Cases originated in chapter 11 </w:t>
            </w:r>
            <w:r>
              <w:rPr>
                <w:rFonts w:ascii="Times New Roman" w:hAnsi="Times New Roman" w:cs="Times New Roman"/>
                <w:sz w:val="20"/>
                <w:szCs w:val="20"/>
              </w:rPr>
              <w:t xml:space="preserve">(200) </w:t>
            </w:r>
            <w:r w:rsidRPr="00F7017D">
              <w:rPr>
                <w:rFonts w:ascii="Times New Roman" w:hAnsi="Times New Roman" w:cs="Times New Roman"/>
                <w:sz w:val="20"/>
                <w:szCs w:val="20"/>
              </w:rPr>
              <w:t>v. cases converted from another chapter</w:t>
            </w:r>
            <w:r>
              <w:rPr>
                <w:rFonts w:ascii="Times New Roman" w:hAnsi="Times New Roman" w:cs="Times New Roman"/>
                <w:sz w:val="20"/>
                <w:szCs w:val="20"/>
              </w:rPr>
              <w:t xml:space="preserve"> (23) </w:t>
            </w:r>
          </w:p>
        </w:tc>
        <w:tc>
          <w:tcPr>
            <w:tcW w:w="1440" w:type="dxa"/>
            <w:tcBorders>
              <w:left w:val="single" w:sz="18" w:space="0" w:color="auto"/>
              <w:right w:val="single" w:sz="18" w:space="0" w:color="auto"/>
            </w:tcBorders>
          </w:tcPr>
          <w:p w14:paraId="444D06AF" w14:textId="422B49F4" w:rsidR="00FC38D9" w:rsidRPr="00F7017D" w:rsidRDefault="00405AD6" w:rsidP="003140EB">
            <w:pPr>
              <w:jc w:val="right"/>
              <w:rPr>
                <w:rFonts w:ascii="Times New Roman" w:hAnsi="Times New Roman" w:cs="Times New Roman"/>
                <w:sz w:val="20"/>
                <w:szCs w:val="20"/>
              </w:rPr>
            </w:pPr>
            <w:r>
              <w:rPr>
                <w:rFonts w:ascii="Times New Roman" w:hAnsi="Times New Roman" w:cs="Times New Roman"/>
                <w:sz w:val="20"/>
                <w:szCs w:val="20"/>
              </w:rPr>
              <w:t>.425</w:t>
            </w:r>
            <w:r w:rsidR="00FC38D9" w:rsidRPr="00F7017D">
              <w:rPr>
                <w:rFonts w:ascii="Times New Roman" w:hAnsi="Times New Roman" w:cs="Times New Roman"/>
                <w:sz w:val="20"/>
                <w:szCs w:val="20"/>
              </w:rPr>
              <w:t xml:space="preserve"> </w:t>
            </w:r>
          </w:p>
          <w:p w14:paraId="5A064B3A"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.304 </w:t>
            </w:r>
          </w:p>
          <w:p w14:paraId="3E80E03D" w14:textId="57BB6BC7"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00405AD6">
              <w:rPr>
                <w:rFonts w:ascii="Times New Roman" w:hAnsi="Times New Roman" w:cs="Times New Roman"/>
                <w:sz w:val="20"/>
                <w:szCs w:val="20"/>
              </w:rPr>
              <w:t>.27</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71275AC6"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.405 </w:t>
            </w:r>
          </w:p>
          <w:p w14:paraId="0DD25D3C"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.217 </w:t>
            </w:r>
          </w:p>
          <w:p w14:paraId="5A4F91A6" w14:textId="77777777"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.08</w:t>
            </w:r>
            <w:r>
              <w:rPr>
                <w:rFonts w:ascii="Times New Roman" w:hAnsi="Times New Roman" w:cs="Times New Roman"/>
                <w:sz w:val="20"/>
                <w:szCs w:val="20"/>
              </w:rPr>
              <w:t>)</w:t>
            </w:r>
            <w:r w:rsidRPr="00F7017D">
              <w:rPr>
                <w:rFonts w:ascii="Times New Roman" w:hAnsi="Times New Roman" w:cs="Times New Roman"/>
                <w:sz w:val="20"/>
                <w:szCs w:val="20"/>
              </w:rPr>
              <w:t>*</w:t>
            </w:r>
          </w:p>
        </w:tc>
        <w:tc>
          <w:tcPr>
            <w:tcW w:w="1530" w:type="dxa"/>
            <w:tcBorders>
              <w:left w:val="single" w:sz="18" w:space="0" w:color="auto"/>
              <w:right w:val="single" w:sz="18" w:space="0" w:color="auto"/>
            </w:tcBorders>
          </w:tcPr>
          <w:p w14:paraId="399378C1"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.375 </w:t>
            </w:r>
          </w:p>
          <w:p w14:paraId="698C49B8"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.217 </w:t>
            </w:r>
          </w:p>
          <w:p w14:paraId="45F50E3B" w14:textId="77777777"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.14</w:t>
            </w:r>
            <w:r>
              <w:rPr>
                <w:rFonts w:ascii="Times New Roman" w:hAnsi="Times New Roman" w:cs="Times New Roman"/>
                <w:sz w:val="20"/>
                <w:szCs w:val="20"/>
              </w:rPr>
              <w:t>)</w:t>
            </w:r>
          </w:p>
        </w:tc>
      </w:tr>
      <w:tr w:rsidR="00FC38D9" w:rsidRPr="005F7FD9" w14:paraId="0EB155FB" w14:textId="77777777" w:rsidTr="00003007">
        <w:tc>
          <w:tcPr>
            <w:tcW w:w="4518" w:type="dxa"/>
            <w:tcBorders>
              <w:right w:val="single" w:sz="18" w:space="0" w:color="auto"/>
            </w:tcBorders>
          </w:tcPr>
          <w:p w14:paraId="74F11A9E" w14:textId="77777777" w:rsidR="00FC38D9" w:rsidRPr="00F7017D" w:rsidRDefault="00FC38D9" w:rsidP="003140EB">
            <w:pPr>
              <w:rPr>
                <w:rFonts w:ascii="Times New Roman" w:hAnsi="Times New Roman" w:cs="Times New Roman"/>
                <w:sz w:val="20"/>
                <w:szCs w:val="20"/>
              </w:rPr>
            </w:pPr>
            <w:r w:rsidRPr="00F7017D">
              <w:rPr>
                <w:rFonts w:ascii="Times New Roman" w:hAnsi="Times New Roman" w:cs="Times New Roman"/>
                <w:sz w:val="20"/>
                <w:szCs w:val="20"/>
              </w:rPr>
              <w:t xml:space="preserve">(19) Over chapter 13 debt limit </w:t>
            </w:r>
            <w:r>
              <w:rPr>
                <w:rFonts w:ascii="Times New Roman" w:hAnsi="Times New Roman" w:cs="Times New Roman"/>
                <w:sz w:val="20"/>
                <w:szCs w:val="20"/>
              </w:rPr>
              <w:t xml:space="preserve">(146) </w:t>
            </w:r>
            <w:r w:rsidRPr="00F7017D">
              <w:rPr>
                <w:rFonts w:ascii="Times New Roman" w:hAnsi="Times New Roman" w:cs="Times New Roman"/>
                <w:sz w:val="20"/>
                <w:szCs w:val="20"/>
              </w:rPr>
              <w:t>v. under debt limit</w:t>
            </w:r>
            <w:r>
              <w:rPr>
                <w:rFonts w:ascii="Times New Roman" w:hAnsi="Times New Roman" w:cs="Times New Roman"/>
                <w:sz w:val="20"/>
                <w:szCs w:val="20"/>
              </w:rPr>
              <w:t xml:space="preserve"> (62) </w:t>
            </w:r>
          </w:p>
        </w:tc>
        <w:tc>
          <w:tcPr>
            <w:tcW w:w="1440" w:type="dxa"/>
            <w:tcBorders>
              <w:left w:val="single" w:sz="18" w:space="0" w:color="auto"/>
              <w:right w:val="single" w:sz="18" w:space="0" w:color="auto"/>
            </w:tcBorders>
          </w:tcPr>
          <w:p w14:paraId="60970945" w14:textId="46C6E166" w:rsidR="00FC38D9" w:rsidRPr="00F7017D" w:rsidRDefault="00C93801" w:rsidP="003140EB">
            <w:pPr>
              <w:jc w:val="right"/>
              <w:rPr>
                <w:rFonts w:ascii="Times New Roman" w:hAnsi="Times New Roman" w:cs="Times New Roman"/>
                <w:sz w:val="20"/>
                <w:szCs w:val="20"/>
              </w:rPr>
            </w:pPr>
            <w:r>
              <w:rPr>
                <w:rFonts w:ascii="Times New Roman" w:hAnsi="Times New Roman" w:cs="Times New Roman"/>
                <w:sz w:val="20"/>
                <w:szCs w:val="20"/>
              </w:rPr>
              <w:t>.425</w:t>
            </w:r>
            <w:r w:rsidR="00FC38D9" w:rsidRPr="00F7017D">
              <w:rPr>
                <w:rFonts w:ascii="Times New Roman" w:hAnsi="Times New Roman" w:cs="Times New Roman"/>
                <w:sz w:val="20"/>
                <w:szCs w:val="20"/>
              </w:rPr>
              <w:t xml:space="preserve"> </w:t>
            </w:r>
          </w:p>
          <w:p w14:paraId="1D4B8F3C"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.484 </w:t>
            </w:r>
          </w:p>
          <w:p w14:paraId="76C2AB3D" w14:textId="46C05366"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00C93801">
              <w:rPr>
                <w:rFonts w:ascii="Times New Roman" w:hAnsi="Times New Roman" w:cs="Times New Roman"/>
                <w:sz w:val="20"/>
                <w:szCs w:val="20"/>
              </w:rPr>
              <w:t>.43</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25303714"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.370 </w:t>
            </w:r>
          </w:p>
          <w:p w14:paraId="45BDADBE"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.516 </w:t>
            </w:r>
          </w:p>
          <w:p w14:paraId="18BF23B3" w14:textId="77777777"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.05</w:t>
            </w:r>
            <w:r>
              <w:rPr>
                <w:rFonts w:ascii="Times New Roman" w:hAnsi="Times New Roman" w:cs="Times New Roman"/>
                <w:sz w:val="20"/>
                <w:szCs w:val="20"/>
              </w:rPr>
              <w:t>)</w:t>
            </w:r>
            <w:r w:rsidRPr="00F7017D">
              <w:rPr>
                <w:rFonts w:ascii="Times New Roman" w:hAnsi="Times New Roman" w:cs="Times New Roman"/>
                <w:sz w:val="20"/>
                <w:szCs w:val="20"/>
              </w:rPr>
              <w:t>*</w:t>
            </w:r>
          </w:p>
        </w:tc>
        <w:tc>
          <w:tcPr>
            <w:tcW w:w="1530" w:type="dxa"/>
            <w:tcBorders>
              <w:left w:val="single" w:sz="18" w:space="0" w:color="auto"/>
              <w:right w:val="single" w:sz="18" w:space="0" w:color="auto"/>
            </w:tcBorders>
          </w:tcPr>
          <w:p w14:paraId="77C93D0D" w14:textId="6D33DCAD"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.34</w:t>
            </w:r>
            <w:r w:rsidR="00C93801">
              <w:rPr>
                <w:rFonts w:ascii="Times New Roman" w:hAnsi="Times New Roman" w:cs="Times New Roman"/>
                <w:sz w:val="20"/>
                <w:szCs w:val="20"/>
              </w:rPr>
              <w:t>3</w:t>
            </w:r>
            <w:r w:rsidRPr="00F7017D">
              <w:rPr>
                <w:rFonts w:ascii="Times New Roman" w:hAnsi="Times New Roman" w:cs="Times New Roman"/>
                <w:sz w:val="20"/>
                <w:szCs w:val="20"/>
              </w:rPr>
              <w:t xml:space="preserve"> </w:t>
            </w:r>
          </w:p>
          <w:p w14:paraId="7E38104F"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.484 </w:t>
            </w:r>
          </w:p>
          <w:p w14:paraId="47D698D1" w14:textId="77777777"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.06</w:t>
            </w:r>
            <w:r>
              <w:rPr>
                <w:rFonts w:ascii="Times New Roman" w:hAnsi="Times New Roman" w:cs="Times New Roman"/>
                <w:sz w:val="20"/>
                <w:szCs w:val="20"/>
              </w:rPr>
              <w:t>)</w:t>
            </w:r>
            <w:r w:rsidRPr="00F7017D">
              <w:rPr>
                <w:rFonts w:ascii="Times New Roman" w:hAnsi="Times New Roman" w:cs="Times New Roman"/>
                <w:sz w:val="20"/>
                <w:szCs w:val="20"/>
              </w:rPr>
              <w:t>*</w:t>
            </w:r>
          </w:p>
        </w:tc>
      </w:tr>
      <w:tr w:rsidR="00FC38D9" w:rsidRPr="005F7FD9" w14:paraId="7B1D9E1C" w14:textId="77777777" w:rsidTr="00003007">
        <w:tc>
          <w:tcPr>
            <w:tcW w:w="4518" w:type="dxa"/>
            <w:tcBorders>
              <w:right w:val="single" w:sz="18" w:space="0" w:color="auto"/>
            </w:tcBorders>
          </w:tcPr>
          <w:p w14:paraId="443C3FAC" w14:textId="77777777" w:rsidR="00FC38D9" w:rsidRPr="00F7017D" w:rsidRDefault="00FC38D9" w:rsidP="003140EB">
            <w:pPr>
              <w:rPr>
                <w:rFonts w:ascii="Times New Roman" w:hAnsi="Times New Roman" w:cs="Times New Roman"/>
                <w:sz w:val="20"/>
                <w:szCs w:val="20"/>
              </w:rPr>
            </w:pPr>
            <w:r w:rsidRPr="00F7017D">
              <w:rPr>
                <w:rFonts w:ascii="Times New Roman" w:hAnsi="Times New Roman" w:cs="Times New Roman"/>
                <w:sz w:val="20"/>
                <w:szCs w:val="20"/>
              </w:rPr>
              <w:t>(</w:t>
            </w:r>
            <w:r>
              <w:rPr>
                <w:rFonts w:ascii="Times New Roman" w:hAnsi="Times New Roman" w:cs="Times New Roman"/>
                <w:sz w:val="20"/>
                <w:szCs w:val="20"/>
              </w:rPr>
              <w:t>20</w:t>
            </w:r>
            <w:r w:rsidRPr="00F7017D">
              <w:rPr>
                <w:rFonts w:ascii="Times New Roman" w:hAnsi="Times New Roman" w:cs="Times New Roman"/>
                <w:sz w:val="20"/>
                <w:szCs w:val="20"/>
              </w:rPr>
              <w:t xml:space="preserve">) Over limit but under 1.5 times limit </w:t>
            </w:r>
            <w:r>
              <w:rPr>
                <w:rFonts w:ascii="Times New Roman" w:hAnsi="Times New Roman" w:cs="Times New Roman"/>
                <w:sz w:val="20"/>
                <w:szCs w:val="20"/>
              </w:rPr>
              <w:t xml:space="preserve">(32) </w:t>
            </w:r>
            <w:r w:rsidRPr="00F7017D">
              <w:rPr>
                <w:rFonts w:ascii="Times New Roman" w:hAnsi="Times New Roman" w:cs="Times New Roman"/>
                <w:sz w:val="20"/>
                <w:szCs w:val="20"/>
              </w:rPr>
              <w:t xml:space="preserve"> v. under chapter 13 debt limit</w:t>
            </w:r>
            <w:r>
              <w:rPr>
                <w:rFonts w:ascii="Times New Roman" w:hAnsi="Times New Roman" w:cs="Times New Roman"/>
                <w:sz w:val="20"/>
                <w:szCs w:val="20"/>
              </w:rPr>
              <w:t xml:space="preserve"> (62) </w:t>
            </w:r>
          </w:p>
        </w:tc>
        <w:tc>
          <w:tcPr>
            <w:tcW w:w="1440" w:type="dxa"/>
            <w:tcBorders>
              <w:left w:val="single" w:sz="18" w:space="0" w:color="auto"/>
              <w:right w:val="single" w:sz="18" w:space="0" w:color="auto"/>
            </w:tcBorders>
          </w:tcPr>
          <w:p w14:paraId="566379E2"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.406 </w:t>
            </w:r>
          </w:p>
          <w:p w14:paraId="4147A91F"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.484 </w:t>
            </w:r>
          </w:p>
          <w:p w14:paraId="752FD1D1" w14:textId="77777777"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.47</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46912AAC"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.375 </w:t>
            </w:r>
          </w:p>
          <w:p w14:paraId="4A1EEA1E" w14:textId="77777777" w:rsidR="00FC38D9" w:rsidRPr="00F7017D"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.516 </w:t>
            </w:r>
          </w:p>
          <w:p w14:paraId="1F084E60" w14:textId="77777777"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.19</w:t>
            </w:r>
            <w:r>
              <w:rPr>
                <w:rFonts w:ascii="Times New Roman" w:hAnsi="Times New Roman" w:cs="Times New Roman"/>
                <w:sz w:val="20"/>
                <w:szCs w:val="20"/>
              </w:rPr>
              <w:t>)</w:t>
            </w:r>
          </w:p>
        </w:tc>
        <w:tc>
          <w:tcPr>
            <w:tcW w:w="1530" w:type="dxa"/>
            <w:tcBorders>
              <w:left w:val="single" w:sz="18" w:space="0" w:color="auto"/>
              <w:right w:val="single" w:sz="18" w:space="0" w:color="auto"/>
            </w:tcBorders>
          </w:tcPr>
          <w:p w14:paraId="1CB38BAC" w14:textId="77777777" w:rsidR="00FC38D9"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.375 </w:t>
            </w:r>
          </w:p>
          <w:p w14:paraId="2F02144F" w14:textId="77777777" w:rsidR="00FC38D9" w:rsidRDefault="00FC38D9" w:rsidP="003140EB">
            <w:pPr>
              <w:jc w:val="right"/>
              <w:rPr>
                <w:rFonts w:ascii="Times New Roman" w:hAnsi="Times New Roman" w:cs="Times New Roman"/>
                <w:sz w:val="20"/>
                <w:szCs w:val="20"/>
              </w:rPr>
            </w:pPr>
            <w:r w:rsidRPr="00F7017D">
              <w:rPr>
                <w:rFonts w:ascii="Times New Roman" w:hAnsi="Times New Roman" w:cs="Times New Roman"/>
                <w:sz w:val="20"/>
                <w:szCs w:val="20"/>
              </w:rPr>
              <w:t xml:space="preserve">.484 </w:t>
            </w:r>
          </w:p>
          <w:p w14:paraId="7DD1F7D5" w14:textId="77777777" w:rsidR="00FC38D9" w:rsidRPr="00F7017D" w:rsidRDefault="00FC38D9" w:rsidP="003140EB">
            <w:pPr>
              <w:jc w:val="right"/>
              <w:rPr>
                <w:rFonts w:ascii="Times New Roman" w:hAnsi="Times New Roman" w:cs="Times New Roman"/>
                <w:sz w:val="20"/>
                <w:szCs w:val="20"/>
              </w:rPr>
            </w:pPr>
            <w:r>
              <w:rPr>
                <w:rFonts w:ascii="Times New Roman" w:hAnsi="Times New Roman" w:cs="Times New Roman"/>
                <w:sz w:val="20"/>
                <w:szCs w:val="20"/>
              </w:rPr>
              <w:t>(</w:t>
            </w:r>
            <w:r w:rsidRPr="00F7017D">
              <w:rPr>
                <w:rFonts w:ascii="Times New Roman" w:hAnsi="Times New Roman" w:cs="Times New Roman"/>
                <w:sz w:val="20"/>
                <w:szCs w:val="20"/>
              </w:rPr>
              <w:t>.31</w:t>
            </w:r>
            <w:r>
              <w:rPr>
                <w:rFonts w:ascii="Times New Roman" w:hAnsi="Times New Roman" w:cs="Times New Roman"/>
                <w:sz w:val="20"/>
                <w:szCs w:val="20"/>
              </w:rPr>
              <w:t>)</w:t>
            </w:r>
          </w:p>
        </w:tc>
      </w:tr>
    </w:tbl>
    <w:p w14:paraId="3A47A291" w14:textId="77777777" w:rsidR="00FC38D9" w:rsidRPr="00003007" w:rsidRDefault="00FC38D9" w:rsidP="00FC38D9">
      <w:pPr>
        <w:spacing w:line="480" w:lineRule="auto"/>
        <w:rPr>
          <w:rFonts w:ascii="Times New Roman" w:hAnsi="Times New Roman" w:cs="Times New Roman"/>
          <w:sz w:val="20"/>
          <w:szCs w:val="20"/>
        </w:rPr>
      </w:pPr>
      <w:r w:rsidRPr="00003007">
        <w:rPr>
          <w:rFonts w:ascii="Times New Roman" w:hAnsi="Times New Roman" w:cs="Times New Roman"/>
          <w:sz w:val="20"/>
          <w:szCs w:val="20"/>
        </w:rPr>
        <w:t>*p&lt;0.10, **p&lt;0.05, ***p&lt;0.01</w:t>
      </w:r>
    </w:p>
    <w:p w14:paraId="7D67B4E7" w14:textId="1693B686" w:rsidR="00FC38D9" w:rsidRPr="00F43406" w:rsidRDefault="00FC38D9" w:rsidP="00FC38D9">
      <w:pPr>
        <w:spacing w:line="480" w:lineRule="auto"/>
        <w:ind w:firstLine="720"/>
        <w:rPr>
          <w:rFonts w:ascii="Times New Roman" w:hAnsi="Times New Roman" w:cs="Times New Roman"/>
        </w:rPr>
      </w:pPr>
      <w:r w:rsidRPr="00F43406">
        <w:rPr>
          <w:rFonts w:ascii="Times New Roman" w:hAnsi="Times New Roman" w:cs="Times New Roman"/>
        </w:rPr>
        <w:t xml:space="preserve">We find a much bigger difference in outcomes between cases filed in 2010 and those filed in 2013 for the random sample data, </w:t>
      </w:r>
      <w:r w:rsidRPr="00F43406">
        <w:rPr>
          <w:rFonts w:ascii="Times New Roman" w:hAnsi="Times New Roman" w:cs="Times New Roman"/>
          <w:i/>
        </w:rPr>
        <w:t xml:space="preserve">see </w:t>
      </w:r>
      <w:r>
        <w:rPr>
          <w:rFonts w:ascii="Times New Roman" w:hAnsi="Times New Roman" w:cs="Times New Roman"/>
        </w:rPr>
        <w:t xml:space="preserve">Table </w:t>
      </w:r>
      <w:r w:rsidR="00DB4EAD">
        <w:rPr>
          <w:rFonts w:ascii="Times New Roman" w:hAnsi="Times New Roman" w:cs="Times New Roman"/>
        </w:rPr>
        <w:t>47</w:t>
      </w:r>
      <w:r>
        <w:rPr>
          <w:rFonts w:ascii="Times New Roman" w:hAnsi="Times New Roman" w:cs="Times New Roman"/>
        </w:rPr>
        <w:t>, R</w:t>
      </w:r>
      <w:r w:rsidRPr="00F43406">
        <w:rPr>
          <w:rFonts w:ascii="Times New Roman" w:hAnsi="Times New Roman" w:cs="Times New Roman"/>
        </w:rPr>
        <w:t>ow (1), than we d</w:t>
      </w:r>
      <w:r>
        <w:rPr>
          <w:rFonts w:ascii="Times New Roman" w:hAnsi="Times New Roman" w:cs="Times New Roman"/>
        </w:rPr>
        <w:t>o</w:t>
      </w:r>
      <w:r w:rsidRPr="00F43406">
        <w:rPr>
          <w:rFonts w:ascii="Times New Roman" w:hAnsi="Times New Roman" w:cs="Times New Roman"/>
        </w:rPr>
        <w:t xml:space="preserve"> for the PACER data.</w:t>
      </w:r>
      <w:r w:rsidR="002937B1">
        <w:rPr>
          <w:rStyle w:val="FootnoteReference"/>
          <w:rFonts w:ascii="Times New Roman" w:hAnsi="Times New Roman" w:cs="Times New Roman"/>
        </w:rPr>
        <w:footnoteReference w:id="245"/>
      </w:r>
      <w:r w:rsidRPr="00F43406">
        <w:rPr>
          <w:rFonts w:ascii="Times New Roman" w:hAnsi="Times New Roman" w:cs="Times New Roman"/>
        </w:rPr>
        <w:t xml:space="preserve"> </w:t>
      </w:r>
      <w:r w:rsidR="009C05BD">
        <w:rPr>
          <w:rFonts w:ascii="Times New Roman" w:hAnsi="Times New Roman" w:cs="Times New Roman"/>
        </w:rPr>
        <w:t>I</w:t>
      </w:r>
      <w:r w:rsidRPr="00F43406">
        <w:rPr>
          <w:rFonts w:ascii="Times New Roman" w:hAnsi="Times New Roman" w:cs="Times New Roman"/>
        </w:rPr>
        <w:t>t is unclear</w:t>
      </w:r>
      <w:r w:rsidR="009C05BD">
        <w:rPr>
          <w:rFonts w:ascii="Times New Roman" w:hAnsi="Times New Roman" w:cs="Times New Roman"/>
        </w:rPr>
        <w:t>,</w:t>
      </w:r>
      <w:r w:rsidR="00DB15DD">
        <w:rPr>
          <w:rFonts w:ascii="Times New Roman" w:hAnsi="Times New Roman" w:cs="Times New Roman"/>
        </w:rPr>
        <w:t xml:space="preserve"> </w:t>
      </w:r>
      <w:r w:rsidR="009C05BD">
        <w:rPr>
          <w:rFonts w:ascii="Times New Roman" w:hAnsi="Times New Roman" w:cs="Times New Roman"/>
        </w:rPr>
        <w:t>however,</w:t>
      </w:r>
      <w:r w:rsidRPr="00F43406">
        <w:rPr>
          <w:rFonts w:ascii="Times New Roman" w:hAnsi="Times New Roman" w:cs="Times New Roman"/>
        </w:rPr>
        <w:t xml:space="preserve"> whether this is due to better definitions of success or </w:t>
      </w:r>
      <w:r w:rsidR="00DF44A3">
        <w:rPr>
          <w:rFonts w:ascii="Times New Roman" w:hAnsi="Times New Roman" w:cs="Times New Roman"/>
        </w:rPr>
        <w:t xml:space="preserve">to </w:t>
      </w:r>
      <w:r w:rsidRPr="00F43406">
        <w:rPr>
          <w:rFonts w:ascii="Times New Roman" w:hAnsi="Times New Roman" w:cs="Times New Roman"/>
        </w:rPr>
        <w:t>the fact that we are looking at a much smaller sample</w:t>
      </w:r>
      <w:r>
        <w:rPr>
          <w:rFonts w:ascii="Times New Roman" w:hAnsi="Times New Roman" w:cs="Times New Roman"/>
        </w:rPr>
        <w:t>. N</w:t>
      </w:r>
      <w:r w:rsidRPr="00F43406">
        <w:rPr>
          <w:rFonts w:ascii="Times New Roman" w:hAnsi="Times New Roman" w:cs="Times New Roman"/>
        </w:rPr>
        <w:t xml:space="preserve">one of the differences </w:t>
      </w:r>
      <w:r>
        <w:rPr>
          <w:rFonts w:ascii="Times New Roman" w:hAnsi="Times New Roman" w:cs="Times New Roman"/>
        </w:rPr>
        <w:t>are</w:t>
      </w:r>
      <w:r w:rsidRPr="00F43406">
        <w:rPr>
          <w:rFonts w:ascii="Times New Roman" w:hAnsi="Times New Roman" w:cs="Times New Roman"/>
        </w:rPr>
        <w:t xml:space="preserve"> significant at the </w:t>
      </w:r>
      <w:r w:rsidR="00DB15DD">
        <w:rPr>
          <w:rFonts w:ascii="Times New Roman" w:hAnsi="Times New Roman" w:cs="Times New Roman"/>
        </w:rPr>
        <w:t>10%</w:t>
      </w:r>
      <w:r w:rsidRPr="00F43406">
        <w:rPr>
          <w:rFonts w:ascii="Times New Roman" w:hAnsi="Times New Roman" w:cs="Times New Roman"/>
        </w:rPr>
        <w:t xml:space="preserve"> level.  </w:t>
      </w:r>
    </w:p>
    <w:p w14:paraId="7C7F8D25" w14:textId="7EFFC4F7" w:rsidR="00DF44A3" w:rsidRDefault="00FC38D9" w:rsidP="00FC38D9">
      <w:pPr>
        <w:spacing w:line="480" w:lineRule="auto"/>
        <w:ind w:firstLine="720"/>
        <w:rPr>
          <w:rFonts w:ascii="Times New Roman" w:hAnsi="Times New Roman" w:cs="Times New Roman"/>
        </w:rPr>
      </w:pPr>
      <w:r w:rsidRPr="00F43406">
        <w:rPr>
          <w:rFonts w:ascii="Times New Roman" w:hAnsi="Times New Roman" w:cs="Times New Roman"/>
        </w:rPr>
        <w:t xml:space="preserve">Rows (2) through (4) </w:t>
      </w:r>
      <w:r w:rsidR="00DF44A3">
        <w:rPr>
          <w:rFonts w:ascii="Times New Roman" w:hAnsi="Times New Roman" w:cs="Times New Roman"/>
        </w:rPr>
        <w:t xml:space="preserve">of Table 47 </w:t>
      </w:r>
      <w:r w:rsidRPr="00F43406">
        <w:rPr>
          <w:rFonts w:ascii="Times New Roman" w:hAnsi="Times New Roman" w:cs="Times New Roman"/>
        </w:rPr>
        <w:t xml:space="preserve">compare business and non-business cases. In Section </w:t>
      </w:r>
      <w:r w:rsidR="00D76713">
        <w:rPr>
          <w:rFonts w:ascii="Times New Roman" w:hAnsi="Times New Roman" w:cs="Times New Roman"/>
        </w:rPr>
        <w:t>IV.A.2</w:t>
      </w:r>
      <w:r w:rsidRPr="00F43406">
        <w:rPr>
          <w:rFonts w:ascii="Times New Roman" w:hAnsi="Times New Roman" w:cs="Times New Roman"/>
        </w:rPr>
        <w:t xml:space="preserve">, we found that cases with primarily business debts succeeded an additional </w:t>
      </w:r>
      <w:r w:rsidR="00DB15DD">
        <w:rPr>
          <w:rFonts w:ascii="Times New Roman" w:hAnsi="Times New Roman" w:cs="Times New Roman"/>
        </w:rPr>
        <w:t>2% or 7%</w:t>
      </w:r>
      <w:r w:rsidRPr="00F43406">
        <w:rPr>
          <w:rFonts w:ascii="Times New Roman" w:hAnsi="Times New Roman" w:cs="Times New Roman"/>
        </w:rPr>
        <w:t xml:space="preserve"> of the time</w:t>
      </w:r>
      <w:r>
        <w:rPr>
          <w:rFonts w:ascii="Times New Roman" w:hAnsi="Times New Roman" w:cs="Times New Roman"/>
        </w:rPr>
        <w:t>,</w:t>
      </w:r>
      <w:r w:rsidR="00D76713">
        <w:rPr>
          <w:rFonts w:ascii="Times New Roman" w:hAnsi="Times New Roman" w:cs="Times New Roman"/>
        </w:rPr>
        <w:t xml:space="preserve"> </w:t>
      </w:r>
      <w:r w:rsidRPr="00F43406">
        <w:rPr>
          <w:rFonts w:ascii="Times New Roman" w:hAnsi="Times New Roman" w:cs="Times New Roman"/>
        </w:rPr>
        <w:t xml:space="preserve">depending on the definition </w:t>
      </w:r>
      <w:r>
        <w:rPr>
          <w:rFonts w:ascii="Times New Roman" w:hAnsi="Times New Roman" w:cs="Times New Roman"/>
        </w:rPr>
        <w:t xml:space="preserve">of success </w:t>
      </w:r>
      <w:r w:rsidR="00DF44A3">
        <w:rPr>
          <w:rFonts w:ascii="Times New Roman" w:hAnsi="Times New Roman" w:cs="Times New Roman"/>
        </w:rPr>
        <w:t>used</w:t>
      </w:r>
      <w:r w:rsidR="00D50A2B">
        <w:rPr>
          <w:rFonts w:ascii="Times New Roman" w:hAnsi="Times New Roman" w:cs="Times New Roman"/>
        </w:rPr>
        <w:t>.</w:t>
      </w:r>
      <w:r w:rsidRPr="00F43406">
        <w:rPr>
          <w:rFonts w:ascii="Times New Roman" w:hAnsi="Times New Roman" w:cs="Times New Roman"/>
        </w:rPr>
        <w:t xml:space="preserve"> </w:t>
      </w:r>
      <w:r>
        <w:rPr>
          <w:rFonts w:ascii="Times New Roman" w:hAnsi="Times New Roman" w:cs="Times New Roman"/>
        </w:rPr>
        <w:t>R</w:t>
      </w:r>
      <w:r w:rsidRPr="00F43406">
        <w:rPr>
          <w:rFonts w:ascii="Times New Roman" w:hAnsi="Times New Roman" w:cs="Times New Roman"/>
        </w:rPr>
        <w:t>ow (2) show</w:t>
      </w:r>
      <w:r w:rsidR="00D50A2B">
        <w:rPr>
          <w:rFonts w:ascii="Times New Roman" w:hAnsi="Times New Roman" w:cs="Times New Roman"/>
        </w:rPr>
        <w:t>s</w:t>
      </w:r>
      <w:r w:rsidRPr="00F43406">
        <w:rPr>
          <w:rFonts w:ascii="Times New Roman" w:hAnsi="Times New Roman" w:cs="Times New Roman"/>
        </w:rPr>
        <w:t xml:space="preserve"> similar and even larger estimates, but none of the differences are statistically significant at the </w:t>
      </w:r>
      <w:r w:rsidR="00DB15DD">
        <w:rPr>
          <w:rFonts w:ascii="Times New Roman" w:hAnsi="Times New Roman" w:cs="Times New Roman"/>
        </w:rPr>
        <w:t>10%</w:t>
      </w:r>
      <w:r w:rsidRPr="00F43406">
        <w:rPr>
          <w:rFonts w:ascii="Times New Roman" w:hAnsi="Times New Roman" w:cs="Times New Roman"/>
        </w:rPr>
        <w:t xml:space="preserve"> level. As </w:t>
      </w:r>
      <w:r w:rsidR="00DF44A3">
        <w:rPr>
          <w:rFonts w:ascii="Times New Roman" w:hAnsi="Times New Roman" w:cs="Times New Roman"/>
        </w:rPr>
        <w:t xml:space="preserve">discussed earlier, </w:t>
      </w:r>
      <w:r w:rsidRPr="00F43406">
        <w:rPr>
          <w:rFonts w:ascii="Times New Roman" w:hAnsi="Times New Roman" w:cs="Times New Roman"/>
        </w:rPr>
        <w:t>many debtors who operate</w:t>
      </w:r>
      <w:r w:rsidR="00DF44A3">
        <w:rPr>
          <w:rFonts w:ascii="Times New Roman" w:hAnsi="Times New Roman" w:cs="Times New Roman"/>
        </w:rPr>
        <w:t>d</w:t>
      </w:r>
      <w:r w:rsidRPr="00F43406">
        <w:rPr>
          <w:rFonts w:ascii="Times New Roman" w:hAnsi="Times New Roman" w:cs="Times New Roman"/>
        </w:rPr>
        <w:t xml:space="preserve"> a business did not check the box </w:t>
      </w:r>
      <w:r w:rsidR="00DF44A3">
        <w:rPr>
          <w:rFonts w:ascii="Times New Roman" w:hAnsi="Times New Roman" w:cs="Times New Roman"/>
        </w:rPr>
        <w:t xml:space="preserve">stating </w:t>
      </w:r>
      <w:r w:rsidRPr="00F43406">
        <w:rPr>
          <w:rFonts w:ascii="Times New Roman" w:hAnsi="Times New Roman" w:cs="Times New Roman"/>
        </w:rPr>
        <w:t xml:space="preserve">that their debts </w:t>
      </w:r>
      <w:r w:rsidR="00DF44A3">
        <w:rPr>
          <w:rFonts w:ascii="Times New Roman" w:hAnsi="Times New Roman" w:cs="Times New Roman"/>
        </w:rPr>
        <w:t>were</w:t>
      </w:r>
      <w:r w:rsidRPr="00F43406">
        <w:rPr>
          <w:rFonts w:ascii="Times New Roman" w:hAnsi="Times New Roman" w:cs="Times New Roman"/>
        </w:rPr>
        <w:t xml:space="preserve"> primarily business debts.</w:t>
      </w:r>
      <w:r w:rsidRPr="00B912DC">
        <w:rPr>
          <w:rStyle w:val="FootnoteReference"/>
          <w:rFonts w:ascii="Times New Roman" w:hAnsi="Times New Roman" w:cs="Times New Roman"/>
        </w:rPr>
        <w:footnoteReference w:id="246"/>
      </w:r>
      <w:r w:rsidRPr="00F43406">
        <w:rPr>
          <w:rFonts w:ascii="Times New Roman" w:hAnsi="Times New Roman" w:cs="Times New Roman"/>
        </w:rPr>
        <w:t xml:space="preserve">  </w:t>
      </w:r>
    </w:p>
    <w:p w14:paraId="0E940F03" w14:textId="6B5B6A33" w:rsidR="00FC38D9" w:rsidRPr="00F43406" w:rsidRDefault="00FC38D9" w:rsidP="00FC38D9">
      <w:pPr>
        <w:spacing w:line="480" w:lineRule="auto"/>
        <w:ind w:firstLine="720"/>
        <w:rPr>
          <w:rFonts w:ascii="Times New Roman" w:hAnsi="Times New Roman" w:cs="Times New Roman"/>
        </w:rPr>
      </w:pPr>
      <w:r w:rsidRPr="00F43406">
        <w:rPr>
          <w:rFonts w:ascii="Times New Roman" w:hAnsi="Times New Roman" w:cs="Times New Roman"/>
        </w:rPr>
        <w:t xml:space="preserve">In </w:t>
      </w:r>
      <w:r>
        <w:rPr>
          <w:rFonts w:ascii="Times New Roman" w:hAnsi="Times New Roman" w:cs="Times New Roman"/>
        </w:rPr>
        <w:t>R</w:t>
      </w:r>
      <w:r w:rsidRPr="00F43406">
        <w:rPr>
          <w:rFonts w:ascii="Times New Roman" w:hAnsi="Times New Roman" w:cs="Times New Roman"/>
        </w:rPr>
        <w:t>ow (3), we compare debtors who operated a busi</w:t>
      </w:r>
      <w:r w:rsidR="00D76713">
        <w:rPr>
          <w:rFonts w:ascii="Times New Roman" w:hAnsi="Times New Roman" w:cs="Times New Roman"/>
        </w:rPr>
        <w:t>ness with those few who did no</w:t>
      </w:r>
      <w:r w:rsidR="00264213">
        <w:rPr>
          <w:rFonts w:ascii="Times New Roman" w:hAnsi="Times New Roman" w:cs="Times New Roman"/>
        </w:rPr>
        <w:t xml:space="preserve">t. </w:t>
      </w:r>
      <w:r w:rsidR="002937B1">
        <w:rPr>
          <w:rFonts w:ascii="Times New Roman" w:hAnsi="Times New Roman" w:cs="Times New Roman"/>
        </w:rPr>
        <w:t>T</w:t>
      </w:r>
      <w:r w:rsidRPr="00F43406">
        <w:rPr>
          <w:rFonts w:ascii="Times New Roman" w:hAnsi="Times New Roman" w:cs="Times New Roman"/>
        </w:rPr>
        <w:t>he non-business cases had sharply lower rates of success</w:t>
      </w:r>
      <w:r>
        <w:rPr>
          <w:rFonts w:ascii="Times New Roman" w:hAnsi="Times New Roman" w:cs="Times New Roman"/>
        </w:rPr>
        <w:t xml:space="preserve">; </w:t>
      </w:r>
      <w:r w:rsidRPr="00F43406">
        <w:rPr>
          <w:rFonts w:ascii="Times New Roman" w:hAnsi="Times New Roman" w:cs="Times New Roman"/>
        </w:rPr>
        <w:t>the odds-ratios range between 2.02 and 2.34</w:t>
      </w:r>
      <w:r>
        <w:rPr>
          <w:rFonts w:ascii="Times New Roman" w:hAnsi="Times New Roman" w:cs="Times New Roman"/>
        </w:rPr>
        <w:t>, depending on the measure of success used</w:t>
      </w:r>
      <w:r w:rsidRPr="00F43406">
        <w:rPr>
          <w:rFonts w:ascii="Times New Roman" w:hAnsi="Times New Roman" w:cs="Times New Roman"/>
        </w:rPr>
        <w:t xml:space="preserve">. Row (4) compares small-business cases with those </w:t>
      </w:r>
      <w:r>
        <w:rPr>
          <w:rFonts w:ascii="Times New Roman" w:hAnsi="Times New Roman" w:cs="Times New Roman"/>
        </w:rPr>
        <w:t>cases in which the debtor checked it was not a small business case.</w:t>
      </w:r>
      <w:r>
        <w:rPr>
          <w:rStyle w:val="FootnoteReference"/>
          <w:rFonts w:ascii="Times New Roman" w:hAnsi="Times New Roman" w:cs="Times New Roman"/>
        </w:rPr>
        <w:footnoteReference w:id="247"/>
      </w:r>
      <w:r>
        <w:rPr>
          <w:rFonts w:ascii="Times New Roman" w:hAnsi="Times New Roman" w:cs="Times New Roman"/>
        </w:rPr>
        <w:t xml:space="preserve"> </w:t>
      </w:r>
      <w:r w:rsidRPr="00F43406">
        <w:rPr>
          <w:rFonts w:ascii="Times New Roman" w:hAnsi="Times New Roman" w:cs="Times New Roman"/>
        </w:rPr>
        <w:t>Under all measures, the small business cases have a higher rate of success, but none of the differences are close to statistically significant.</w:t>
      </w:r>
    </w:p>
    <w:p w14:paraId="61109AC3" w14:textId="232C09E5" w:rsidR="00FC38D9" w:rsidRPr="00F43406" w:rsidRDefault="00FC38D9" w:rsidP="00FC38D9">
      <w:pPr>
        <w:spacing w:line="480" w:lineRule="auto"/>
        <w:ind w:firstLine="720"/>
        <w:rPr>
          <w:rFonts w:ascii="Times New Roman" w:hAnsi="Times New Roman" w:cs="Times New Roman"/>
        </w:rPr>
      </w:pPr>
      <w:r w:rsidRPr="00F43406">
        <w:rPr>
          <w:rFonts w:ascii="Times New Roman" w:hAnsi="Times New Roman" w:cs="Times New Roman"/>
        </w:rPr>
        <w:t xml:space="preserve">The data in </w:t>
      </w:r>
      <w:r>
        <w:rPr>
          <w:rFonts w:ascii="Times New Roman" w:hAnsi="Times New Roman" w:cs="Times New Roman"/>
        </w:rPr>
        <w:t>R</w:t>
      </w:r>
      <w:r w:rsidRPr="00F43406">
        <w:rPr>
          <w:rFonts w:ascii="Times New Roman" w:hAnsi="Times New Roman" w:cs="Times New Roman"/>
        </w:rPr>
        <w:t xml:space="preserve">ow (5) </w:t>
      </w:r>
      <w:r>
        <w:rPr>
          <w:rFonts w:ascii="Times New Roman" w:hAnsi="Times New Roman" w:cs="Times New Roman"/>
        </w:rPr>
        <w:t xml:space="preserve">show </w:t>
      </w:r>
      <w:r w:rsidRPr="00F43406">
        <w:rPr>
          <w:rFonts w:ascii="Times New Roman" w:hAnsi="Times New Roman" w:cs="Times New Roman"/>
        </w:rPr>
        <w:t xml:space="preserve">that no-asset cases have a much lower rate of success than asset cases, and the difference is statistically significant in two of our three measures. </w:t>
      </w:r>
      <w:r>
        <w:rPr>
          <w:rFonts w:ascii="Times New Roman" w:hAnsi="Times New Roman" w:cs="Times New Roman"/>
        </w:rPr>
        <w:t>T</w:t>
      </w:r>
      <w:r w:rsidRPr="00F43406">
        <w:rPr>
          <w:rFonts w:ascii="Times New Roman" w:hAnsi="Times New Roman" w:cs="Times New Roman"/>
        </w:rPr>
        <w:t>he differences</w:t>
      </w:r>
      <w:r>
        <w:rPr>
          <w:rFonts w:ascii="Times New Roman" w:hAnsi="Times New Roman" w:cs="Times New Roman"/>
        </w:rPr>
        <w:t>, however,</w:t>
      </w:r>
      <w:r w:rsidRPr="00F43406">
        <w:rPr>
          <w:rFonts w:ascii="Times New Roman" w:hAnsi="Times New Roman" w:cs="Times New Roman"/>
        </w:rPr>
        <w:t xml:space="preserve"> are not as pr</w:t>
      </w:r>
      <w:r>
        <w:rPr>
          <w:rFonts w:ascii="Times New Roman" w:hAnsi="Times New Roman" w:cs="Times New Roman"/>
        </w:rPr>
        <w:t>onounced as those in Section</w:t>
      </w:r>
      <w:r w:rsidR="00C93801">
        <w:rPr>
          <w:rFonts w:ascii="Times New Roman" w:hAnsi="Times New Roman" w:cs="Times New Roman"/>
        </w:rPr>
        <w:t xml:space="preserve"> IV.A.2.</w:t>
      </w:r>
      <w:r w:rsidRPr="00F43406">
        <w:rPr>
          <w:rFonts w:ascii="Times New Roman" w:hAnsi="Times New Roman" w:cs="Times New Roman"/>
        </w:rPr>
        <w:t xml:space="preserve"> We suspect that the difference is due, at least in part, to differences in our coding of no-asset cases.</w:t>
      </w:r>
      <w:r w:rsidRPr="00B912DC">
        <w:rPr>
          <w:rStyle w:val="FootnoteReference"/>
          <w:rFonts w:ascii="Times New Roman" w:hAnsi="Times New Roman" w:cs="Times New Roman"/>
        </w:rPr>
        <w:footnoteReference w:id="248"/>
      </w:r>
    </w:p>
    <w:p w14:paraId="550E1F47" w14:textId="1A7557C1" w:rsidR="00FC38D9" w:rsidRPr="00F43406" w:rsidRDefault="00FC38D9" w:rsidP="00FC38D9">
      <w:pPr>
        <w:spacing w:line="480" w:lineRule="auto"/>
        <w:ind w:firstLine="720"/>
        <w:rPr>
          <w:rFonts w:ascii="Times New Roman" w:hAnsi="Times New Roman" w:cs="Times New Roman"/>
        </w:rPr>
      </w:pPr>
      <w:r>
        <w:rPr>
          <w:rFonts w:ascii="Times New Roman" w:hAnsi="Times New Roman" w:cs="Times New Roman"/>
        </w:rPr>
        <w:t xml:space="preserve">In Section </w:t>
      </w:r>
      <w:r w:rsidR="00264213">
        <w:rPr>
          <w:rFonts w:ascii="Times New Roman" w:hAnsi="Times New Roman" w:cs="Times New Roman"/>
        </w:rPr>
        <w:t>IV.A.2</w:t>
      </w:r>
      <w:r>
        <w:rPr>
          <w:rFonts w:ascii="Times New Roman" w:hAnsi="Times New Roman" w:cs="Times New Roman"/>
        </w:rPr>
        <w:t>,</w:t>
      </w:r>
      <w:r w:rsidRPr="00F43406">
        <w:rPr>
          <w:rFonts w:ascii="Times New Roman" w:hAnsi="Times New Roman" w:cs="Times New Roman"/>
        </w:rPr>
        <w:t xml:space="preserve"> we </w:t>
      </w:r>
      <w:r>
        <w:rPr>
          <w:rFonts w:ascii="Times New Roman" w:hAnsi="Times New Roman" w:cs="Times New Roman"/>
        </w:rPr>
        <w:t xml:space="preserve">found </w:t>
      </w:r>
      <w:r w:rsidRPr="00F43406">
        <w:rPr>
          <w:rFonts w:ascii="Times New Roman" w:hAnsi="Times New Roman" w:cs="Times New Roman"/>
        </w:rPr>
        <w:t>that joint filing is a strong predictor of success</w:t>
      </w:r>
      <w:r w:rsidR="009C05BD">
        <w:rPr>
          <w:rFonts w:ascii="Times New Roman" w:hAnsi="Times New Roman" w:cs="Times New Roman"/>
        </w:rPr>
        <w:t>; here, focusing on our random sample</w:t>
      </w:r>
      <w:r w:rsidRPr="00F43406">
        <w:rPr>
          <w:rFonts w:ascii="Times New Roman" w:hAnsi="Times New Roman" w:cs="Times New Roman"/>
        </w:rPr>
        <w:t xml:space="preserve">, we also find that jointly filed cases are much more likely to succeed, regardless of the measure </w:t>
      </w:r>
      <w:r>
        <w:rPr>
          <w:rFonts w:ascii="Times New Roman" w:hAnsi="Times New Roman" w:cs="Times New Roman"/>
        </w:rPr>
        <w:t xml:space="preserve">of success </w:t>
      </w:r>
      <w:r w:rsidRPr="00F43406">
        <w:rPr>
          <w:rFonts w:ascii="Times New Roman" w:hAnsi="Times New Roman" w:cs="Times New Roman"/>
        </w:rPr>
        <w:t xml:space="preserve">used. </w:t>
      </w:r>
      <w:r w:rsidRPr="00F43406">
        <w:rPr>
          <w:rFonts w:ascii="Times New Roman" w:hAnsi="Times New Roman" w:cs="Times New Roman"/>
          <w:i/>
        </w:rPr>
        <w:t xml:space="preserve">See </w:t>
      </w:r>
      <w:r w:rsidRPr="00F43406">
        <w:rPr>
          <w:rFonts w:ascii="Times New Roman" w:hAnsi="Times New Roman" w:cs="Times New Roman"/>
        </w:rPr>
        <w:t>Row (6)</w:t>
      </w:r>
      <w:r>
        <w:rPr>
          <w:rFonts w:ascii="Times New Roman" w:hAnsi="Times New Roman" w:cs="Times New Roman"/>
        </w:rPr>
        <w:t>. In Section</w:t>
      </w:r>
      <w:r w:rsidR="00264213">
        <w:rPr>
          <w:rFonts w:ascii="Times New Roman" w:hAnsi="Times New Roman" w:cs="Times New Roman"/>
        </w:rPr>
        <w:t xml:space="preserve"> IV.A.2</w:t>
      </w:r>
      <w:r w:rsidR="00DB4EAD">
        <w:rPr>
          <w:rFonts w:ascii="Times New Roman" w:hAnsi="Times New Roman" w:cs="Times New Roman"/>
        </w:rPr>
        <w:t>,</w:t>
      </w:r>
      <w:r w:rsidRPr="00F43406">
        <w:rPr>
          <w:rFonts w:ascii="Times New Roman" w:hAnsi="Times New Roman" w:cs="Times New Roman"/>
        </w:rPr>
        <w:t xml:space="preserve"> we </w:t>
      </w:r>
      <w:r>
        <w:rPr>
          <w:rFonts w:ascii="Times New Roman" w:hAnsi="Times New Roman" w:cs="Times New Roman"/>
        </w:rPr>
        <w:t>hypothesized</w:t>
      </w:r>
      <w:r w:rsidRPr="00F43406">
        <w:rPr>
          <w:rFonts w:ascii="Times New Roman" w:hAnsi="Times New Roman" w:cs="Times New Roman"/>
        </w:rPr>
        <w:t xml:space="preserve"> that joint filing serves as a proxy for marriage. Our </w:t>
      </w:r>
      <w:r w:rsidR="00DF44A3">
        <w:rPr>
          <w:rFonts w:ascii="Times New Roman" w:hAnsi="Times New Roman" w:cs="Times New Roman"/>
        </w:rPr>
        <w:t>random</w:t>
      </w:r>
      <w:r w:rsidRPr="00F43406">
        <w:rPr>
          <w:rFonts w:ascii="Times New Roman" w:hAnsi="Times New Roman" w:cs="Times New Roman"/>
        </w:rPr>
        <w:t xml:space="preserve"> sample allow</w:t>
      </w:r>
      <w:r w:rsidR="002937B1">
        <w:rPr>
          <w:rFonts w:ascii="Times New Roman" w:hAnsi="Times New Roman" w:cs="Times New Roman"/>
        </w:rPr>
        <w:t>ed</w:t>
      </w:r>
      <w:r w:rsidRPr="00F43406">
        <w:rPr>
          <w:rFonts w:ascii="Times New Roman" w:hAnsi="Times New Roman" w:cs="Times New Roman"/>
        </w:rPr>
        <w:t xml:space="preserve"> us to explore this theory as we used Schedule I to determine </w:t>
      </w:r>
      <w:r>
        <w:rPr>
          <w:rFonts w:ascii="Times New Roman" w:hAnsi="Times New Roman" w:cs="Times New Roman"/>
        </w:rPr>
        <w:t xml:space="preserve">the debtor’s marital status. </w:t>
      </w:r>
      <w:r w:rsidRPr="00F43406">
        <w:rPr>
          <w:rFonts w:ascii="Times New Roman" w:hAnsi="Times New Roman" w:cs="Times New Roman"/>
        </w:rPr>
        <w:t xml:space="preserve">Seventeen of the debtors did not complete this schedule; these cases </w:t>
      </w:r>
      <w:r w:rsidR="00DF44A3">
        <w:rPr>
          <w:rFonts w:ascii="Times New Roman" w:hAnsi="Times New Roman" w:cs="Times New Roman"/>
        </w:rPr>
        <w:t>all</w:t>
      </w:r>
      <w:r w:rsidRPr="00F43406">
        <w:rPr>
          <w:rFonts w:ascii="Times New Roman" w:hAnsi="Times New Roman" w:cs="Times New Roman"/>
        </w:rPr>
        <w:t xml:space="preserve"> ended in failure. Of the 206 cases in which the debtor filed Schedule I, 15</w:t>
      </w:r>
      <w:r w:rsidR="00B42980">
        <w:rPr>
          <w:rFonts w:ascii="Times New Roman" w:hAnsi="Times New Roman" w:cs="Times New Roman"/>
        </w:rPr>
        <w:t>4</w:t>
      </w:r>
      <w:r w:rsidRPr="00F43406">
        <w:rPr>
          <w:rFonts w:ascii="Times New Roman" w:hAnsi="Times New Roman" w:cs="Times New Roman"/>
        </w:rPr>
        <w:t xml:space="preserve"> listed a spouse. Of these</w:t>
      </w:r>
      <w:r>
        <w:rPr>
          <w:rFonts w:ascii="Times New Roman" w:hAnsi="Times New Roman" w:cs="Times New Roman"/>
        </w:rPr>
        <w:t xml:space="preserve"> 15</w:t>
      </w:r>
      <w:r w:rsidR="00B42980">
        <w:rPr>
          <w:rFonts w:ascii="Times New Roman" w:hAnsi="Times New Roman" w:cs="Times New Roman"/>
        </w:rPr>
        <w:t>4</w:t>
      </w:r>
      <w:r w:rsidRPr="00F43406">
        <w:rPr>
          <w:rFonts w:ascii="Times New Roman" w:hAnsi="Times New Roman" w:cs="Times New Roman"/>
        </w:rPr>
        <w:t>, a little more than half (8</w:t>
      </w:r>
      <w:r w:rsidR="00B42980">
        <w:rPr>
          <w:rFonts w:ascii="Times New Roman" w:hAnsi="Times New Roman" w:cs="Times New Roman"/>
        </w:rPr>
        <w:t>1</w:t>
      </w:r>
      <w:r w:rsidRPr="00F43406">
        <w:rPr>
          <w:rFonts w:ascii="Times New Roman" w:hAnsi="Times New Roman" w:cs="Times New Roman"/>
        </w:rPr>
        <w:t xml:space="preserve">) </w:t>
      </w:r>
      <w:r w:rsidR="002937B1">
        <w:rPr>
          <w:rFonts w:ascii="Times New Roman" w:hAnsi="Times New Roman" w:cs="Times New Roman"/>
        </w:rPr>
        <w:t xml:space="preserve">involved </w:t>
      </w:r>
      <w:r w:rsidRPr="00F43406">
        <w:rPr>
          <w:rFonts w:ascii="Times New Roman" w:hAnsi="Times New Roman" w:cs="Times New Roman"/>
        </w:rPr>
        <w:t>a joint petition.</w:t>
      </w:r>
      <w:r w:rsidRPr="00B912DC">
        <w:rPr>
          <w:rStyle w:val="FootnoteReference"/>
          <w:rFonts w:ascii="Times New Roman" w:hAnsi="Times New Roman" w:cs="Times New Roman"/>
        </w:rPr>
        <w:footnoteReference w:id="249"/>
      </w:r>
      <w:r w:rsidRPr="00F43406">
        <w:rPr>
          <w:rFonts w:ascii="Times New Roman" w:hAnsi="Times New Roman" w:cs="Times New Roman"/>
        </w:rPr>
        <w:t xml:space="preserve"> Of the debtors who completed Schedule I, those who reported a spouse were much more likely to succeed than those who did not. </w:t>
      </w:r>
      <w:r w:rsidRPr="00F43406">
        <w:rPr>
          <w:rFonts w:ascii="Times New Roman" w:hAnsi="Times New Roman" w:cs="Times New Roman"/>
          <w:i/>
        </w:rPr>
        <w:t xml:space="preserve">See </w:t>
      </w:r>
      <w:r w:rsidR="00DF44A3">
        <w:rPr>
          <w:rFonts w:ascii="Times New Roman" w:hAnsi="Times New Roman" w:cs="Times New Roman"/>
        </w:rPr>
        <w:t xml:space="preserve">Table 47, </w:t>
      </w:r>
      <w:r w:rsidRPr="00F43406">
        <w:rPr>
          <w:rFonts w:ascii="Times New Roman" w:hAnsi="Times New Roman" w:cs="Times New Roman"/>
        </w:rPr>
        <w:t xml:space="preserve">Row </w:t>
      </w:r>
      <w:r>
        <w:rPr>
          <w:rFonts w:ascii="Times New Roman" w:hAnsi="Times New Roman" w:cs="Times New Roman"/>
        </w:rPr>
        <w:t>(</w:t>
      </w:r>
      <w:r w:rsidRPr="00F43406">
        <w:rPr>
          <w:rFonts w:ascii="Times New Roman" w:hAnsi="Times New Roman" w:cs="Times New Roman"/>
        </w:rPr>
        <w:t>7</w:t>
      </w:r>
      <w:r>
        <w:rPr>
          <w:rFonts w:ascii="Times New Roman" w:hAnsi="Times New Roman" w:cs="Times New Roman"/>
        </w:rPr>
        <w:t>)</w:t>
      </w:r>
      <w:r w:rsidRPr="00F43406">
        <w:rPr>
          <w:rFonts w:ascii="Times New Roman" w:hAnsi="Times New Roman" w:cs="Times New Roman"/>
        </w:rPr>
        <w:t xml:space="preserve">. Row </w:t>
      </w:r>
      <w:r>
        <w:rPr>
          <w:rFonts w:ascii="Times New Roman" w:hAnsi="Times New Roman" w:cs="Times New Roman"/>
        </w:rPr>
        <w:t>(</w:t>
      </w:r>
      <w:r w:rsidRPr="00F43406">
        <w:rPr>
          <w:rFonts w:ascii="Times New Roman" w:hAnsi="Times New Roman" w:cs="Times New Roman"/>
        </w:rPr>
        <w:t>8</w:t>
      </w:r>
      <w:r>
        <w:rPr>
          <w:rFonts w:ascii="Times New Roman" w:hAnsi="Times New Roman" w:cs="Times New Roman"/>
        </w:rPr>
        <w:t>)</w:t>
      </w:r>
      <w:r w:rsidRPr="00F43406">
        <w:rPr>
          <w:rFonts w:ascii="Times New Roman" w:hAnsi="Times New Roman" w:cs="Times New Roman"/>
        </w:rPr>
        <w:t xml:space="preserve"> compares the married debtors who filed jointly with those who filed alone. The joint filings were significantly more likely to succeed, and this difference was statistically significant in two of the three measures. In other words, a joint filing is not merely a proxy for marriage. </w:t>
      </w:r>
    </w:p>
    <w:p w14:paraId="09587AFC" w14:textId="353EEA64" w:rsidR="00FC38D9" w:rsidRPr="00F43406" w:rsidRDefault="00FC38D9" w:rsidP="00FC38D9">
      <w:pPr>
        <w:spacing w:line="480" w:lineRule="auto"/>
        <w:ind w:firstLine="720"/>
        <w:rPr>
          <w:rFonts w:ascii="Times New Roman" w:hAnsi="Times New Roman" w:cs="Times New Roman"/>
        </w:rPr>
      </w:pPr>
      <w:r w:rsidRPr="00F43406">
        <w:rPr>
          <w:rFonts w:ascii="Times New Roman" w:hAnsi="Times New Roman" w:cs="Times New Roman"/>
        </w:rPr>
        <w:t xml:space="preserve">We </w:t>
      </w:r>
      <w:r>
        <w:rPr>
          <w:rFonts w:ascii="Times New Roman" w:hAnsi="Times New Roman" w:cs="Times New Roman"/>
        </w:rPr>
        <w:t>tested</w:t>
      </w:r>
      <w:r w:rsidRPr="00F43406">
        <w:rPr>
          <w:rFonts w:ascii="Times New Roman" w:hAnsi="Times New Roman" w:cs="Times New Roman"/>
        </w:rPr>
        <w:t xml:space="preserve"> tw</w:t>
      </w:r>
      <w:r w:rsidR="00D57C52">
        <w:rPr>
          <w:rFonts w:ascii="Times New Roman" w:hAnsi="Times New Roman" w:cs="Times New Roman"/>
        </w:rPr>
        <w:t>o other measures of “stability”—</w:t>
      </w:r>
      <w:r>
        <w:rPr>
          <w:rFonts w:ascii="Times New Roman" w:hAnsi="Times New Roman" w:cs="Times New Roman"/>
        </w:rPr>
        <w:t>homeownership and employment duration</w:t>
      </w:r>
      <w:r w:rsidR="00DB15DD">
        <w:rPr>
          <w:rFonts w:ascii="Times New Roman" w:hAnsi="Times New Roman" w:cs="Times New Roman"/>
        </w:rPr>
        <w:t>—</w:t>
      </w:r>
      <w:r w:rsidR="00D57C52">
        <w:rPr>
          <w:rFonts w:ascii="Times New Roman" w:hAnsi="Times New Roman" w:cs="Times New Roman"/>
        </w:rPr>
        <w:t>but</w:t>
      </w:r>
      <w:r w:rsidR="00DB15DD">
        <w:rPr>
          <w:rFonts w:ascii="Times New Roman" w:hAnsi="Times New Roman" w:cs="Times New Roman"/>
        </w:rPr>
        <w:t xml:space="preserve"> </w:t>
      </w:r>
      <w:r w:rsidR="00D57C52">
        <w:rPr>
          <w:rFonts w:ascii="Times New Roman" w:hAnsi="Times New Roman" w:cs="Times New Roman"/>
        </w:rPr>
        <w:t>n</w:t>
      </w:r>
      <w:r w:rsidRPr="00F43406">
        <w:rPr>
          <w:rFonts w:ascii="Times New Roman" w:hAnsi="Times New Roman" w:cs="Times New Roman"/>
        </w:rPr>
        <w:t xml:space="preserve">either proved particularly useful in predicting success. Of the debtors who filed intelligible schedules, over </w:t>
      </w:r>
      <w:r w:rsidR="00DB15DD">
        <w:rPr>
          <w:rFonts w:ascii="Times New Roman" w:hAnsi="Times New Roman" w:cs="Times New Roman"/>
        </w:rPr>
        <w:t>90%</w:t>
      </w:r>
      <w:r w:rsidRPr="00F43406">
        <w:rPr>
          <w:rFonts w:ascii="Times New Roman" w:hAnsi="Times New Roman" w:cs="Times New Roman"/>
        </w:rPr>
        <w:t xml:space="preserve"> owned a home. The homeowners had higher rates of success than the non-homeowners, but the differences were not very large and were not close to statistically significant under any of our measures. </w:t>
      </w:r>
      <w:r w:rsidRPr="00F43406">
        <w:rPr>
          <w:rFonts w:ascii="Times New Roman" w:hAnsi="Times New Roman" w:cs="Times New Roman"/>
          <w:i/>
        </w:rPr>
        <w:t xml:space="preserve">See </w:t>
      </w:r>
      <w:r w:rsidR="00DF44A3">
        <w:rPr>
          <w:rFonts w:ascii="Times New Roman" w:hAnsi="Times New Roman" w:cs="Times New Roman"/>
        </w:rPr>
        <w:t xml:space="preserve">Table 47, </w:t>
      </w:r>
      <w:r>
        <w:rPr>
          <w:rFonts w:ascii="Times New Roman" w:hAnsi="Times New Roman" w:cs="Times New Roman"/>
        </w:rPr>
        <w:t>Row (9).</w:t>
      </w:r>
      <w:r w:rsidRPr="00F43406">
        <w:rPr>
          <w:rFonts w:ascii="Times New Roman" w:hAnsi="Times New Roman" w:cs="Times New Roman"/>
        </w:rPr>
        <w:t xml:space="preserve"> We also used Schedule I to determine the durat</w:t>
      </w:r>
      <w:r>
        <w:rPr>
          <w:rFonts w:ascii="Times New Roman" w:hAnsi="Times New Roman" w:cs="Times New Roman"/>
        </w:rPr>
        <w:t>ion of the debtor’s employment.</w:t>
      </w:r>
      <w:r w:rsidRPr="00F43406">
        <w:rPr>
          <w:rFonts w:ascii="Times New Roman" w:hAnsi="Times New Roman" w:cs="Times New Roman"/>
        </w:rPr>
        <w:t xml:space="preserve"> As we </w:t>
      </w:r>
      <w:r>
        <w:rPr>
          <w:rFonts w:ascii="Times New Roman" w:hAnsi="Times New Roman" w:cs="Times New Roman"/>
        </w:rPr>
        <w:t>note</w:t>
      </w:r>
      <w:r w:rsidR="003665B8">
        <w:rPr>
          <w:rFonts w:ascii="Times New Roman" w:hAnsi="Times New Roman" w:cs="Times New Roman"/>
        </w:rPr>
        <w:t>d</w:t>
      </w:r>
      <w:r w:rsidRPr="00F43406">
        <w:rPr>
          <w:rFonts w:ascii="Times New Roman" w:hAnsi="Times New Roman" w:cs="Times New Roman"/>
        </w:rPr>
        <w:t xml:space="preserve"> above,</w:t>
      </w:r>
      <w:r w:rsidRPr="00B912DC">
        <w:rPr>
          <w:rStyle w:val="FootnoteReference"/>
          <w:rFonts w:ascii="Times New Roman" w:hAnsi="Times New Roman" w:cs="Times New Roman"/>
        </w:rPr>
        <w:footnoteReference w:id="250"/>
      </w:r>
      <w:r w:rsidRPr="00F43406">
        <w:rPr>
          <w:rFonts w:ascii="Times New Roman" w:hAnsi="Times New Roman" w:cs="Times New Roman"/>
        </w:rPr>
        <w:t xml:space="preserve"> chapter 11 debtors report v</w:t>
      </w:r>
      <w:r>
        <w:rPr>
          <w:rFonts w:ascii="Times New Roman" w:hAnsi="Times New Roman" w:cs="Times New Roman"/>
        </w:rPr>
        <w:t>ery long periods of employment.</w:t>
      </w:r>
      <w:r w:rsidRPr="00F43406">
        <w:rPr>
          <w:rFonts w:ascii="Times New Roman" w:hAnsi="Times New Roman" w:cs="Times New Roman"/>
        </w:rPr>
        <w:t xml:space="preserve"> In </w:t>
      </w:r>
      <w:r w:rsidR="00DF44A3">
        <w:rPr>
          <w:rFonts w:ascii="Times New Roman" w:hAnsi="Times New Roman" w:cs="Times New Roman"/>
        </w:rPr>
        <w:t xml:space="preserve">the random </w:t>
      </w:r>
      <w:r w:rsidRPr="00F43406">
        <w:rPr>
          <w:rFonts w:ascii="Times New Roman" w:hAnsi="Times New Roman" w:cs="Times New Roman"/>
        </w:rPr>
        <w:t xml:space="preserve">sample, more than </w:t>
      </w:r>
      <w:r w:rsidR="00DB15DD">
        <w:rPr>
          <w:rFonts w:ascii="Times New Roman" w:hAnsi="Times New Roman" w:cs="Times New Roman"/>
        </w:rPr>
        <w:t>90%</w:t>
      </w:r>
      <w:r w:rsidRPr="00F43406">
        <w:rPr>
          <w:rFonts w:ascii="Times New Roman" w:hAnsi="Times New Roman" w:cs="Times New Roman"/>
        </w:rPr>
        <w:t xml:space="preserve"> reported employment d</w:t>
      </w:r>
      <w:r w:rsidR="0059336D">
        <w:rPr>
          <w:rFonts w:ascii="Times New Roman" w:hAnsi="Times New Roman" w:cs="Times New Roman"/>
        </w:rPr>
        <w:t xml:space="preserve">uration of more than one year. </w:t>
      </w:r>
      <w:r w:rsidRPr="00F43406">
        <w:rPr>
          <w:rFonts w:ascii="Times New Roman" w:hAnsi="Times New Roman" w:cs="Times New Roman"/>
        </w:rPr>
        <w:t>As with home</w:t>
      </w:r>
      <w:r w:rsidR="00D57C52">
        <w:rPr>
          <w:rFonts w:ascii="Times New Roman" w:hAnsi="Times New Roman" w:cs="Times New Roman"/>
        </w:rPr>
        <w:t xml:space="preserve"> </w:t>
      </w:r>
      <w:r w:rsidRPr="00F43406">
        <w:rPr>
          <w:rFonts w:ascii="Times New Roman" w:hAnsi="Times New Roman" w:cs="Times New Roman"/>
        </w:rPr>
        <w:t>ownership, those debtors with more than a year of employment succeeded more often than those with less than a year, but the differences were not particularly large or close to statistically significant.</w:t>
      </w:r>
    </w:p>
    <w:p w14:paraId="01A324A0" w14:textId="6D8692F2" w:rsidR="00DF44A3" w:rsidRDefault="00FC38D9" w:rsidP="00FC38D9">
      <w:pPr>
        <w:spacing w:line="480" w:lineRule="auto"/>
        <w:ind w:firstLine="720"/>
        <w:rPr>
          <w:rFonts w:ascii="Times New Roman" w:hAnsi="Times New Roman" w:cs="Times New Roman"/>
        </w:rPr>
      </w:pPr>
      <w:r>
        <w:rPr>
          <w:rFonts w:ascii="Times New Roman" w:hAnsi="Times New Roman" w:cs="Times New Roman"/>
        </w:rPr>
        <w:t xml:space="preserve">As </w:t>
      </w:r>
      <w:r w:rsidR="00D57C52">
        <w:rPr>
          <w:rFonts w:ascii="Times New Roman" w:hAnsi="Times New Roman" w:cs="Times New Roman"/>
        </w:rPr>
        <w:t>with our PACER data</w:t>
      </w:r>
      <w:r w:rsidR="00C861B3" w:rsidRPr="00F43406">
        <w:rPr>
          <w:rFonts w:ascii="Times New Roman" w:hAnsi="Times New Roman" w:cs="Times New Roman"/>
        </w:rPr>
        <w:t>,</w:t>
      </w:r>
      <w:r w:rsidR="00D57C52">
        <w:rPr>
          <w:rStyle w:val="FootnoteReference"/>
          <w:rFonts w:ascii="Times New Roman" w:hAnsi="Times New Roman" w:cs="Times New Roman"/>
        </w:rPr>
        <w:footnoteReference w:id="251"/>
      </w:r>
      <w:r w:rsidR="00C861B3" w:rsidRPr="00F43406">
        <w:rPr>
          <w:rFonts w:ascii="Times New Roman" w:hAnsi="Times New Roman" w:cs="Times New Roman"/>
        </w:rPr>
        <w:t xml:space="preserve"> </w:t>
      </w:r>
      <w:r w:rsidRPr="00F43406">
        <w:rPr>
          <w:rFonts w:ascii="Times New Roman" w:hAnsi="Times New Roman" w:cs="Times New Roman"/>
        </w:rPr>
        <w:t xml:space="preserve">we </w:t>
      </w:r>
      <w:r w:rsidR="003665B8">
        <w:rPr>
          <w:rFonts w:ascii="Times New Roman" w:hAnsi="Times New Roman" w:cs="Times New Roman"/>
        </w:rPr>
        <w:t xml:space="preserve">found </w:t>
      </w:r>
      <w:r w:rsidRPr="00F43406">
        <w:rPr>
          <w:rFonts w:ascii="Times New Roman" w:hAnsi="Times New Roman" w:cs="Times New Roman"/>
        </w:rPr>
        <w:t>that pro se cases are more likely to fail, but the effects are far stronger</w:t>
      </w:r>
      <w:r w:rsidR="00DF44A3">
        <w:rPr>
          <w:rFonts w:ascii="Times New Roman" w:hAnsi="Times New Roman" w:cs="Times New Roman"/>
        </w:rPr>
        <w:t xml:space="preserve"> for the random sample data</w:t>
      </w:r>
      <w:r w:rsidRPr="00F43406">
        <w:rPr>
          <w:rFonts w:ascii="Times New Roman" w:hAnsi="Times New Roman" w:cs="Times New Roman"/>
        </w:rPr>
        <w:t xml:space="preserve">. </w:t>
      </w:r>
      <w:r w:rsidR="00C861B3">
        <w:rPr>
          <w:rFonts w:ascii="Times New Roman" w:hAnsi="Times New Roman" w:cs="Times New Roman"/>
        </w:rPr>
        <w:t>In fact, w</w:t>
      </w:r>
      <w:r w:rsidRPr="00F43406">
        <w:rPr>
          <w:rFonts w:ascii="Times New Roman" w:hAnsi="Times New Roman" w:cs="Times New Roman"/>
        </w:rPr>
        <w:t xml:space="preserve">e found no successful pro se cases using </w:t>
      </w:r>
      <w:r w:rsidR="00C861B3">
        <w:rPr>
          <w:rFonts w:ascii="Times New Roman" w:hAnsi="Times New Roman" w:cs="Times New Roman"/>
        </w:rPr>
        <w:t>any of our measures</w:t>
      </w:r>
      <w:r w:rsidRPr="00F43406">
        <w:rPr>
          <w:rFonts w:ascii="Times New Roman" w:hAnsi="Times New Roman" w:cs="Times New Roman"/>
        </w:rPr>
        <w:t xml:space="preserve">. </w:t>
      </w:r>
      <w:r w:rsidRPr="00F43406">
        <w:rPr>
          <w:rFonts w:ascii="Times New Roman" w:hAnsi="Times New Roman" w:cs="Times New Roman"/>
          <w:i/>
        </w:rPr>
        <w:t xml:space="preserve">See </w:t>
      </w:r>
      <w:r w:rsidR="00DF44A3">
        <w:rPr>
          <w:rFonts w:ascii="Times New Roman" w:hAnsi="Times New Roman" w:cs="Times New Roman"/>
        </w:rPr>
        <w:t xml:space="preserve">Table 47, </w:t>
      </w:r>
      <w:r w:rsidRPr="00F43406">
        <w:rPr>
          <w:rFonts w:ascii="Times New Roman" w:hAnsi="Times New Roman" w:cs="Times New Roman"/>
        </w:rPr>
        <w:t xml:space="preserve">Row (11). </w:t>
      </w:r>
    </w:p>
    <w:p w14:paraId="2272CAC0" w14:textId="0F90C53F" w:rsidR="00FC38D9" w:rsidRPr="00F43406" w:rsidRDefault="00DF44A3" w:rsidP="00FC38D9">
      <w:pPr>
        <w:spacing w:line="480" w:lineRule="auto"/>
        <w:ind w:firstLine="720"/>
        <w:rPr>
          <w:rFonts w:ascii="Times New Roman" w:hAnsi="Times New Roman" w:cs="Times New Roman"/>
        </w:rPr>
      </w:pPr>
      <w:r>
        <w:rPr>
          <w:rFonts w:ascii="Times New Roman" w:hAnsi="Times New Roman" w:cs="Times New Roman"/>
        </w:rPr>
        <w:t>For represented debtors, t</w:t>
      </w:r>
      <w:r w:rsidR="00CF2F91">
        <w:rPr>
          <w:rFonts w:ascii="Times New Roman" w:hAnsi="Times New Roman" w:cs="Times New Roman"/>
        </w:rPr>
        <w:t xml:space="preserve">he data in </w:t>
      </w:r>
      <w:r w:rsidR="00FC38D9" w:rsidRPr="00F43406">
        <w:rPr>
          <w:rFonts w:ascii="Times New Roman" w:hAnsi="Times New Roman" w:cs="Times New Roman"/>
        </w:rPr>
        <w:t>Row (</w:t>
      </w:r>
      <w:r>
        <w:rPr>
          <w:rFonts w:ascii="Times New Roman" w:hAnsi="Times New Roman" w:cs="Times New Roman"/>
        </w:rPr>
        <w:t>1</w:t>
      </w:r>
      <w:r w:rsidR="00FC38D9" w:rsidRPr="00F43406">
        <w:rPr>
          <w:rFonts w:ascii="Times New Roman" w:hAnsi="Times New Roman" w:cs="Times New Roman"/>
        </w:rPr>
        <w:t xml:space="preserve">) </w:t>
      </w:r>
      <w:r>
        <w:rPr>
          <w:rFonts w:ascii="Times New Roman" w:hAnsi="Times New Roman" w:cs="Times New Roman"/>
        </w:rPr>
        <w:t xml:space="preserve">of Table 48 </w:t>
      </w:r>
      <w:r w:rsidR="00CF2F91">
        <w:rPr>
          <w:rFonts w:ascii="Times New Roman" w:hAnsi="Times New Roman" w:cs="Times New Roman"/>
        </w:rPr>
        <w:t>show</w:t>
      </w:r>
      <w:r w:rsidR="00FC38D9" w:rsidRPr="00F43406">
        <w:rPr>
          <w:rFonts w:ascii="Times New Roman" w:hAnsi="Times New Roman" w:cs="Times New Roman"/>
        </w:rPr>
        <w:t xml:space="preserve"> that there is a statistically significant relationship between the log of the number of times that an attorney’s name appears in </w:t>
      </w:r>
      <w:r w:rsidR="00562E26">
        <w:rPr>
          <w:rFonts w:ascii="Times New Roman" w:hAnsi="Times New Roman" w:cs="Times New Roman"/>
        </w:rPr>
        <w:t>the cases in the random sample</w:t>
      </w:r>
      <w:r w:rsidR="00FC38D9" w:rsidRPr="00F43406">
        <w:rPr>
          <w:rFonts w:ascii="Times New Roman" w:hAnsi="Times New Roman" w:cs="Times New Roman"/>
        </w:rPr>
        <w:t xml:space="preserve"> and our measures of success.</w:t>
      </w:r>
      <w:r w:rsidR="00FC38D9" w:rsidRPr="00B912DC">
        <w:rPr>
          <w:rStyle w:val="FootnoteReference"/>
          <w:rFonts w:ascii="Times New Roman" w:hAnsi="Times New Roman" w:cs="Times New Roman"/>
        </w:rPr>
        <w:footnoteReference w:id="252"/>
      </w:r>
      <w:r w:rsidR="00FC38D9" w:rsidRPr="00F43406">
        <w:rPr>
          <w:rFonts w:ascii="Times New Roman" w:hAnsi="Times New Roman" w:cs="Times New Roman"/>
        </w:rPr>
        <w:t xml:space="preserve"> In rows (12) through (14)</w:t>
      </w:r>
      <w:r>
        <w:rPr>
          <w:rFonts w:ascii="Times New Roman" w:hAnsi="Times New Roman" w:cs="Times New Roman"/>
        </w:rPr>
        <w:t xml:space="preserve"> of Table 47</w:t>
      </w:r>
      <w:r w:rsidR="00FC38D9" w:rsidRPr="00F43406">
        <w:rPr>
          <w:rFonts w:ascii="Times New Roman" w:hAnsi="Times New Roman" w:cs="Times New Roman"/>
        </w:rPr>
        <w:t xml:space="preserve">, we compare the success rates of attorney experience groups against each other. Groups with more experience always have higher rates of success, but the </w:t>
      </w:r>
      <w:r w:rsidR="00FC38D9">
        <w:rPr>
          <w:rFonts w:ascii="Times New Roman" w:hAnsi="Times New Roman" w:cs="Times New Roman"/>
        </w:rPr>
        <w:t xml:space="preserve">only statistically significant </w:t>
      </w:r>
      <w:r w:rsidR="00FC38D9" w:rsidRPr="00F43406">
        <w:rPr>
          <w:rFonts w:ascii="Times New Roman" w:hAnsi="Times New Roman" w:cs="Times New Roman"/>
        </w:rPr>
        <w:t xml:space="preserve">difference is between the low- and high-experience attorneys. </w:t>
      </w:r>
    </w:p>
    <w:p w14:paraId="28D8D9E1" w14:textId="1CDADD91" w:rsidR="00FC38D9" w:rsidRDefault="00FC38D9" w:rsidP="00FC38D9">
      <w:pPr>
        <w:spacing w:line="480" w:lineRule="auto"/>
        <w:ind w:firstLine="720"/>
        <w:rPr>
          <w:rFonts w:ascii="Times New Roman" w:hAnsi="Times New Roman" w:cs="Times New Roman"/>
        </w:rPr>
      </w:pPr>
      <w:r w:rsidRPr="00F43406">
        <w:rPr>
          <w:rFonts w:ascii="Times New Roman" w:hAnsi="Times New Roman" w:cs="Times New Roman"/>
        </w:rPr>
        <w:t xml:space="preserve">The findings in row (15) </w:t>
      </w:r>
      <w:r w:rsidR="00DF44A3">
        <w:rPr>
          <w:rFonts w:ascii="Times New Roman" w:hAnsi="Times New Roman" w:cs="Times New Roman"/>
        </w:rPr>
        <w:t xml:space="preserve">of Table 47 </w:t>
      </w:r>
      <w:r w:rsidRPr="00F43406">
        <w:rPr>
          <w:rFonts w:ascii="Times New Roman" w:hAnsi="Times New Roman" w:cs="Times New Roman"/>
        </w:rPr>
        <w:t xml:space="preserve">suggest that debtors who disclosed a prior bankruptcy filing on their petitions failed more often than those who did not. The difference is only statistically significant for one measure of success, but the estimated difference is practically significant (odds-ratios range from 1.76 to </w:t>
      </w:r>
      <w:r w:rsidR="00C861B3">
        <w:rPr>
          <w:rFonts w:ascii="Times New Roman" w:hAnsi="Times New Roman" w:cs="Times New Roman"/>
        </w:rPr>
        <w:t>1</w:t>
      </w:r>
      <w:r w:rsidRPr="00F43406">
        <w:rPr>
          <w:rFonts w:ascii="Times New Roman" w:hAnsi="Times New Roman" w:cs="Times New Roman"/>
        </w:rPr>
        <w:t>.</w:t>
      </w:r>
      <w:r w:rsidR="00C861B3">
        <w:rPr>
          <w:rFonts w:ascii="Times New Roman" w:hAnsi="Times New Roman" w:cs="Times New Roman"/>
        </w:rPr>
        <w:t>99</w:t>
      </w:r>
      <w:r w:rsidRPr="00F43406">
        <w:rPr>
          <w:rFonts w:ascii="Times New Roman" w:hAnsi="Times New Roman" w:cs="Times New Roman"/>
        </w:rPr>
        <w:t xml:space="preserve">), and the differences in the other two measures are close to statistical significance.  </w:t>
      </w:r>
    </w:p>
    <w:p w14:paraId="1282A66A" w14:textId="70D896FB" w:rsidR="00C861B3" w:rsidRDefault="00C861B3" w:rsidP="00FC38D9">
      <w:pPr>
        <w:spacing w:line="480" w:lineRule="auto"/>
        <w:ind w:firstLine="720"/>
        <w:rPr>
          <w:rFonts w:ascii="Times New Roman" w:hAnsi="Times New Roman" w:cs="Times New Roman"/>
        </w:rPr>
      </w:pPr>
      <w:r w:rsidRPr="00F43406">
        <w:rPr>
          <w:rFonts w:ascii="Times New Roman" w:hAnsi="Times New Roman" w:cs="Times New Roman"/>
        </w:rPr>
        <w:t xml:space="preserve">We expected to find that debtors with greater income, or greater income relative to their expenses, would be more likely to succeed. Despite trying </w:t>
      </w:r>
      <w:r w:rsidR="00DF44A3">
        <w:rPr>
          <w:rFonts w:ascii="Times New Roman" w:hAnsi="Times New Roman" w:cs="Times New Roman"/>
        </w:rPr>
        <w:t xml:space="preserve">different ways to measure a debtor’s income and expenses, </w:t>
      </w:r>
      <w:r w:rsidRPr="00F43406">
        <w:rPr>
          <w:rFonts w:ascii="Times New Roman" w:hAnsi="Times New Roman" w:cs="Times New Roman"/>
        </w:rPr>
        <w:t>we found little eviden</w:t>
      </w:r>
      <w:r>
        <w:rPr>
          <w:rFonts w:ascii="Times New Roman" w:hAnsi="Times New Roman" w:cs="Times New Roman"/>
        </w:rPr>
        <w:t>ce to support this hypothesis.</w:t>
      </w:r>
      <w:r w:rsidRPr="00F43406">
        <w:rPr>
          <w:rFonts w:ascii="Times New Roman" w:hAnsi="Times New Roman" w:cs="Times New Roman"/>
        </w:rPr>
        <w:t xml:space="preserve"> Row (2) </w:t>
      </w:r>
      <w:r w:rsidR="00DF44A3">
        <w:rPr>
          <w:rFonts w:ascii="Times New Roman" w:hAnsi="Times New Roman" w:cs="Times New Roman"/>
        </w:rPr>
        <w:t xml:space="preserve">of Table 48 </w:t>
      </w:r>
      <w:r w:rsidRPr="00F43406">
        <w:rPr>
          <w:rFonts w:ascii="Times New Roman" w:hAnsi="Times New Roman" w:cs="Times New Roman"/>
        </w:rPr>
        <w:t xml:space="preserve">reports the marginal effects of increasing the </w:t>
      </w:r>
      <w:r>
        <w:rPr>
          <w:rFonts w:ascii="Times New Roman" w:hAnsi="Times New Roman" w:cs="Times New Roman"/>
        </w:rPr>
        <w:t>log of the debtor’s monthly income</w:t>
      </w:r>
      <w:r w:rsidRPr="00F43406">
        <w:rPr>
          <w:rFonts w:ascii="Times New Roman" w:hAnsi="Times New Roman" w:cs="Times New Roman"/>
        </w:rPr>
        <w:t xml:space="preserve">. The estimated effect is </w:t>
      </w:r>
      <w:r>
        <w:rPr>
          <w:rFonts w:ascii="Times New Roman" w:hAnsi="Times New Roman" w:cs="Times New Roman"/>
        </w:rPr>
        <w:t xml:space="preserve">positive, but it is not close to </w:t>
      </w:r>
      <w:r w:rsidRPr="00F43406">
        <w:rPr>
          <w:rFonts w:ascii="Times New Roman" w:hAnsi="Times New Roman" w:cs="Times New Roman"/>
        </w:rPr>
        <w:t>statistically significant.</w:t>
      </w:r>
      <w:r w:rsidRPr="0059336D">
        <w:rPr>
          <w:rFonts w:ascii="Times New Roman" w:hAnsi="Times New Roman" w:cs="Times New Roman"/>
        </w:rPr>
        <w:t xml:space="preserve"> </w:t>
      </w:r>
      <w:r w:rsidRPr="00F43406">
        <w:rPr>
          <w:rFonts w:ascii="Times New Roman" w:hAnsi="Times New Roman" w:cs="Times New Roman"/>
        </w:rPr>
        <w:t xml:space="preserve">We found similar results when we analyzed the </w:t>
      </w:r>
      <w:r>
        <w:rPr>
          <w:rFonts w:ascii="Times New Roman" w:hAnsi="Times New Roman" w:cs="Times New Roman"/>
        </w:rPr>
        <w:t>debtor’s unadjusted monthly income, the debtor’s net income, and the ratio of the debtor’s income to expenses.</w:t>
      </w:r>
      <w:r w:rsidRPr="00F43406">
        <w:rPr>
          <w:rFonts w:ascii="Times New Roman" w:hAnsi="Times New Roman" w:cs="Times New Roman"/>
        </w:rPr>
        <w:t xml:space="preserve">  </w:t>
      </w:r>
    </w:p>
    <w:p w14:paraId="066388BD" w14:textId="1648A663" w:rsidR="00CF2F91" w:rsidRDefault="00CF2F91" w:rsidP="003665B8">
      <w:pPr>
        <w:keepNext/>
        <w:keepLines/>
        <w:ind w:firstLine="720"/>
        <w:rPr>
          <w:rFonts w:ascii="Times New Roman" w:hAnsi="Times New Roman" w:cs="Times New Roman"/>
          <w:b/>
        </w:rPr>
      </w:pPr>
      <w:r w:rsidRPr="00F43406">
        <w:rPr>
          <w:rFonts w:ascii="Times New Roman" w:hAnsi="Times New Roman" w:cs="Times New Roman"/>
          <w:b/>
        </w:rPr>
        <w:t>Table</w:t>
      </w:r>
      <w:r w:rsidR="00DB4EAD">
        <w:rPr>
          <w:rFonts w:ascii="Times New Roman" w:hAnsi="Times New Roman" w:cs="Times New Roman"/>
          <w:b/>
        </w:rPr>
        <w:t xml:space="preserve"> 48</w:t>
      </w:r>
      <w:r w:rsidRPr="00F43406">
        <w:rPr>
          <w:rFonts w:ascii="Times New Roman" w:hAnsi="Times New Roman" w:cs="Times New Roman"/>
          <w:b/>
        </w:rPr>
        <w:t>: Marginal Effects for Non-Dichotomous Variables</w:t>
      </w:r>
    </w:p>
    <w:p w14:paraId="7C23D0FE" w14:textId="77777777" w:rsidR="00D57C52" w:rsidRDefault="00D57C52" w:rsidP="003665B8">
      <w:pPr>
        <w:keepNext/>
        <w:keepLines/>
        <w:ind w:firstLine="720"/>
        <w:rPr>
          <w:rFonts w:ascii="Times New Roman" w:hAnsi="Times New Roman" w:cs="Times New Roman"/>
        </w:rPr>
      </w:pPr>
    </w:p>
    <w:tbl>
      <w:tblPr>
        <w:tblStyle w:val="TableGrid"/>
        <w:tblW w:w="9018" w:type="dxa"/>
        <w:tblLook w:val="04A0" w:firstRow="1" w:lastRow="0" w:firstColumn="1" w:lastColumn="0" w:noHBand="0" w:noVBand="1"/>
      </w:tblPr>
      <w:tblGrid>
        <w:gridCol w:w="5678"/>
        <w:gridCol w:w="1078"/>
        <w:gridCol w:w="1096"/>
        <w:gridCol w:w="1166"/>
      </w:tblGrid>
      <w:tr w:rsidR="00CF2F91" w:rsidRPr="005F7FD9" w14:paraId="42986B60" w14:textId="77777777" w:rsidTr="00D95FFC">
        <w:tc>
          <w:tcPr>
            <w:tcW w:w="5678" w:type="dxa"/>
            <w:vMerge w:val="restart"/>
            <w:tcBorders>
              <w:top w:val="single" w:sz="12" w:space="0" w:color="auto"/>
              <w:left w:val="single" w:sz="12" w:space="0" w:color="auto"/>
              <w:right w:val="single" w:sz="12" w:space="0" w:color="auto"/>
            </w:tcBorders>
          </w:tcPr>
          <w:p w14:paraId="3381672B" w14:textId="77777777" w:rsidR="00CF2F91" w:rsidRDefault="00CF2F91" w:rsidP="003665B8">
            <w:pPr>
              <w:keepNext/>
              <w:keepLines/>
              <w:jc w:val="right"/>
              <w:rPr>
                <w:rFonts w:ascii="Times New Roman" w:hAnsi="Times New Roman" w:cs="Times New Roman"/>
                <w:sz w:val="20"/>
                <w:szCs w:val="20"/>
              </w:rPr>
            </w:pPr>
          </w:p>
          <w:p w14:paraId="065FB26B" w14:textId="77777777" w:rsidR="00CF2F91" w:rsidRDefault="00CF2F91" w:rsidP="003665B8">
            <w:pPr>
              <w:keepNext/>
              <w:keepLines/>
              <w:jc w:val="right"/>
              <w:rPr>
                <w:rFonts w:ascii="Times New Roman" w:hAnsi="Times New Roman" w:cs="Times New Roman"/>
                <w:sz w:val="20"/>
                <w:szCs w:val="20"/>
              </w:rPr>
            </w:pPr>
          </w:p>
          <w:p w14:paraId="204C6586" w14:textId="77777777" w:rsidR="00CF2F91" w:rsidRPr="00D95FFC" w:rsidRDefault="00CF2F91" w:rsidP="003665B8">
            <w:pPr>
              <w:keepNext/>
              <w:keepLines/>
              <w:jc w:val="center"/>
              <w:rPr>
                <w:rFonts w:ascii="Times New Roman" w:hAnsi="Times New Roman" w:cs="Times New Roman"/>
                <w:i/>
              </w:rPr>
            </w:pPr>
            <w:r w:rsidRPr="00D95FFC">
              <w:rPr>
                <w:rFonts w:ascii="Times New Roman" w:hAnsi="Times New Roman" w:cs="Times New Roman"/>
                <w:i/>
              </w:rPr>
              <w:t xml:space="preserve">Variable </w:t>
            </w:r>
            <w:r w:rsidRPr="00D95FFC">
              <w:rPr>
                <w:rFonts w:ascii="Times New Roman" w:hAnsi="Times New Roman" w:cs="Times New Roman"/>
              </w:rPr>
              <w:t>(# cases)</w:t>
            </w:r>
          </w:p>
        </w:tc>
        <w:tc>
          <w:tcPr>
            <w:tcW w:w="1078" w:type="dxa"/>
            <w:tcBorders>
              <w:top w:val="single" w:sz="12" w:space="0" w:color="auto"/>
              <w:left w:val="single" w:sz="12" w:space="0" w:color="auto"/>
              <w:bottom w:val="single" w:sz="12" w:space="0" w:color="auto"/>
              <w:right w:val="single" w:sz="12" w:space="0" w:color="auto"/>
            </w:tcBorders>
          </w:tcPr>
          <w:p w14:paraId="2DDF976E" w14:textId="77777777" w:rsidR="00CF2F91" w:rsidRPr="00D95FFC" w:rsidRDefault="00CF2F91" w:rsidP="003665B8">
            <w:pPr>
              <w:keepNext/>
              <w:keepLines/>
              <w:jc w:val="center"/>
              <w:rPr>
                <w:rFonts w:ascii="Times New Roman" w:hAnsi="Times New Roman" w:cs="Times New Roman"/>
                <w:b/>
              </w:rPr>
            </w:pPr>
            <w:r w:rsidRPr="00D95FFC">
              <w:rPr>
                <w:rFonts w:ascii="Times New Roman" w:hAnsi="Times New Roman" w:cs="Times New Roman"/>
                <w:b/>
              </w:rPr>
              <w:t>Survive</w:t>
            </w:r>
          </w:p>
        </w:tc>
        <w:tc>
          <w:tcPr>
            <w:tcW w:w="1096" w:type="dxa"/>
            <w:tcBorders>
              <w:top w:val="single" w:sz="12" w:space="0" w:color="auto"/>
              <w:left w:val="single" w:sz="12" w:space="0" w:color="auto"/>
              <w:bottom w:val="single" w:sz="12" w:space="0" w:color="auto"/>
              <w:right w:val="single" w:sz="12" w:space="0" w:color="auto"/>
            </w:tcBorders>
          </w:tcPr>
          <w:p w14:paraId="75C110F4" w14:textId="77777777" w:rsidR="00CF2F91" w:rsidRPr="00D95FFC" w:rsidRDefault="00CF2F91" w:rsidP="003665B8">
            <w:pPr>
              <w:keepNext/>
              <w:keepLines/>
              <w:jc w:val="center"/>
              <w:rPr>
                <w:rFonts w:ascii="Times New Roman" w:hAnsi="Times New Roman" w:cs="Times New Roman"/>
                <w:b/>
              </w:rPr>
            </w:pPr>
            <w:r w:rsidRPr="00D95FFC">
              <w:rPr>
                <w:rFonts w:ascii="Times New Roman" w:hAnsi="Times New Roman" w:cs="Times New Roman"/>
                <w:b/>
              </w:rPr>
              <w:t>Confirm</w:t>
            </w:r>
          </w:p>
        </w:tc>
        <w:tc>
          <w:tcPr>
            <w:tcW w:w="1166" w:type="dxa"/>
            <w:tcBorders>
              <w:top w:val="single" w:sz="12" w:space="0" w:color="auto"/>
              <w:left w:val="single" w:sz="12" w:space="0" w:color="auto"/>
              <w:bottom w:val="single" w:sz="12" w:space="0" w:color="auto"/>
              <w:right w:val="single" w:sz="12" w:space="0" w:color="auto"/>
            </w:tcBorders>
          </w:tcPr>
          <w:p w14:paraId="0AB4511D" w14:textId="710C90A3" w:rsidR="00CF2F91" w:rsidRPr="00D95FFC" w:rsidRDefault="00CF2F91" w:rsidP="003665B8">
            <w:pPr>
              <w:keepNext/>
              <w:keepLines/>
              <w:jc w:val="center"/>
              <w:rPr>
                <w:rFonts w:ascii="Times New Roman" w:hAnsi="Times New Roman" w:cs="Times New Roman"/>
                <w:b/>
              </w:rPr>
            </w:pPr>
            <w:r w:rsidRPr="00D95FFC">
              <w:rPr>
                <w:rFonts w:ascii="Times New Roman" w:hAnsi="Times New Roman" w:cs="Times New Roman"/>
                <w:b/>
              </w:rPr>
              <w:t>S</w:t>
            </w:r>
            <w:r w:rsidR="004A7CAE">
              <w:rPr>
                <w:rFonts w:ascii="Times New Roman" w:hAnsi="Times New Roman" w:cs="Times New Roman"/>
                <w:b/>
              </w:rPr>
              <w:t>&amp;C</w:t>
            </w:r>
          </w:p>
        </w:tc>
      </w:tr>
      <w:tr w:rsidR="00CF2F91" w:rsidRPr="005F7FD9" w14:paraId="03C5EF05" w14:textId="77777777" w:rsidTr="00D95FFC">
        <w:tc>
          <w:tcPr>
            <w:tcW w:w="5678" w:type="dxa"/>
            <w:vMerge/>
            <w:tcBorders>
              <w:left w:val="single" w:sz="12" w:space="0" w:color="auto"/>
              <w:bottom w:val="single" w:sz="12" w:space="0" w:color="auto"/>
              <w:right w:val="single" w:sz="12" w:space="0" w:color="auto"/>
            </w:tcBorders>
          </w:tcPr>
          <w:p w14:paraId="6C5C114C" w14:textId="77777777" w:rsidR="00CF2F91" w:rsidRDefault="00CF2F91" w:rsidP="003665B8">
            <w:pPr>
              <w:keepNext/>
              <w:keepLines/>
              <w:jc w:val="right"/>
              <w:rPr>
                <w:rFonts w:ascii="Times New Roman" w:hAnsi="Times New Roman" w:cs="Times New Roman"/>
              </w:rPr>
            </w:pPr>
          </w:p>
        </w:tc>
        <w:tc>
          <w:tcPr>
            <w:tcW w:w="1078" w:type="dxa"/>
            <w:tcBorders>
              <w:top w:val="single" w:sz="12" w:space="0" w:color="auto"/>
              <w:left w:val="single" w:sz="12" w:space="0" w:color="auto"/>
              <w:bottom w:val="single" w:sz="12" w:space="0" w:color="auto"/>
              <w:right w:val="single" w:sz="12" w:space="0" w:color="auto"/>
            </w:tcBorders>
          </w:tcPr>
          <w:p w14:paraId="23107F21" w14:textId="77777777" w:rsidR="00CF2F91" w:rsidRDefault="00CF2F91" w:rsidP="003665B8">
            <w:pPr>
              <w:keepNext/>
              <w:keepLines/>
              <w:jc w:val="center"/>
              <w:rPr>
                <w:rFonts w:ascii="Times New Roman" w:hAnsi="Times New Roman" w:cs="Times New Roman"/>
                <w:sz w:val="20"/>
                <w:szCs w:val="20"/>
              </w:rPr>
            </w:pPr>
            <w:r>
              <w:rPr>
                <w:rFonts w:ascii="Times New Roman" w:hAnsi="Times New Roman" w:cs="Times New Roman"/>
                <w:sz w:val="20"/>
                <w:szCs w:val="20"/>
              </w:rPr>
              <w:t>Marginal Effect (</w:t>
            </w:r>
            <w:r w:rsidRPr="005F7FD9">
              <w:rPr>
                <w:rFonts w:ascii="Times New Roman" w:hAnsi="Times New Roman" w:cs="Times New Roman"/>
                <w:sz w:val="20"/>
                <w:szCs w:val="20"/>
              </w:rPr>
              <w:t>dy/dx</w:t>
            </w:r>
            <w:r>
              <w:rPr>
                <w:rFonts w:ascii="Times New Roman" w:hAnsi="Times New Roman" w:cs="Times New Roman"/>
                <w:sz w:val="20"/>
                <w:szCs w:val="20"/>
              </w:rPr>
              <w:t>)</w:t>
            </w:r>
          </w:p>
          <w:p w14:paraId="4AE9EBD4" w14:textId="77777777" w:rsidR="00CF2F91" w:rsidRPr="005F7FD9" w:rsidRDefault="00CF2F91" w:rsidP="003665B8">
            <w:pPr>
              <w:keepNext/>
              <w:keepLines/>
              <w:jc w:val="center"/>
              <w:rPr>
                <w:rFonts w:ascii="Times New Roman" w:eastAsiaTheme="majorEastAsia" w:hAnsi="Times New Roman" w:cs="Times New Roman"/>
                <w:b/>
                <w:bCs/>
                <w:color w:val="4F81BD" w:themeColor="accent1"/>
                <w:sz w:val="20"/>
                <w:szCs w:val="20"/>
              </w:rPr>
            </w:pPr>
            <w:r>
              <w:rPr>
                <w:rFonts w:ascii="Times New Roman" w:hAnsi="Times New Roman" w:cs="Times New Roman"/>
                <w:sz w:val="20"/>
                <w:szCs w:val="20"/>
              </w:rPr>
              <w:t>(p-value</w:t>
            </w:r>
            <w:r w:rsidRPr="005F7FD9">
              <w:rPr>
                <w:rFonts w:ascii="Times New Roman" w:hAnsi="Times New Roman" w:cs="Times New Roman"/>
                <w:sz w:val="20"/>
                <w:szCs w:val="20"/>
              </w:rPr>
              <w:t>)</w:t>
            </w:r>
          </w:p>
        </w:tc>
        <w:tc>
          <w:tcPr>
            <w:tcW w:w="1096" w:type="dxa"/>
            <w:tcBorders>
              <w:top w:val="single" w:sz="12" w:space="0" w:color="auto"/>
              <w:left w:val="single" w:sz="12" w:space="0" w:color="auto"/>
              <w:bottom w:val="single" w:sz="12" w:space="0" w:color="auto"/>
              <w:right w:val="single" w:sz="12" w:space="0" w:color="auto"/>
            </w:tcBorders>
          </w:tcPr>
          <w:p w14:paraId="0B0911DD" w14:textId="77777777" w:rsidR="00CF2F91" w:rsidRPr="005F7FD9" w:rsidRDefault="00CF2F91" w:rsidP="003665B8">
            <w:pPr>
              <w:keepNext/>
              <w:keepLines/>
              <w:jc w:val="center"/>
              <w:rPr>
                <w:rFonts w:ascii="Times New Roman" w:eastAsiaTheme="majorEastAsia" w:hAnsi="Times New Roman" w:cs="Times New Roman"/>
                <w:b/>
                <w:bCs/>
                <w:color w:val="4F81BD" w:themeColor="accent1"/>
                <w:sz w:val="20"/>
                <w:szCs w:val="20"/>
              </w:rPr>
            </w:pPr>
            <w:r>
              <w:rPr>
                <w:rFonts w:ascii="Times New Roman" w:hAnsi="Times New Roman" w:cs="Times New Roman"/>
                <w:sz w:val="20"/>
                <w:szCs w:val="20"/>
              </w:rPr>
              <w:t>Marginal Effect (</w:t>
            </w:r>
            <w:r w:rsidRPr="005F7FD9">
              <w:rPr>
                <w:rFonts w:ascii="Times New Roman" w:hAnsi="Times New Roman" w:cs="Times New Roman"/>
                <w:sz w:val="20"/>
                <w:szCs w:val="20"/>
              </w:rPr>
              <w:t>dy/dx</w:t>
            </w:r>
            <w:r>
              <w:rPr>
                <w:rFonts w:ascii="Times New Roman" w:hAnsi="Times New Roman" w:cs="Times New Roman"/>
                <w:sz w:val="20"/>
                <w:szCs w:val="20"/>
              </w:rPr>
              <w:t>)</w:t>
            </w:r>
            <w:r w:rsidRPr="000B3097" w:rsidDel="00264213">
              <w:rPr>
                <w:rFonts w:ascii="Times New Roman" w:hAnsi="Times New Roman" w:cs="Times New Roman"/>
                <w:sz w:val="20"/>
                <w:szCs w:val="20"/>
              </w:rPr>
              <w:t xml:space="preserve"> </w:t>
            </w:r>
            <w:r>
              <w:rPr>
                <w:rFonts w:ascii="Times New Roman" w:hAnsi="Times New Roman" w:cs="Times New Roman"/>
                <w:sz w:val="20"/>
                <w:szCs w:val="20"/>
              </w:rPr>
              <w:t>(p-value</w:t>
            </w:r>
            <w:r w:rsidRPr="000B3097">
              <w:rPr>
                <w:rFonts w:ascii="Times New Roman" w:hAnsi="Times New Roman" w:cs="Times New Roman"/>
                <w:sz w:val="20"/>
                <w:szCs w:val="20"/>
              </w:rPr>
              <w:t>)</w:t>
            </w:r>
          </w:p>
        </w:tc>
        <w:tc>
          <w:tcPr>
            <w:tcW w:w="1166" w:type="dxa"/>
            <w:tcBorders>
              <w:top w:val="single" w:sz="12" w:space="0" w:color="auto"/>
              <w:left w:val="single" w:sz="12" w:space="0" w:color="auto"/>
              <w:bottom w:val="single" w:sz="12" w:space="0" w:color="auto"/>
              <w:right w:val="single" w:sz="12" w:space="0" w:color="auto"/>
            </w:tcBorders>
          </w:tcPr>
          <w:p w14:paraId="75FF09B3" w14:textId="77777777" w:rsidR="00CF2F91" w:rsidRDefault="00CF2F91" w:rsidP="003665B8">
            <w:pPr>
              <w:keepNext/>
              <w:keepLines/>
              <w:jc w:val="center"/>
              <w:rPr>
                <w:rFonts w:ascii="Times New Roman" w:hAnsi="Times New Roman" w:cs="Times New Roman"/>
                <w:sz w:val="20"/>
                <w:szCs w:val="20"/>
              </w:rPr>
            </w:pPr>
            <w:r>
              <w:rPr>
                <w:rFonts w:ascii="Times New Roman" w:hAnsi="Times New Roman" w:cs="Times New Roman"/>
                <w:sz w:val="20"/>
                <w:szCs w:val="20"/>
              </w:rPr>
              <w:t>Marginal Effect (</w:t>
            </w:r>
            <w:r w:rsidRPr="005F7FD9">
              <w:rPr>
                <w:rFonts w:ascii="Times New Roman" w:hAnsi="Times New Roman" w:cs="Times New Roman"/>
                <w:sz w:val="20"/>
                <w:szCs w:val="20"/>
              </w:rPr>
              <w:t>dy/dx</w:t>
            </w:r>
            <w:r>
              <w:rPr>
                <w:rFonts w:ascii="Times New Roman" w:hAnsi="Times New Roman" w:cs="Times New Roman"/>
                <w:sz w:val="20"/>
                <w:szCs w:val="20"/>
              </w:rPr>
              <w:t>)</w:t>
            </w:r>
            <w:r w:rsidRPr="000B3097" w:rsidDel="00264213">
              <w:rPr>
                <w:rFonts w:ascii="Times New Roman" w:hAnsi="Times New Roman" w:cs="Times New Roman"/>
                <w:sz w:val="20"/>
                <w:szCs w:val="20"/>
              </w:rPr>
              <w:t xml:space="preserve"> </w:t>
            </w:r>
          </w:p>
          <w:p w14:paraId="5423FDA1" w14:textId="77777777" w:rsidR="00CF2F91" w:rsidRPr="005F7FD9" w:rsidRDefault="00CF2F91" w:rsidP="003665B8">
            <w:pPr>
              <w:keepNext/>
              <w:keepLines/>
              <w:jc w:val="center"/>
              <w:rPr>
                <w:rFonts w:ascii="Times New Roman" w:eastAsiaTheme="majorEastAsia" w:hAnsi="Times New Roman" w:cs="Times New Roman"/>
                <w:b/>
                <w:bCs/>
                <w:i/>
                <w:iCs/>
                <w:color w:val="4F81BD" w:themeColor="accent1"/>
                <w:sz w:val="20"/>
                <w:szCs w:val="20"/>
              </w:rPr>
            </w:pPr>
            <w:r>
              <w:rPr>
                <w:rFonts w:ascii="Times New Roman" w:hAnsi="Times New Roman" w:cs="Times New Roman"/>
                <w:sz w:val="20"/>
                <w:szCs w:val="20"/>
              </w:rPr>
              <w:t>(p-value</w:t>
            </w:r>
            <w:r w:rsidRPr="000B3097">
              <w:rPr>
                <w:rFonts w:ascii="Times New Roman" w:hAnsi="Times New Roman" w:cs="Times New Roman"/>
                <w:sz w:val="20"/>
                <w:szCs w:val="20"/>
              </w:rPr>
              <w:t>)</w:t>
            </w:r>
          </w:p>
        </w:tc>
      </w:tr>
      <w:tr w:rsidR="00CF2F91" w14:paraId="2D688CAA" w14:textId="77777777" w:rsidTr="00D95FFC">
        <w:tc>
          <w:tcPr>
            <w:tcW w:w="5678" w:type="dxa"/>
            <w:tcBorders>
              <w:right w:val="single" w:sz="12" w:space="0" w:color="auto"/>
            </w:tcBorders>
          </w:tcPr>
          <w:p w14:paraId="5E23938B" w14:textId="0A15A37F" w:rsidR="00CF2F91" w:rsidRPr="005D776F" w:rsidRDefault="00CF2F91" w:rsidP="00DF44A3">
            <w:pPr>
              <w:keepNext/>
              <w:keepLines/>
              <w:rPr>
                <w:rFonts w:ascii="Times New Roman" w:hAnsi="Times New Roman" w:cs="Times New Roman"/>
                <w:sz w:val="20"/>
                <w:szCs w:val="20"/>
              </w:rPr>
            </w:pPr>
            <w:r w:rsidRPr="005D776F">
              <w:rPr>
                <w:rFonts w:ascii="Times New Roman" w:hAnsi="Times New Roman" w:cs="Times New Roman"/>
                <w:sz w:val="20"/>
                <w:szCs w:val="20"/>
              </w:rPr>
              <w:t>(</w:t>
            </w:r>
            <w:r w:rsidR="00DF44A3">
              <w:rPr>
                <w:rFonts w:ascii="Times New Roman" w:hAnsi="Times New Roman" w:cs="Times New Roman"/>
                <w:sz w:val="20"/>
                <w:szCs w:val="20"/>
              </w:rPr>
              <w:t>1</w:t>
            </w:r>
            <w:r w:rsidRPr="005D776F">
              <w:rPr>
                <w:rFonts w:ascii="Times New Roman" w:hAnsi="Times New Roman" w:cs="Times New Roman"/>
                <w:sz w:val="20"/>
                <w:szCs w:val="20"/>
              </w:rPr>
              <w:t>) Log of attyct (205)</w:t>
            </w:r>
          </w:p>
        </w:tc>
        <w:tc>
          <w:tcPr>
            <w:tcW w:w="1078" w:type="dxa"/>
            <w:tcBorders>
              <w:left w:val="single" w:sz="12" w:space="0" w:color="auto"/>
              <w:right w:val="single" w:sz="12" w:space="0" w:color="auto"/>
            </w:tcBorders>
          </w:tcPr>
          <w:p w14:paraId="15E01F4E"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.0391</w:t>
            </w:r>
          </w:p>
          <w:p w14:paraId="521DA4B7"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(.18</w:t>
            </w:r>
            <w:r w:rsidRPr="005D776F">
              <w:rPr>
                <w:rFonts w:ascii="Times New Roman" w:hAnsi="Times New Roman" w:cs="Times New Roman"/>
                <w:sz w:val="20"/>
                <w:szCs w:val="20"/>
              </w:rPr>
              <w:t>)</w:t>
            </w:r>
          </w:p>
        </w:tc>
        <w:tc>
          <w:tcPr>
            <w:tcW w:w="1096" w:type="dxa"/>
            <w:tcBorders>
              <w:left w:val="single" w:sz="12" w:space="0" w:color="auto"/>
              <w:right w:val="single" w:sz="12" w:space="0" w:color="auto"/>
            </w:tcBorders>
          </w:tcPr>
          <w:p w14:paraId="5644CEDB" w14:textId="77777777" w:rsidR="00CF2F91" w:rsidRPr="005D776F" w:rsidRDefault="00CF2F91" w:rsidP="003665B8">
            <w:pPr>
              <w:keepNext/>
              <w:keepLines/>
              <w:jc w:val="right"/>
              <w:rPr>
                <w:rFonts w:ascii="Times New Roman" w:hAnsi="Times New Roman" w:cs="Times New Roman"/>
                <w:sz w:val="20"/>
                <w:szCs w:val="20"/>
              </w:rPr>
            </w:pPr>
            <w:r w:rsidRPr="005D776F">
              <w:rPr>
                <w:rFonts w:ascii="Times New Roman" w:hAnsi="Times New Roman" w:cs="Times New Roman"/>
                <w:sz w:val="20"/>
                <w:szCs w:val="20"/>
              </w:rPr>
              <w:t>.0676**</w:t>
            </w:r>
          </w:p>
          <w:p w14:paraId="28C08140" w14:textId="77777777" w:rsidR="00CF2F91" w:rsidRPr="005D776F" w:rsidRDefault="00CF2F91" w:rsidP="003665B8">
            <w:pPr>
              <w:keepNext/>
              <w:keepLines/>
              <w:jc w:val="right"/>
              <w:rPr>
                <w:rFonts w:ascii="Times New Roman" w:hAnsi="Times New Roman" w:cs="Times New Roman"/>
                <w:sz w:val="20"/>
                <w:szCs w:val="20"/>
              </w:rPr>
            </w:pPr>
            <w:r w:rsidRPr="005D776F">
              <w:rPr>
                <w:rFonts w:ascii="Times New Roman" w:hAnsi="Times New Roman" w:cs="Times New Roman"/>
                <w:sz w:val="20"/>
                <w:szCs w:val="20"/>
              </w:rPr>
              <w:t>(.02)</w:t>
            </w:r>
          </w:p>
          <w:p w14:paraId="7C2B37FB" w14:textId="77777777" w:rsidR="00CF2F91" w:rsidRPr="005D776F" w:rsidRDefault="00CF2F91" w:rsidP="003665B8">
            <w:pPr>
              <w:keepNext/>
              <w:keepLines/>
              <w:jc w:val="right"/>
              <w:rPr>
                <w:rFonts w:ascii="Times New Roman" w:hAnsi="Times New Roman" w:cs="Times New Roman"/>
                <w:sz w:val="20"/>
                <w:szCs w:val="20"/>
              </w:rPr>
            </w:pPr>
          </w:p>
        </w:tc>
        <w:tc>
          <w:tcPr>
            <w:tcW w:w="1166" w:type="dxa"/>
            <w:tcBorders>
              <w:left w:val="single" w:sz="12" w:space="0" w:color="auto"/>
            </w:tcBorders>
          </w:tcPr>
          <w:p w14:paraId="210FA02E" w14:textId="77777777" w:rsidR="00CF2F91" w:rsidRPr="005D776F" w:rsidRDefault="00CF2F91" w:rsidP="003665B8">
            <w:pPr>
              <w:keepNext/>
              <w:keepLines/>
              <w:jc w:val="right"/>
              <w:rPr>
                <w:rFonts w:ascii="Times New Roman" w:hAnsi="Times New Roman" w:cs="Times New Roman"/>
                <w:sz w:val="20"/>
                <w:szCs w:val="20"/>
              </w:rPr>
            </w:pPr>
            <w:r w:rsidRPr="005D776F">
              <w:rPr>
                <w:rFonts w:ascii="Times New Roman" w:hAnsi="Times New Roman" w:cs="Times New Roman"/>
                <w:sz w:val="20"/>
                <w:szCs w:val="20"/>
              </w:rPr>
              <w:t>0693**</w:t>
            </w:r>
          </w:p>
          <w:p w14:paraId="6F80D242" w14:textId="77777777" w:rsidR="00CF2F91" w:rsidRPr="005D776F" w:rsidRDefault="00CF2F91" w:rsidP="003665B8">
            <w:pPr>
              <w:keepNext/>
              <w:keepLines/>
              <w:jc w:val="right"/>
              <w:rPr>
                <w:rFonts w:ascii="Times New Roman" w:hAnsi="Times New Roman" w:cs="Times New Roman"/>
                <w:sz w:val="20"/>
                <w:szCs w:val="20"/>
              </w:rPr>
            </w:pPr>
            <w:r w:rsidRPr="005D776F">
              <w:rPr>
                <w:rFonts w:ascii="Times New Roman" w:hAnsi="Times New Roman" w:cs="Times New Roman"/>
                <w:sz w:val="20"/>
                <w:szCs w:val="20"/>
              </w:rPr>
              <w:t>(.01)</w:t>
            </w:r>
          </w:p>
          <w:p w14:paraId="3C0F2E1B" w14:textId="77777777" w:rsidR="00CF2F91" w:rsidRPr="005D776F" w:rsidRDefault="00CF2F91" w:rsidP="003665B8">
            <w:pPr>
              <w:keepNext/>
              <w:keepLines/>
              <w:rPr>
                <w:rFonts w:ascii="Times New Roman" w:hAnsi="Times New Roman" w:cs="Times New Roman"/>
                <w:sz w:val="20"/>
                <w:szCs w:val="20"/>
              </w:rPr>
            </w:pPr>
          </w:p>
        </w:tc>
      </w:tr>
      <w:tr w:rsidR="00CF2F91" w14:paraId="5FDDEA59" w14:textId="77777777" w:rsidTr="00D95FFC">
        <w:trPr>
          <w:trHeight w:val="288"/>
        </w:trPr>
        <w:tc>
          <w:tcPr>
            <w:tcW w:w="5678" w:type="dxa"/>
            <w:tcBorders>
              <w:right w:val="single" w:sz="12" w:space="0" w:color="auto"/>
            </w:tcBorders>
          </w:tcPr>
          <w:p w14:paraId="1EE91AD8" w14:textId="7B2DF05C" w:rsidR="00CF2F91" w:rsidRPr="005D776F" w:rsidRDefault="00CF2F91" w:rsidP="00DF44A3">
            <w:pPr>
              <w:keepNext/>
              <w:keepLines/>
              <w:rPr>
                <w:rFonts w:ascii="Times New Roman" w:hAnsi="Times New Roman" w:cs="Times New Roman"/>
                <w:sz w:val="20"/>
                <w:szCs w:val="20"/>
              </w:rPr>
            </w:pPr>
            <w:r>
              <w:rPr>
                <w:rFonts w:ascii="Times New Roman" w:hAnsi="Times New Roman" w:cs="Times New Roman"/>
                <w:sz w:val="20"/>
                <w:szCs w:val="20"/>
              </w:rPr>
              <w:t>(2)  Log of current monthly income  (206)</w:t>
            </w:r>
          </w:p>
        </w:tc>
        <w:tc>
          <w:tcPr>
            <w:tcW w:w="1078" w:type="dxa"/>
            <w:tcBorders>
              <w:left w:val="single" w:sz="12" w:space="0" w:color="auto"/>
              <w:right w:val="single" w:sz="12" w:space="0" w:color="auto"/>
            </w:tcBorders>
          </w:tcPr>
          <w:p w14:paraId="6FB79613" w14:textId="77777777" w:rsidR="00CF2F91"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 xml:space="preserve"> .026</w:t>
            </w:r>
          </w:p>
          <w:p w14:paraId="71054D49"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.17</w:t>
            </w:r>
          </w:p>
        </w:tc>
        <w:tc>
          <w:tcPr>
            <w:tcW w:w="1096" w:type="dxa"/>
            <w:tcBorders>
              <w:left w:val="single" w:sz="12" w:space="0" w:color="auto"/>
              <w:right w:val="single" w:sz="12" w:space="0" w:color="auto"/>
            </w:tcBorders>
          </w:tcPr>
          <w:p w14:paraId="7372E96B" w14:textId="77777777" w:rsidR="00CF2F91"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.024</w:t>
            </w:r>
          </w:p>
          <w:p w14:paraId="1A71B079" w14:textId="77777777" w:rsidR="00CF2F91"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.20</w:t>
            </w:r>
          </w:p>
        </w:tc>
        <w:tc>
          <w:tcPr>
            <w:tcW w:w="1166" w:type="dxa"/>
            <w:tcBorders>
              <w:left w:val="single" w:sz="12" w:space="0" w:color="auto"/>
            </w:tcBorders>
          </w:tcPr>
          <w:p w14:paraId="168BDC83" w14:textId="77777777" w:rsidR="00CF2F91"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.019</w:t>
            </w:r>
          </w:p>
          <w:p w14:paraId="0E975D2B"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.30</w:t>
            </w:r>
          </w:p>
        </w:tc>
      </w:tr>
      <w:tr w:rsidR="00CF2F91" w14:paraId="5B0CC681" w14:textId="77777777" w:rsidTr="00D95FFC">
        <w:trPr>
          <w:trHeight w:val="288"/>
        </w:trPr>
        <w:tc>
          <w:tcPr>
            <w:tcW w:w="5678" w:type="dxa"/>
            <w:tcBorders>
              <w:right w:val="single" w:sz="12" w:space="0" w:color="auto"/>
            </w:tcBorders>
          </w:tcPr>
          <w:p w14:paraId="5F744D38" w14:textId="20E88A6D" w:rsidR="00CF2F91" w:rsidRPr="005D776F" w:rsidRDefault="00CF2F91" w:rsidP="00DF44A3">
            <w:pPr>
              <w:keepNext/>
              <w:keepLines/>
              <w:rPr>
                <w:rFonts w:ascii="Times New Roman" w:hAnsi="Times New Roman" w:cs="Times New Roman"/>
                <w:sz w:val="20"/>
                <w:szCs w:val="20"/>
              </w:rPr>
            </w:pPr>
            <w:r w:rsidRPr="005D776F">
              <w:rPr>
                <w:rFonts w:ascii="Times New Roman" w:hAnsi="Times New Roman" w:cs="Times New Roman"/>
                <w:sz w:val="20"/>
                <w:szCs w:val="20"/>
              </w:rPr>
              <w:t>(</w:t>
            </w:r>
            <w:r w:rsidR="00DF44A3">
              <w:rPr>
                <w:rFonts w:ascii="Times New Roman" w:hAnsi="Times New Roman" w:cs="Times New Roman"/>
                <w:sz w:val="20"/>
                <w:szCs w:val="20"/>
              </w:rPr>
              <w:t>3</w:t>
            </w:r>
            <w:r w:rsidRPr="005D776F">
              <w:rPr>
                <w:rFonts w:ascii="Times New Roman" w:hAnsi="Times New Roman" w:cs="Times New Roman"/>
                <w:sz w:val="20"/>
                <w:szCs w:val="20"/>
              </w:rPr>
              <w:t xml:space="preserve">) Priority debt divided by </w:t>
            </w:r>
            <w:r>
              <w:rPr>
                <w:rFonts w:ascii="Times New Roman" w:hAnsi="Times New Roman" w:cs="Times New Roman"/>
                <w:sz w:val="20"/>
                <w:szCs w:val="20"/>
              </w:rPr>
              <w:t>(</w:t>
            </w:r>
            <w:r w:rsidRPr="005D776F">
              <w:rPr>
                <w:rFonts w:ascii="Times New Roman" w:hAnsi="Times New Roman" w:cs="Times New Roman"/>
                <w:sz w:val="20"/>
                <w:szCs w:val="20"/>
              </w:rPr>
              <w:t>current income</w:t>
            </w:r>
            <w:r>
              <w:rPr>
                <w:rFonts w:ascii="Times New Roman" w:hAnsi="Times New Roman" w:cs="Times New Roman"/>
                <w:sz w:val="20"/>
                <w:szCs w:val="20"/>
              </w:rPr>
              <w:t xml:space="preserve"> +$1) using summary of schedules (205</w:t>
            </w:r>
            <w:r w:rsidRPr="005D776F">
              <w:rPr>
                <w:rFonts w:ascii="Times New Roman" w:hAnsi="Times New Roman" w:cs="Times New Roman"/>
                <w:sz w:val="20"/>
                <w:szCs w:val="20"/>
              </w:rPr>
              <w:t xml:space="preserve">) </w:t>
            </w:r>
          </w:p>
        </w:tc>
        <w:tc>
          <w:tcPr>
            <w:tcW w:w="1078" w:type="dxa"/>
            <w:tcBorders>
              <w:left w:val="single" w:sz="12" w:space="0" w:color="auto"/>
              <w:right w:val="single" w:sz="12" w:space="0" w:color="auto"/>
            </w:tcBorders>
          </w:tcPr>
          <w:p w14:paraId="0BC344F9" w14:textId="77777777" w:rsidR="00CF2F91" w:rsidRPr="005D776F" w:rsidRDefault="00CF2F91" w:rsidP="003665B8">
            <w:pPr>
              <w:keepNext/>
              <w:keepLines/>
              <w:jc w:val="right"/>
              <w:rPr>
                <w:rFonts w:ascii="Times New Roman" w:hAnsi="Times New Roman" w:cs="Times New Roman"/>
                <w:sz w:val="20"/>
                <w:szCs w:val="20"/>
              </w:rPr>
            </w:pPr>
            <w:r w:rsidRPr="005D776F">
              <w:rPr>
                <w:rFonts w:ascii="Times New Roman" w:hAnsi="Times New Roman" w:cs="Times New Roman"/>
                <w:sz w:val="20"/>
                <w:szCs w:val="20"/>
              </w:rPr>
              <w:t>-.000</w:t>
            </w:r>
            <w:r>
              <w:rPr>
                <w:rFonts w:ascii="Times New Roman" w:hAnsi="Times New Roman" w:cs="Times New Roman"/>
                <w:sz w:val="20"/>
                <w:szCs w:val="20"/>
              </w:rPr>
              <w:t>05</w:t>
            </w:r>
          </w:p>
          <w:p w14:paraId="5D39BFF3"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(.73)</w:t>
            </w:r>
          </w:p>
          <w:p w14:paraId="0B85AFA9" w14:textId="77777777" w:rsidR="00CF2F91" w:rsidRPr="005D776F" w:rsidRDefault="00CF2F91" w:rsidP="003665B8">
            <w:pPr>
              <w:keepNext/>
              <w:keepLines/>
              <w:jc w:val="right"/>
              <w:rPr>
                <w:rFonts w:ascii="Times New Roman" w:hAnsi="Times New Roman" w:cs="Times New Roman"/>
                <w:sz w:val="20"/>
                <w:szCs w:val="20"/>
              </w:rPr>
            </w:pPr>
          </w:p>
        </w:tc>
        <w:tc>
          <w:tcPr>
            <w:tcW w:w="1096" w:type="dxa"/>
            <w:tcBorders>
              <w:left w:val="single" w:sz="12" w:space="0" w:color="auto"/>
              <w:right w:val="single" w:sz="12" w:space="0" w:color="auto"/>
            </w:tcBorders>
          </w:tcPr>
          <w:p w14:paraId="22B0ACD4"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-.00005</w:t>
            </w:r>
          </w:p>
          <w:p w14:paraId="6EE310F6"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(.71)</w:t>
            </w:r>
          </w:p>
          <w:p w14:paraId="180EA64E" w14:textId="77777777" w:rsidR="00CF2F91" w:rsidRPr="005D776F" w:rsidRDefault="00CF2F91" w:rsidP="003665B8">
            <w:pPr>
              <w:keepNext/>
              <w:keepLines/>
              <w:jc w:val="right"/>
              <w:rPr>
                <w:rFonts w:ascii="Times New Roman" w:hAnsi="Times New Roman" w:cs="Times New Roman"/>
                <w:sz w:val="20"/>
                <w:szCs w:val="20"/>
              </w:rPr>
            </w:pPr>
          </w:p>
        </w:tc>
        <w:tc>
          <w:tcPr>
            <w:tcW w:w="1166" w:type="dxa"/>
            <w:tcBorders>
              <w:left w:val="single" w:sz="12" w:space="0" w:color="auto"/>
            </w:tcBorders>
          </w:tcPr>
          <w:p w14:paraId="050EB869" w14:textId="77777777" w:rsidR="00CF2F91" w:rsidRPr="005D776F" w:rsidRDefault="00CF2F91" w:rsidP="003665B8">
            <w:pPr>
              <w:keepNext/>
              <w:keepLines/>
              <w:jc w:val="right"/>
              <w:rPr>
                <w:rFonts w:ascii="Times New Roman" w:hAnsi="Times New Roman" w:cs="Times New Roman"/>
                <w:sz w:val="20"/>
                <w:szCs w:val="20"/>
              </w:rPr>
            </w:pPr>
            <w:r w:rsidRPr="005D776F">
              <w:rPr>
                <w:rFonts w:ascii="Times New Roman" w:hAnsi="Times New Roman" w:cs="Times New Roman"/>
                <w:sz w:val="20"/>
                <w:szCs w:val="20"/>
              </w:rPr>
              <w:t>-.00</w:t>
            </w:r>
            <w:r>
              <w:rPr>
                <w:rFonts w:ascii="Times New Roman" w:hAnsi="Times New Roman" w:cs="Times New Roman"/>
                <w:sz w:val="20"/>
                <w:szCs w:val="20"/>
              </w:rPr>
              <w:t>004</w:t>
            </w:r>
          </w:p>
          <w:p w14:paraId="20C53EDB"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(.68)</w:t>
            </w:r>
            <w:r w:rsidRPr="005D776F">
              <w:rPr>
                <w:rFonts w:ascii="Times New Roman" w:hAnsi="Times New Roman" w:cs="Times New Roman"/>
                <w:sz w:val="20"/>
                <w:szCs w:val="20"/>
              </w:rPr>
              <w:t xml:space="preserve"> </w:t>
            </w:r>
          </w:p>
          <w:p w14:paraId="4A091F90" w14:textId="77777777" w:rsidR="00CF2F91" w:rsidRPr="005D776F" w:rsidRDefault="00CF2F91" w:rsidP="003665B8">
            <w:pPr>
              <w:keepNext/>
              <w:keepLines/>
              <w:jc w:val="right"/>
              <w:rPr>
                <w:rFonts w:ascii="Times New Roman" w:hAnsi="Times New Roman" w:cs="Times New Roman"/>
                <w:sz w:val="20"/>
                <w:szCs w:val="20"/>
              </w:rPr>
            </w:pPr>
          </w:p>
        </w:tc>
      </w:tr>
      <w:tr w:rsidR="00CF2F91" w14:paraId="2C81DE2E" w14:textId="77777777" w:rsidTr="00D95FFC">
        <w:tc>
          <w:tcPr>
            <w:tcW w:w="5678" w:type="dxa"/>
            <w:tcBorders>
              <w:right w:val="single" w:sz="12" w:space="0" w:color="auto"/>
            </w:tcBorders>
          </w:tcPr>
          <w:p w14:paraId="14924B8C" w14:textId="14133A96" w:rsidR="00CF2F91" w:rsidRPr="005D776F" w:rsidRDefault="00CF2F91" w:rsidP="00DF44A3">
            <w:pPr>
              <w:keepNext/>
              <w:keepLines/>
              <w:rPr>
                <w:rFonts w:ascii="Times New Roman" w:hAnsi="Times New Roman" w:cs="Times New Roman"/>
                <w:sz w:val="20"/>
                <w:szCs w:val="20"/>
              </w:rPr>
            </w:pPr>
            <w:r w:rsidRPr="005D776F">
              <w:rPr>
                <w:rFonts w:ascii="Times New Roman" w:hAnsi="Times New Roman" w:cs="Times New Roman"/>
                <w:sz w:val="20"/>
                <w:szCs w:val="20"/>
              </w:rPr>
              <w:t>(</w:t>
            </w:r>
            <w:r w:rsidR="00DF44A3">
              <w:rPr>
                <w:rFonts w:ascii="Times New Roman" w:hAnsi="Times New Roman" w:cs="Times New Roman"/>
                <w:sz w:val="20"/>
                <w:szCs w:val="20"/>
              </w:rPr>
              <w:t>4</w:t>
            </w:r>
            <w:r w:rsidRPr="005D776F">
              <w:rPr>
                <w:rFonts w:ascii="Times New Roman" w:hAnsi="Times New Roman" w:cs="Times New Roman"/>
                <w:sz w:val="20"/>
                <w:szCs w:val="20"/>
              </w:rPr>
              <w:t>) Secured debt/total debt (</w:t>
            </w:r>
            <w:r>
              <w:rPr>
                <w:rFonts w:ascii="Times New Roman" w:hAnsi="Times New Roman" w:cs="Times New Roman"/>
                <w:sz w:val="20"/>
                <w:szCs w:val="20"/>
              </w:rPr>
              <w:t>206</w:t>
            </w:r>
            <w:r w:rsidRPr="005D776F">
              <w:rPr>
                <w:rFonts w:ascii="Times New Roman" w:hAnsi="Times New Roman" w:cs="Times New Roman"/>
                <w:sz w:val="20"/>
                <w:szCs w:val="20"/>
              </w:rPr>
              <w:t>)</w:t>
            </w:r>
          </w:p>
        </w:tc>
        <w:tc>
          <w:tcPr>
            <w:tcW w:w="1078" w:type="dxa"/>
            <w:tcBorders>
              <w:left w:val="single" w:sz="12" w:space="0" w:color="auto"/>
              <w:right w:val="single" w:sz="12" w:space="0" w:color="auto"/>
            </w:tcBorders>
          </w:tcPr>
          <w:p w14:paraId="4B6905B0"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.211</w:t>
            </w:r>
            <w:r w:rsidRPr="005D776F">
              <w:rPr>
                <w:rFonts w:ascii="Times New Roman" w:hAnsi="Times New Roman" w:cs="Times New Roman"/>
                <w:sz w:val="20"/>
                <w:szCs w:val="20"/>
              </w:rPr>
              <w:t>**</w:t>
            </w:r>
          </w:p>
          <w:p w14:paraId="170C03E3"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w:t>
            </w:r>
            <w:r w:rsidRPr="005D776F">
              <w:rPr>
                <w:rFonts w:ascii="Times New Roman" w:hAnsi="Times New Roman" w:cs="Times New Roman"/>
                <w:sz w:val="20"/>
                <w:szCs w:val="20"/>
              </w:rPr>
              <w:t>.04</w:t>
            </w:r>
            <w:r>
              <w:rPr>
                <w:rFonts w:ascii="Times New Roman" w:hAnsi="Times New Roman" w:cs="Times New Roman"/>
                <w:sz w:val="20"/>
                <w:szCs w:val="20"/>
              </w:rPr>
              <w:t>)</w:t>
            </w:r>
          </w:p>
          <w:p w14:paraId="42FDD1DD" w14:textId="77777777" w:rsidR="00CF2F91" w:rsidRPr="005D776F" w:rsidRDefault="00CF2F91" w:rsidP="003665B8">
            <w:pPr>
              <w:keepNext/>
              <w:keepLines/>
              <w:jc w:val="right"/>
              <w:rPr>
                <w:rFonts w:ascii="Times New Roman" w:hAnsi="Times New Roman" w:cs="Times New Roman"/>
                <w:sz w:val="20"/>
                <w:szCs w:val="20"/>
              </w:rPr>
            </w:pPr>
          </w:p>
        </w:tc>
        <w:tc>
          <w:tcPr>
            <w:tcW w:w="1096" w:type="dxa"/>
            <w:tcBorders>
              <w:left w:val="single" w:sz="12" w:space="0" w:color="auto"/>
              <w:right w:val="single" w:sz="12" w:space="0" w:color="auto"/>
            </w:tcBorders>
          </w:tcPr>
          <w:p w14:paraId="1E68E02E" w14:textId="77777777" w:rsidR="00CF2F91" w:rsidRPr="005D776F" w:rsidRDefault="00CF2F91" w:rsidP="003665B8">
            <w:pPr>
              <w:keepNext/>
              <w:keepLines/>
              <w:jc w:val="right"/>
              <w:rPr>
                <w:rFonts w:ascii="Times New Roman" w:hAnsi="Times New Roman" w:cs="Times New Roman"/>
                <w:sz w:val="20"/>
                <w:szCs w:val="20"/>
              </w:rPr>
            </w:pPr>
            <w:r w:rsidRPr="005D776F">
              <w:rPr>
                <w:rFonts w:ascii="Times New Roman" w:hAnsi="Times New Roman" w:cs="Times New Roman"/>
                <w:sz w:val="20"/>
                <w:szCs w:val="20"/>
              </w:rPr>
              <w:t>.184*</w:t>
            </w:r>
          </w:p>
          <w:p w14:paraId="386D16D5"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w:t>
            </w:r>
            <w:r w:rsidRPr="005D776F">
              <w:rPr>
                <w:rFonts w:ascii="Times New Roman" w:hAnsi="Times New Roman" w:cs="Times New Roman"/>
                <w:sz w:val="20"/>
                <w:szCs w:val="20"/>
              </w:rPr>
              <w:t>08</w:t>
            </w:r>
            <w:r>
              <w:rPr>
                <w:rFonts w:ascii="Times New Roman" w:hAnsi="Times New Roman" w:cs="Times New Roman"/>
                <w:sz w:val="20"/>
                <w:szCs w:val="20"/>
              </w:rPr>
              <w:t>)</w:t>
            </w:r>
          </w:p>
          <w:p w14:paraId="4C11C637" w14:textId="77777777" w:rsidR="00CF2F91" w:rsidRPr="005D776F" w:rsidRDefault="00CF2F91" w:rsidP="003665B8">
            <w:pPr>
              <w:keepNext/>
              <w:keepLines/>
              <w:jc w:val="right"/>
              <w:rPr>
                <w:rFonts w:ascii="Times New Roman" w:hAnsi="Times New Roman" w:cs="Times New Roman"/>
                <w:sz w:val="20"/>
                <w:szCs w:val="20"/>
              </w:rPr>
            </w:pPr>
          </w:p>
        </w:tc>
        <w:tc>
          <w:tcPr>
            <w:tcW w:w="1166" w:type="dxa"/>
            <w:tcBorders>
              <w:left w:val="single" w:sz="12" w:space="0" w:color="auto"/>
            </w:tcBorders>
          </w:tcPr>
          <w:p w14:paraId="60EE07D7" w14:textId="77777777" w:rsidR="00CF2F91" w:rsidRPr="005D776F" w:rsidRDefault="00CF2F91" w:rsidP="003665B8">
            <w:pPr>
              <w:keepNext/>
              <w:keepLines/>
              <w:jc w:val="right"/>
              <w:rPr>
                <w:rFonts w:ascii="Times New Roman" w:hAnsi="Times New Roman" w:cs="Times New Roman"/>
                <w:sz w:val="20"/>
                <w:szCs w:val="20"/>
              </w:rPr>
            </w:pPr>
            <w:r w:rsidRPr="005D776F">
              <w:rPr>
                <w:rFonts w:ascii="Times New Roman" w:hAnsi="Times New Roman" w:cs="Times New Roman"/>
                <w:sz w:val="20"/>
                <w:szCs w:val="20"/>
              </w:rPr>
              <w:t>.203*</w:t>
            </w:r>
          </w:p>
          <w:p w14:paraId="26AFB779"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w:t>
            </w:r>
            <w:r w:rsidRPr="005D776F">
              <w:rPr>
                <w:rFonts w:ascii="Times New Roman" w:hAnsi="Times New Roman" w:cs="Times New Roman"/>
                <w:sz w:val="20"/>
                <w:szCs w:val="20"/>
              </w:rPr>
              <w:t>.05</w:t>
            </w:r>
            <w:r>
              <w:rPr>
                <w:rFonts w:ascii="Times New Roman" w:hAnsi="Times New Roman" w:cs="Times New Roman"/>
                <w:sz w:val="20"/>
                <w:szCs w:val="20"/>
              </w:rPr>
              <w:t>)</w:t>
            </w:r>
          </w:p>
          <w:p w14:paraId="3E1E53CE" w14:textId="77777777" w:rsidR="00CF2F91" w:rsidRPr="005D776F" w:rsidRDefault="00CF2F91" w:rsidP="003665B8">
            <w:pPr>
              <w:keepNext/>
              <w:keepLines/>
              <w:jc w:val="right"/>
              <w:rPr>
                <w:rFonts w:ascii="Times New Roman" w:hAnsi="Times New Roman" w:cs="Times New Roman"/>
                <w:sz w:val="20"/>
                <w:szCs w:val="20"/>
              </w:rPr>
            </w:pPr>
          </w:p>
        </w:tc>
      </w:tr>
      <w:tr w:rsidR="00CF2F91" w14:paraId="26D9D403" w14:textId="77777777" w:rsidTr="00D95FFC">
        <w:tc>
          <w:tcPr>
            <w:tcW w:w="5678" w:type="dxa"/>
            <w:tcBorders>
              <w:right w:val="single" w:sz="12" w:space="0" w:color="auto"/>
            </w:tcBorders>
          </w:tcPr>
          <w:p w14:paraId="0D35441C" w14:textId="40BB4ECE" w:rsidR="00CF2F91" w:rsidRPr="005D776F" w:rsidRDefault="00CF2F91" w:rsidP="00DF44A3">
            <w:pPr>
              <w:keepNext/>
              <w:keepLines/>
              <w:rPr>
                <w:rFonts w:ascii="Times New Roman" w:hAnsi="Times New Roman" w:cs="Times New Roman"/>
                <w:sz w:val="20"/>
                <w:szCs w:val="20"/>
              </w:rPr>
            </w:pPr>
            <w:r w:rsidRPr="005D776F">
              <w:rPr>
                <w:rFonts w:ascii="Times New Roman" w:hAnsi="Times New Roman" w:cs="Times New Roman"/>
                <w:sz w:val="20"/>
                <w:szCs w:val="20"/>
              </w:rPr>
              <w:t>(</w:t>
            </w:r>
            <w:r w:rsidR="00DF44A3">
              <w:rPr>
                <w:rFonts w:ascii="Times New Roman" w:hAnsi="Times New Roman" w:cs="Times New Roman"/>
                <w:sz w:val="20"/>
                <w:szCs w:val="20"/>
              </w:rPr>
              <w:t>5</w:t>
            </w:r>
            <w:r w:rsidRPr="005D776F">
              <w:rPr>
                <w:rFonts w:ascii="Times New Roman" w:hAnsi="Times New Roman" w:cs="Times New Roman"/>
                <w:sz w:val="20"/>
                <w:szCs w:val="20"/>
              </w:rPr>
              <w:t>) Real property/ Total assets (</w:t>
            </w:r>
            <w:r>
              <w:rPr>
                <w:rFonts w:ascii="Times New Roman" w:hAnsi="Times New Roman" w:cs="Times New Roman"/>
                <w:sz w:val="20"/>
                <w:szCs w:val="20"/>
              </w:rPr>
              <w:t>208)</w:t>
            </w:r>
          </w:p>
        </w:tc>
        <w:tc>
          <w:tcPr>
            <w:tcW w:w="1078" w:type="dxa"/>
            <w:tcBorders>
              <w:left w:val="single" w:sz="12" w:space="0" w:color="auto"/>
              <w:right w:val="single" w:sz="12" w:space="0" w:color="auto"/>
            </w:tcBorders>
          </w:tcPr>
          <w:p w14:paraId="4F829EE4"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.170</w:t>
            </w:r>
          </w:p>
          <w:p w14:paraId="61167DEC"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(.16)</w:t>
            </w:r>
          </w:p>
          <w:p w14:paraId="36E9B28F" w14:textId="77777777" w:rsidR="00CF2F91" w:rsidRPr="005D776F" w:rsidRDefault="00CF2F91" w:rsidP="003665B8">
            <w:pPr>
              <w:keepNext/>
              <w:keepLines/>
              <w:jc w:val="right"/>
              <w:rPr>
                <w:rFonts w:ascii="Times New Roman" w:hAnsi="Times New Roman" w:cs="Times New Roman"/>
                <w:sz w:val="20"/>
                <w:szCs w:val="20"/>
              </w:rPr>
            </w:pPr>
          </w:p>
        </w:tc>
        <w:tc>
          <w:tcPr>
            <w:tcW w:w="1096" w:type="dxa"/>
            <w:tcBorders>
              <w:left w:val="single" w:sz="12" w:space="0" w:color="auto"/>
              <w:right w:val="single" w:sz="12" w:space="0" w:color="auto"/>
            </w:tcBorders>
          </w:tcPr>
          <w:p w14:paraId="3E73DA09"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.220</w:t>
            </w:r>
            <w:r w:rsidRPr="005D776F">
              <w:rPr>
                <w:rFonts w:ascii="Times New Roman" w:hAnsi="Times New Roman" w:cs="Times New Roman"/>
                <w:sz w:val="20"/>
                <w:szCs w:val="20"/>
              </w:rPr>
              <w:t>*</w:t>
            </w:r>
          </w:p>
          <w:p w14:paraId="7D806D0C"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w:t>
            </w:r>
            <w:r w:rsidRPr="005D776F">
              <w:rPr>
                <w:rFonts w:ascii="Times New Roman" w:hAnsi="Times New Roman" w:cs="Times New Roman"/>
                <w:sz w:val="20"/>
                <w:szCs w:val="20"/>
              </w:rPr>
              <w:t>.07</w:t>
            </w:r>
            <w:r>
              <w:rPr>
                <w:rFonts w:ascii="Times New Roman" w:hAnsi="Times New Roman" w:cs="Times New Roman"/>
                <w:sz w:val="20"/>
                <w:szCs w:val="20"/>
              </w:rPr>
              <w:t>)</w:t>
            </w:r>
          </w:p>
          <w:p w14:paraId="42E46723" w14:textId="77777777" w:rsidR="00CF2F91" w:rsidRPr="005D776F" w:rsidRDefault="00CF2F91" w:rsidP="003665B8">
            <w:pPr>
              <w:keepNext/>
              <w:keepLines/>
              <w:jc w:val="right"/>
              <w:rPr>
                <w:rFonts w:ascii="Times New Roman" w:hAnsi="Times New Roman" w:cs="Times New Roman"/>
                <w:sz w:val="20"/>
                <w:szCs w:val="20"/>
              </w:rPr>
            </w:pPr>
          </w:p>
        </w:tc>
        <w:tc>
          <w:tcPr>
            <w:tcW w:w="1166" w:type="dxa"/>
            <w:tcBorders>
              <w:left w:val="single" w:sz="12" w:space="0" w:color="auto"/>
            </w:tcBorders>
          </w:tcPr>
          <w:p w14:paraId="4F557445" w14:textId="77777777" w:rsidR="00CF2F91" w:rsidRPr="005D776F" w:rsidRDefault="00CF2F91" w:rsidP="003665B8">
            <w:pPr>
              <w:keepNext/>
              <w:keepLines/>
              <w:jc w:val="right"/>
              <w:rPr>
                <w:rFonts w:ascii="Times New Roman" w:hAnsi="Times New Roman" w:cs="Times New Roman"/>
                <w:sz w:val="20"/>
                <w:szCs w:val="20"/>
              </w:rPr>
            </w:pPr>
            <w:r w:rsidRPr="005D776F">
              <w:rPr>
                <w:rFonts w:ascii="Times New Roman" w:hAnsi="Times New Roman" w:cs="Times New Roman"/>
                <w:sz w:val="20"/>
                <w:szCs w:val="20"/>
              </w:rPr>
              <w:t>.203*</w:t>
            </w:r>
          </w:p>
          <w:p w14:paraId="1C5A4AA5"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w:t>
            </w:r>
            <w:r w:rsidRPr="005D776F">
              <w:rPr>
                <w:rFonts w:ascii="Times New Roman" w:hAnsi="Times New Roman" w:cs="Times New Roman"/>
                <w:sz w:val="20"/>
                <w:szCs w:val="20"/>
              </w:rPr>
              <w:t>.09</w:t>
            </w:r>
            <w:r>
              <w:rPr>
                <w:rFonts w:ascii="Times New Roman" w:hAnsi="Times New Roman" w:cs="Times New Roman"/>
                <w:sz w:val="20"/>
                <w:szCs w:val="20"/>
              </w:rPr>
              <w:t>)</w:t>
            </w:r>
          </w:p>
          <w:p w14:paraId="4EEE4BAC" w14:textId="77777777" w:rsidR="00CF2F91" w:rsidRPr="005D776F" w:rsidRDefault="00CF2F91" w:rsidP="003665B8">
            <w:pPr>
              <w:keepNext/>
              <w:keepLines/>
              <w:jc w:val="right"/>
              <w:rPr>
                <w:rFonts w:ascii="Times New Roman" w:hAnsi="Times New Roman" w:cs="Times New Roman"/>
                <w:sz w:val="20"/>
                <w:szCs w:val="20"/>
              </w:rPr>
            </w:pPr>
          </w:p>
        </w:tc>
      </w:tr>
      <w:tr w:rsidR="00CF2F91" w14:paraId="69322A5D" w14:textId="77777777" w:rsidTr="00D95FFC">
        <w:tc>
          <w:tcPr>
            <w:tcW w:w="5678" w:type="dxa"/>
            <w:tcBorders>
              <w:right w:val="single" w:sz="12" w:space="0" w:color="auto"/>
            </w:tcBorders>
          </w:tcPr>
          <w:p w14:paraId="0DA7385B" w14:textId="6CCB0528" w:rsidR="00CF2F91" w:rsidRPr="005D776F" w:rsidRDefault="00CF2F91" w:rsidP="00DF44A3">
            <w:pPr>
              <w:keepNext/>
              <w:keepLines/>
              <w:rPr>
                <w:rFonts w:ascii="Times New Roman" w:hAnsi="Times New Roman" w:cs="Times New Roman"/>
                <w:sz w:val="20"/>
                <w:szCs w:val="20"/>
              </w:rPr>
            </w:pPr>
            <w:r w:rsidRPr="005D776F">
              <w:rPr>
                <w:rFonts w:ascii="Times New Roman" w:hAnsi="Times New Roman" w:cs="Times New Roman"/>
                <w:sz w:val="20"/>
                <w:szCs w:val="20"/>
              </w:rPr>
              <w:t>(</w:t>
            </w:r>
            <w:r w:rsidR="00DF44A3">
              <w:rPr>
                <w:rFonts w:ascii="Times New Roman" w:hAnsi="Times New Roman" w:cs="Times New Roman"/>
                <w:sz w:val="20"/>
                <w:szCs w:val="20"/>
              </w:rPr>
              <w:t>6</w:t>
            </w:r>
            <w:r w:rsidRPr="005D776F">
              <w:rPr>
                <w:rFonts w:ascii="Times New Roman" w:hAnsi="Times New Roman" w:cs="Times New Roman"/>
                <w:sz w:val="20"/>
                <w:szCs w:val="20"/>
              </w:rPr>
              <w:t>) Number of real estate parcels disclosed on schedules (</w:t>
            </w:r>
            <w:r>
              <w:rPr>
                <w:rFonts w:ascii="Times New Roman" w:hAnsi="Times New Roman" w:cs="Times New Roman"/>
                <w:sz w:val="20"/>
                <w:szCs w:val="20"/>
              </w:rPr>
              <w:t>212)</w:t>
            </w:r>
          </w:p>
        </w:tc>
        <w:tc>
          <w:tcPr>
            <w:tcW w:w="1078" w:type="dxa"/>
            <w:tcBorders>
              <w:left w:val="single" w:sz="12" w:space="0" w:color="auto"/>
              <w:right w:val="single" w:sz="12" w:space="0" w:color="auto"/>
            </w:tcBorders>
          </w:tcPr>
          <w:p w14:paraId="6329B68D"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.046</w:t>
            </w:r>
            <w:r w:rsidRPr="005D776F">
              <w:rPr>
                <w:rFonts w:ascii="Times New Roman" w:hAnsi="Times New Roman" w:cs="Times New Roman"/>
                <w:sz w:val="20"/>
                <w:szCs w:val="20"/>
              </w:rPr>
              <w:t>***</w:t>
            </w:r>
          </w:p>
          <w:p w14:paraId="524D219A"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w:t>
            </w:r>
            <w:r w:rsidRPr="005D776F">
              <w:rPr>
                <w:rFonts w:ascii="Times New Roman" w:hAnsi="Times New Roman" w:cs="Times New Roman"/>
                <w:sz w:val="20"/>
                <w:szCs w:val="20"/>
              </w:rPr>
              <w:t>.00</w:t>
            </w:r>
            <w:r>
              <w:rPr>
                <w:rFonts w:ascii="Times New Roman" w:hAnsi="Times New Roman" w:cs="Times New Roman"/>
                <w:sz w:val="20"/>
                <w:szCs w:val="20"/>
              </w:rPr>
              <w:t>)</w:t>
            </w:r>
          </w:p>
          <w:p w14:paraId="740EFDBD" w14:textId="77777777" w:rsidR="00CF2F91" w:rsidRPr="005D776F" w:rsidRDefault="00CF2F91" w:rsidP="003665B8">
            <w:pPr>
              <w:keepNext/>
              <w:keepLines/>
              <w:jc w:val="right"/>
              <w:rPr>
                <w:rFonts w:ascii="Times New Roman" w:hAnsi="Times New Roman" w:cs="Times New Roman"/>
                <w:sz w:val="20"/>
                <w:szCs w:val="20"/>
              </w:rPr>
            </w:pPr>
          </w:p>
        </w:tc>
        <w:tc>
          <w:tcPr>
            <w:tcW w:w="1096" w:type="dxa"/>
            <w:tcBorders>
              <w:left w:val="single" w:sz="12" w:space="0" w:color="auto"/>
              <w:right w:val="single" w:sz="12" w:space="0" w:color="auto"/>
            </w:tcBorders>
          </w:tcPr>
          <w:p w14:paraId="7E2931F8" w14:textId="77777777" w:rsidR="00CF2F91" w:rsidRPr="005D776F" w:rsidRDefault="00CF2F91" w:rsidP="003665B8">
            <w:pPr>
              <w:keepNext/>
              <w:keepLines/>
              <w:jc w:val="right"/>
              <w:rPr>
                <w:rFonts w:ascii="Times New Roman" w:hAnsi="Times New Roman" w:cs="Times New Roman"/>
                <w:sz w:val="20"/>
                <w:szCs w:val="20"/>
              </w:rPr>
            </w:pPr>
            <w:r w:rsidRPr="005D776F">
              <w:rPr>
                <w:rFonts w:ascii="Times New Roman" w:hAnsi="Times New Roman" w:cs="Times New Roman"/>
                <w:sz w:val="20"/>
                <w:szCs w:val="20"/>
              </w:rPr>
              <w:t>.031***</w:t>
            </w:r>
          </w:p>
          <w:p w14:paraId="0D6EF01B"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w:t>
            </w:r>
            <w:r w:rsidRPr="005D776F">
              <w:rPr>
                <w:rFonts w:ascii="Times New Roman" w:hAnsi="Times New Roman" w:cs="Times New Roman"/>
                <w:sz w:val="20"/>
                <w:szCs w:val="20"/>
              </w:rPr>
              <w:t>.00</w:t>
            </w:r>
            <w:r>
              <w:rPr>
                <w:rFonts w:ascii="Times New Roman" w:hAnsi="Times New Roman" w:cs="Times New Roman"/>
                <w:sz w:val="20"/>
                <w:szCs w:val="20"/>
              </w:rPr>
              <w:t>)</w:t>
            </w:r>
          </w:p>
          <w:p w14:paraId="73FDFCC5" w14:textId="77777777" w:rsidR="00CF2F91" w:rsidRPr="005D776F" w:rsidRDefault="00CF2F91" w:rsidP="003665B8">
            <w:pPr>
              <w:keepNext/>
              <w:keepLines/>
              <w:jc w:val="right"/>
              <w:rPr>
                <w:rFonts w:ascii="Times New Roman" w:hAnsi="Times New Roman" w:cs="Times New Roman"/>
                <w:sz w:val="20"/>
                <w:szCs w:val="20"/>
              </w:rPr>
            </w:pPr>
          </w:p>
        </w:tc>
        <w:tc>
          <w:tcPr>
            <w:tcW w:w="1166" w:type="dxa"/>
            <w:tcBorders>
              <w:left w:val="single" w:sz="12" w:space="0" w:color="auto"/>
            </w:tcBorders>
          </w:tcPr>
          <w:p w14:paraId="71D6FDE9" w14:textId="77777777" w:rsidR="00CF2F91" w:rsidRPr="005D776F" w:rsidRDefault="00CF2F91" w:rsidP="003665B8">
            <w:pPr>
              <w:keepNext/>
              <w:keepLines/>
              <w:jc w:val="right"/>
              <w:rPr>
                <w:rFonts w:ascii="Times New Roman" w:hAnsi="Times New Roman" w:cs="Times New Roman"/>
                <w:sz w:val="20"/>
                <w:szCs w:val="20"/>
              </w:rPr>
            </w:pPr>
            <w:r w:rsidRPr="005D776F">
              <w:rPr>
                <w:rFonts w:ascii="Times New Roman" w:hAnsi="Times New Roman" w:cs="Times New Roman"/>
                <w:sz w:val="20"/>
                <w:szCs w:val="20"/>
              </w:rPr>
              <w:t xml:space="preserve">.037*** </w:t>
            </w:r>
          </w:p>
          <w:p w14:paraId="5FD7C6A8"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w:t>
            </w:r>
            <w:r w:rsidRPr="005D776F">
              <w:rPr>
                <w:rFonts w:ascii="Times New Roman" w:hAnsi="Times New Roman" w:cs="Times New Roman"/>
                <w:sz w:val="20"/>
                <w:szCs w:val="20"/>
              </w:rPr>
              <w:t>.00</w:t>
            </w:r>
            <w:r>
              <w:rPr>
                <w:rFonts w:ascii="Times New Roman" w:hAnsi="Times New Roman" w:cs="Times New Roman"/>
                <w:sz w:val="20"/>
                <w:szCs w:val="20"/>
              </w:rPr>
              <w:t>)</w:t>
            </w:r>
            <w:r w:rsidRPr="005D776F">
              <w:rPr>
                <w:rFonts w:ascii="Times New Roman" w:hAnsi="Times New Roman" w:cs="Times New Roman"/>
                <w:sz w:val="20"/>
                <w:szCs w:val="20"/>
              </w:rPr>
              <w:t xml:space="preserve"> </w:t>
            </w:r>
          </w:p>
          <w:p w14:paraId="73ED1456" w14:textId="77777777" w:rsidR="00CF2F91" w:rsidRPr="005D776F" w:rsidRDefault="00CF2F91" w:rsidP="003665B8">
            <w:pPr>
              <w:keepNext/>
              <w:keepLines/>
              <w:jc w:val="right"/>
              <w:rPr>
                <w:rFonts w:ascii="Times New Roman" w:hAnsi="Times New Roman" w:cs="Times New Roman"/>
                <w:sz w:val="20"/>
                <w:szCs w:val="20"/>
              </w:rPr>
            </w:pPr>
          </w:p>
        </w:tc>
      </w:tr>
      <w:tr w:rsidR="00CF2F91" w14:paraId="24DE60F4" w14:textId="77777777" w:rsidTr="00D95FFC">
        <w:tc>
          <w:tcPr>
            <w:tcW w:w="5678" w:type="dxa"/>
            <w:tcBorders>
              <w:right w:val="single" w:sz="12" w:space="0" w:color="auto"/>
            </w:tcBorders>
          </w:tcPr>
          <w:p w14:paraId="44902D31" w14:textId="4391C4F2" w:rsidR="00CF2F91" w:rsidRPr="005D776F" w:rsidRDefault="00CF2F91" w:rsidP="00DF44A3">
            <w:pPr>
              <w:keepNext/>
              <w:keepLines/>
              <w:rPr>
                <w:rFonts w:ascii="Times New Roman" w:hAnsi="Times New Roman" w:cs="Times New Roman"/>
                <w:sz w:val="20"/>
                <w:szCs w:val="20"/>
              </w:rPr>
            </w:pPr>
            <w:r w:rsidRPr="005D776F">
              <w:rPr>
                <w:rFonts w:ascii="Times New Roman" w:hAnsi="Times New Roman" w:cs="Times New Roman"/>
                <w:sz w:val="20"/>
                <w:szCs w:val="20"/>
              </w:rPr>
              <w:t>(</w:t>
            </w:r>
            <w:r w:rsidR="00DF44A3">
              <w:rPr>
                <w:rFonts w:ascii="Times New Roman" w:hAnsi="Times New Roman" w:cs="Times New Roman"/>
                <w:sz w:val="20"/>
                <w:szCs w:val="20"/>
              </w:rPr>
              <w:t>7</w:t>
            </w:r>
            <w:r w:rsidRPr="005D776F">
              <w:rPr>
                <w:rFonts w:ascii="Times New Roman" w:hAnsi="Times New Roman" w:cs="Times New Roman"/>
                <w:sz w:val="20"/>
                <w:szCs w:val="20"/>
              </w:rPr>
              <w:t>) log of total assets listed on summary of schedules (</w:t>
            </w:r>
            <w:r>
              <w:rPr>
                <w:rFonts w:ascii="Times New Roman" w:hAnsi="Times New Roman" w:cs="Times New Roman"/>
                <w:sz w:val="20"/>
                <w:szCs w:val="20"/>
              </w:rPr>
              <w:t>208)</w:t>
            </w:r>
          </w:p>
        </w:tc>
        <w:tc>
          <w:tcPr>
            <w:tcW w:w="1078" w:type="dxa"/>
            <w:tcBorders>
              <w:left w:val="single" w:sz="12" w:space="0" w:color="auto"/>
              <w:right w:val="single" w:sz="12" w:space="0" w:color="auto"/>
            </w:tcBorders>
          </w:tcPr>
          <w:p w14:paraId="6A2290DB"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.021</w:t>
            </w:r>
          </w:p>
          <w:p w14:paraId="4B1C1C84"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(.28)</w:t>
            </w:r>
          </w:p>
          <w:p w14:paraId="107ED091" w14:textId="77777777" w:rsidR="00CF2F91" w:rsidRPr="005D776F" w:rsidRDefault="00CF2F91" w:rsidP="003665B8">
            <w:pPr>
              <w:keepNext/>
              <w:keepLines/>
              <w:jc w:val="right"/>
              <w:rPr>
                <w:rFonts w:ascii="Times New Roman" w:hAnsi="Times New Roman" w:cs="Times New Roman"/>
                <w:sz w:val="20"/>
                <w:szCs w:val="20"/>
              </w:rPr>
            </w:pPr>
          </w:p>
        </w:tc>
        <w:tc>
          <w:tcPr>
            <w:tcW w:w="1096" w:type="dxa"/>
            <w:tcBorders>
              <w:left w:val="single" w:sz="12" w:space="0" w:color="auto"/>
              <w:right w:val="single" w:sz="12" w:space="0" w:color="auto"/>
            </w:tcBorders>
          </w:tcPr>
          <w:p w14:paraId="6C1411A1"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.0</w:t>
            </w:r>
            <w:r w:rsidRPr="005D776F">
              <w:rPr>
                <w:rFonts w:ascii="Times New Roman" w:hAnsi="Times New Roman" w:cs="Times New Roman"/>
                <w:sz w:val="20"/>
                <w:szCs w:val="20"/>
              </w:rPr>
              <w:t>0</w:t>
            </w:r>
            <w:r>
              <w:rPr>
                <w:rFonts w:ascii="Times New Roman" w:hAnsi="Times New Roman" w:cs="Times New Roman"/>
                <w:sz w:val="20"/>
                <w:szCs w:val="20"/>
              </w:rPr>
              <w:t>5</w:t>
            </w:r>
          </w:p>
          <w:p w14:paraId="58F54E37"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(.78)</w:t>
            </w:r>
          </w:p>
          <w:p w14:paraId="55C67037" w14:textId="77777777" w:rsidR="00CF2F91" w:rsidRPr="005D776F" w:rsidRDefault="00CF2F91" w:rsidP="003665B8">
            <w:pPr>
              <w:keepNext/>
              <w:keepLines/>
              <w:jc w:val="right"/>
              <w:rPr>
                <w:rFonts w:ascii="Times New Roman" w:hAnsi="Times New Roman" w:cs="Times New Roman"/>
                <w:sz w:val="20"/>
                <w:szCs w:val="20"/>
              </w:rPr>
            </w:pPr>
          </w:p>
        </w:tc>
        <w:tc>
          <w:tcPr>
            <w:tcW w:w="1166" w:type="dxa"/>
            <w:tcBorders>
              <w:left w:val="single" w:sz="12" w:space="0" w:color="auto"/>
            </w:tcBorders>
          </w:tcPr>
          <w:p w14:paraId="38CBDED3" w14:textId="77777777" w:rsidR="00CF2F91" w:rsidRPr="005D776F" w:rsidRDefault="00CF2F91" w:rsidP="003665B8">
            <w:pPr>
              <w:keepNext/>
              <w:keepLines/>
              <w:jc w:val="right"/>
              <w:rPr>
                <w:rFonts w:ascii="Times New Roman" w:hAnsi="Times New Roman" w:cs="Times New Roman"/>
                <w:sz w:val="20"/>
                <w:szCs w:val="20"/>
              </w:rPr>
            </w:pPr>
            <w:r w:rsidRPr="005D776F">
              <w:rPr>
                <w:rFonts w:ascii="Times New Roman" w:hAnsi="Times New Roman" w:cs="Times New Roman"/>
                <w:sz w:val="20"/>
                <w:szCs w:val="20"/>
              </w:rPr>
              <w:t>.00</w:t>
            </w:r>
            <w:r>
              <w:rPr>
                <w:rFonts w:ascii="Times New Roman" w:hAnsi="Times New Roman" w:cs="Times New Roman"/>
                <w:sz w:val="20"/>
                <w:szCs w:val="20"/>
              </w:rPr>
              <w:t>7</w:t>
            </w:r>
          </w:p>
          <w:p w14:paraId="00300D43"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(.71)</w:t>
            </w:r>
          </w:p>
          <w:p w14:paraId="4E797731" w14:textId="77777777" w:rsidR="00CF2F91" w:rsidRPr="005D776F" w:rsidRDefault="00CF2F91" w:rsidP="003665B8">
            <w:pPr>
              <w:keepNext/>
              <w:keepLines/>
              <w:jc w:val="right"/>
              <w:rPr>
                <w:rFonts w:ascii="Times New Roman" w:hAnsi="Times New Roman" w:cs="Times New Roman"/>
                <w:sz w:val="20"/>
                <w:szCs w:val="20"/>
              </w:rPr>
            </w:pPr>
          </w:p>
        </w:tc>
      </w:tr>
      <w:tr w:rsidR="00CF2F91" w14:paraId="6C9F4909" w14:textId="77777777" w:rsidTr="00D95FFC">
        <w:tc>
          <w:tcPr>
            <w:tcW w:w="5678" w:type="dxa"/>
            <w:tcBorders>
              <w:right w:val="single" w:sz="12" w:space="0" w:color="auto"/>
            </w:tcBorders>
          </w:tcPr>
          <w:p w14:paraId="023A43D1" w14:textId="4A3D43AB" w:rsidR="00CF2F91" w:rsidRPr="005D776F" w:rsidRDefault="00CF2F91" w:rsidP="00DF44A3">
            <w:pPr>
              <w:keepNext/>
              <w:keepLines/>
              <w:rPr>
                <w:rFonts w:ascii="Times New Roman" w:hAnsi="Times New Roman" w:cs="Times New Roman"/>
                <w:sz w:val="20"/>
                <w:szCs w:val="20"/>
              </w:rPr>
            </w:pPr>
            <w:r w:rsidRPr="005D776F">
              <w:rPr>
                <w:rFonts w:ascii="Times New Roman" w:hAnsi="Times New Roman" w:cs="Times New Roman"/>
                <w:sz w:val="20"/>
                <w:szCs w:val="20"/>
              </w:rPr>
              <w:t>(</w:t>
            </w:r>
            <w:r w:rsidR="00DF44A3">
              <w:rPr>
                <w:rFonts w:ascii="Times New Roman" w:hAnsi="Times New Roman" w:cs="Times New Roman"/>
                <w:sz w:val="20"/>
                <w:szCs w:val="20"/>
              </w:rPr>
              <w:t>8</w:t>
            </w:r>
            <w:r w:rsidRPr="005D776F">
              <w:rPr>
                <w:rFonts w:ascii="Times New Roman" w:hAnsi="Times New Roman" w:cs="Times New Roman"/>
                <w:sz w:val="20"/>
                <w:szCs w:val="20"/>
              </w:rPr>
              <w:t>) log of total liabilities listed on summary of schedules (</w:t>
            </w:r>
            <w:r>
              <w:rPr>
                <w:rFonts w:ascii="Times New Roman" w:hAnsi="Times New Roman" w:cs="Times New Roman"/>
                <w:sz w:val="20"/>
                <w:szCs w:val="20"/>
              </w:rPr>
              <w:t>208)</w:t>
            </w:r>
          </w:p>
        </w:tc>
        <w:tc>
          <w:tcPr>
            <w:tcW w:w="1078" w:type="dxa"/>
            <w:tcBorders>
              <w:left w:val="single" w:sz="12" w:space="0" w:color="auto"/>
              <w:right w:val="single" w:sz="12" w:space="0" w:color="auto"/>
            </w:tcBorders>
          </w:tcPr>
          <w:p w14:paraId="10484DDE"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-.015</w:t>
            </w:r>
          </w:p>
          <w:p w14:paraId="40E0062E"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(.61)</w:t>
            </w:r>
          </w:p>
          <w:p w14:paraId="6D59FCF5" w14:textId="77777777" w:rsidR="00CF2F91" w:rsidRPr="005D776F" w:rsidRDefault="00CF2F91" w:rsidP="003665B8">
            <w:pPr>
              <w:keepNext/>
              <w:keepLines/>
              <w:jc w:val="right"/>
              <w:rPr>
                <w:rFonts w:ascii="Times New Roman" w:hAnsi="Times New Roman" w:cs="Times New Roman"/>
                <w:sz w:val="20"/>
                <w:szCs w:val="20"/>
              </w:rPr>
            </w:pPr>
          </w:p>
        </w:tc>
        <w:tc>
          <w:tcPr>
            <w:tcW w:w="1096" w:type="dxa"/>
            <w:tcBorders>
              <w:left w:val="single" w:sz="12" w:space="0" w:color="auto"/>
              <w:right w:val="single" w:sz="12" w:space="0" w:color="auto"/>
            </w:tcBorders>
          </w:tcPr>
          <w:p w14:paraId="304A3293" w14:textId="77777777" w:rsidR="00CF2F91" w:rsidRPr="005D776F" w:rsidRDefault="00CF2F91" w:rsidP="003665B8">
            <w:pPr>
              <w:keepNext/>
              <w:keepLines/>
              <w:jc w:val="right"/>
              <w:rPr>
                <w:rFonts w:ascii="Times New Roman" w:hAnsi="Times New Roman" w:cs="Times New Roman"/>
                <w:sz w:val="20"/>
                <w:szCs w:val="20"/>
              </w:rPr>
            </w:pPr>
            <w:r w:rsidRPr="005D776F">
              <w:rPr>
                <w:rFonts w:ascii="Times New Roman" w:hAnsi="Times New Roman" w:cs="Times New Roman"/>
                <w:sz w:val="20"/>
                <w:szCs w:val="20"/>
              </w:rPr>
              <w:t>-.053*</w:t>
            </w:r>
          </w:p>
          <w:p w14:paraId="2982F6B6"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w:t>
            </w:r>
            <w:r w:rsidRPr="005D776F">
              <w:rPr>
                <w:rFonts w:ascii="Times New Roman" w:hAnsi="Times New Roman" w:cs="Times New Roman"/>
                <w:sz w:val="20"/>
                <w:szCs w:val="20"/>
              </w:rPr>
              <w:t>.07</w:t>
            </w:r>
            <w:r>
              <w:rPr>
                <w:rFonts w:ascii="Times New Roman" w:hAnsi="Times New Roman" w:cs="Times New Roman"/>
                <w:sz w:val="20"/>
                <w:szCs w:val="20"/>
              </w:rPr>
              <w:t>)</w:t>
            </w:r>
          </w:p>
          <w:p w14:paraId="203F7EA2" w14:textId="77777777" w:rsidR="00CF2F91" w:rsidRPr="005D776F" w:rsidRDefault="00CF2F91" w:rsidP="003665B8">
            <w:pPr>
              <w:keepNext/>
              <w:keepLines/>
              <w:jc w:val="right"/>
              <w:rPr>
                <w:rFonts w:ascii="Times New Roman" w:hAnsi="Times New Roman" w:cs="Times New Roman"/>
                <w:sz w:val="20"/>
                <w:szCs w:val="20"/>
              </w:rPr>
            </w:pPr>
          </w:p>
        </w:tc>
        <w:tc>
          <w:tcPr>
            <w:tcW w:w="1166" w:type="dxa"/>
            <w:tcBorders>
              <w:left w:val="single" w:sz="12" w:space="0" w:color="auto"/>
            </w:tcBorders>
          </w:tcPr>
          <w:p w14:paraId="3EE9D083" w14:textId="77777777" w:rsidR="00CF2F91" w:rsidRPr="005D776F" w:rsidRDefault="00CF2F91" w:rsidP="003665B8">
            <w:pPr>
              <w:keepNext/>
              <w:keepLines/>
              <w:jc w:val="right"/>
              <w:rPr>
                <w:rFonts w:ascii="Times New Roman" w:hAnsi="Times New Roman" w:cs="Times New Roman"/>
                <w:sz w:val="20"/>
                <w:szCs w:val="20"/>
              </w:rPr>
            </w:pPr>
            <w:r w:rsidRPr="005D776F">
              <w:rPr>
                <w:rFonts w:ascii="Times New Roman" w:hAnsi="Times New Roman" w:cs="Times New Roman"/>
                <w:sz w:val="20"/>
                <w:szCs w:val="20"/>
              </w:rPr>
              <w:t>-.051*</w:t>
            </w:r>
          </w:p>
          <w:p w14:paraId="2AF10C41" w14:textId="77777777" w:rsidR="00CF2F91" w:rsidRPr="005D776F" w:rsidRDefault="00CF2F91" w:rsidP="003665B8">
            <w:pPr>
              <w:keepNext/>
              <w:keepLines/>
              <w:jc w:val="right"/>
              <w:rPr>
                <w:rFonts w:ascii="Times New Roman" w:hAnsi="Times New Roman" w:cs="Times New Roman"/>
                <w:sz w:val="20"/>
                <w:szCs w:val="20"/>
              </w:rPr>
            </w:pPr>
            <w:r>
              <w:rPr>
                <w:rFonts w:ascii="Times New Roman" w:hAnsi="Times New Roman" w:cs="Times New Roman"/>
                <w:sz w:val="20"/>
                <w:szCs w:val="20"/>
              </w:rPr>
              <w:t>(</w:t>
            </w:r>
            <w:r w:rsidRPr="005D776F">
              <w:rPr>
                <w:rFonts w:ascii="Times New Roman" w:hAnsi="Times New Roman" w:cs="Times New Roman"/>
                <w:sz w:val="20"/>
                <w:szCs w:val="20"/>
              </w:rPr>
              <w:t>.08</w:t>
            </w:r>
            <w:r>
              <w:rPr>
                <w:rFonts w:ascii="Times New Roman" w:hAnsi="Times New Roman" w:cs="Times New Roman"/>
                <w:sz w:val="20"/>
                <w:szCs w:val="20"/>
              </w:rPr>
              <w:t>)</w:t>
            </w:r>
          </w:p>
          <w:p w14:paraId="7C6FEB35" w14:textId="77777777" w:rsidR="00CF2F91" w:rsidRPr="005D776F" w:rsidRDefault="00CF2F91" w:rsidP="003665B8">
            <w:pPr>
              <w:keepNext/>
              <w:keepLines/>
              <w:jc w:val="right"/>
              <w:rPr>
                <w:rFonts w:ascii="Times New Roman" w:hAnsi="Times New Roman" w:cs="Times New Roman"/>
                <w:sz w:val="20"/>
                <w:szCs w:val="20"/>
              </w:rPr>
            </w:pPr>
          </w:p>
        </w:tc>
      </w:tr>
    </w:tbl>
    <w:p w14:paraId="35C1D6FB" w14:textId="77777777" w:rsidR="00CF2F91" w:rsidRDefault="00CF2F91" w:rsidP="003665B8">
      <w:pPr>
        <w:keepLines/>
        <w:rPr>
          <w:rFonts w:ascii="Times New Roman" w:hAnsi="Times New Roman" w:cs="Times New Roman"/>
          <w:sz w:val="20"/>
          <w:szCs w:val="20"/>
        </w:rPr>
      </w:pPr>
      <w:r w:rsidRPr="00496350">
        <w:rPr>
          <w:rFonts w:ascii="Times New Roman" w:hAnsi="Times New Roman" w:cs="Times New Roman"/>
          <w:sz w:val="20"/>
          <w:szCs w:val="20"/>
        </w:rPr>
        <w:t>*p&lt;0.10, **p&lt;0.05, ***p&lt;0.01</w:t>
      </w:r>
    </w:p>
    <w:p w14:paraId="151FE8FC" w14:textId="77777777" w:rsidR="003665B8" w:rsidRPr="00496350" w:rsidRDefault="003665B8" w:rsidP="003665B8">
      <w:pPr>
        <w:keepNext/>
        <w:keepLines/>
        <w:rPr>
          <w:rFonts w:ascii="Times New Roman" w:hAnsi="Times New Roman" w:cs="Times New Roman"/>
          <w:sz w:val="20"/>
          <w:szCs w:val="20"/>
        </w:rPr>
      </w:pPr>
    </w:p>
    <w:p w14:paraId="222B5412" w14:textId="7027A24E" w:rsidR="00FC38D9" w:rsidRPr="00F43406" w:rsidRDefault="00CF2F91" w:rsidP="00FC38D9">
      <w:pPr>
        <w:spacing w:line="480" w:lineRule="auto"/>
        <w:ind w:firstLine="720"/>
        <w:rPr>
          <w:rFonts w:ascii="Times New Roman" w:hAnsi="Times New Roman" w:cs="Times New Roman"/>
        </w:rPr>
      </w:pPr>
      <w:r>
        <w:rPr>
          <w:rFonts w:ascii="Times New Roman" w:hAnsi="Times New Roman" w:cs="Times New Roman"/>
        </w:rPr>
        <w:t xml:space="preserve"> </w:t>
      </w:r>
      <w:r w:rsidR="00FC38D9" w:rsidRPr="00F43406">
        <w:rPr>
          <w:rFonts w:ascii="Times New Roman" w:hAnsi="Times New Roman" w:cs="Times New Roman"/>
        </w:rPr>
        <w:t>Debtors must repay their priority debts in full within five years of the order for relief,</w:t>
      </w:r>
      <w:r w:rsidR="00FC38D9" w:rsidRPr="00B912DC">
        <w:rPr>
          <w:rStyle w:val="FootnoteReference"/>
          <w:rFonts w:ascii="Times New Roman" w:hAnsi="Times New Roman" w:cs="Times New Roman"/>
        </w:rPr>
        <w:footnoteReference w:id="253"/>
      </w:r>
      <w:r w:rsidR="00FC38D9" w:rsidRPr="00F43406">
        <w:rPr>
          <w:rFonts w:ascii="Times New Roman" w:hAnsi="Times New Roman" w:cs="Times New Roman"/>
        </w:rPr>
        <w:t xml:space="preserve"> and so we expected to find that debtors with significant priority debts would be more likely to fail. We tested this theory by looking at the ratio of the debtor’s priority debts to </w:t>
      </w:r>
      <w:r w:rsidR="00D57C52">
        <w:rPr>
          <w:rFonts w:ascii="Times New Roman" w:hAnsi="Times New Roman" w:cs="Times New Roman"/>
        </w:rPr>
        <w:t xml:space="preserve">his or </w:t>
      </w:r>
      <w:r w:rsidR="00FC38D9" w:rsidRPr="00F43406">
        <w:rPr>
          <w:rFonts w:ascii="Times New Roman" w:hAnsi="Times New Roman" w:cs="Times New Roman"/>
        </w:rPr>
        <w:t xml:space="preserve">her current monthly income. The evidence is mixed. The figures in </w:t>
      </w:r>
      <w:r w:rsidR="003665B8">
        <w:rPr>
          <w:rFonts w:ascii="Times New Roman" w:hAnsi="Times New Roman" w:cs="Times New Roman"/>
        </w:rPr>
        <w:t>R</w:t>
      </w:r>
      <w:r w:rsidR="00FC38D9" w:rsidRPr="00F43406">
        <w:rPr>
          <w:rFonts w:ascii="Times New Roman" w:hAnsi="Times New Roman" w:cs="Times New Roman"/>
        </w:rPr>
        <w:t>ow (</w:t>
      </w:r>
      <w:r w:rsidR="00625329">
        <w:rPr>
          <w:rFonts w:ascii="Times New Roman" w:hAnsi="Times New Roman" w:cs="Times New Roman"/>
        </w:rPr>
        <w:t>3</w:t>
      </w:r>
      <w:r w:rsidR="00FC38D9" w:rsidRPr="00F43406">
        <w:rPr>
          <w:rFonts w:ascii="Times New Roman" w:hAnsi="Times New Roman" w:cs="Times New Roman"/>
        </w:rPr>
        <w:t xml:space="preserve">) </w:t>
      </w:r>
      <w:r w:rsidR="00625329">
        <w:rPr>
          <w:rFonts w:ascii="Times New Roman" w:hAnsi="Times New Roman" w:cs="Times New Roman"/>
        </w:rPr>
        <w:t xml:space="preserve">of Table 48 </w:t>
      </w:r>
      <w:r w:rsidR="00FC38D9" w:rsidRPr="00F43406">
        <w:rPr>
          <w:rFonts w:ascii="Times New Roman" w:hAnsi="Times New Roman" w:cs="Times New Roman"/>
        </w:rPr>
        <w:t>suggest that debtors with a larger ratio are less likely to succeed, but the estimated effect is close to one and not statistically significant. For</w:t>
      </w:r>
      <w:r w:rsidR="00FC38D9">
        <w:rPr>
          <w:rFonts w:ascii="Times New Roman" w:hAnsi="Times New Roman" w:cs="Times New Roman"/>
        </w:rPr>
        <w:t xml:space="preserve"> the data in </w:t>
      </w:r>
      <w:r w:rsidR="003665B8">
        <w:rPr>
          <w:rFonts w:ascii="Times New Roman" w:hAnsi="Times New Roman" w:cs="Times New Roman"/>
        </w:rPr>
        <w:t>R</w:t>
      </w:r>
      <w:r w:rsidR="00FC38D9">
        <w:rPr>
          <w:rFonts w:ascii="Times New Roman" w:hAnsi="Times New Roman" w:cs="Times New Roman"/>
        </w:rPr>
        <w:t>ow (16)</w:t>
      </w:r>
      <w:r w:rsidR="00625329">
        <w:rPr>
          <w:rFonts w:ascii="Times New Roman" w:hAnsi="Times New Roman" w:cs="Times New Roman"/>
        </w:rPr>
        <w:t xml:space="preserve"> of Table 47</w:t>
      </w:r>
      <w:r w:rsidR="00FC38D9">
        <w:rPr>
          <w:rFonts w:ascii="Times New Roman" w:hAnsi="Times New Roman" w:cs="Times New Roman"/>
        </w:rPr>
        <w:t xml:space="preserve">, we used </w:t>
      </w:r>
      <w:r w:rsidR="00FC38D9" w:rsidRPr="00F43406">
        <w:rPr>
          <w:rFonts w:ascii="Times New Roman" w:hAnsi="Times New Roman" w:cs="Times New Roman"/>
        </w:rPr>
        <w:t>a simpler test, comparing those debtors with priority debts in excess of one</w:t>
      </w:r>
      <w:r w:rsidR="00D57C52">
        <w:rPr>
          <w:rFonts w:ascii="Times New Roman" w:hAnsi="Times New Roman" w:cs="Times New Roman"/>
        </w:rPr>
        <w:t xml:space="preserve"> </w:t>
      </w:r>
      <w:r w:rsidR="00FC38D9" w:rsidRPr="00F43406">
        <w:rPr>
          <w:rFonts w:ascii="Times New Roman" w:hAnsi="Times New Roman" w:cs="Times New Roman"/>
        </w:rPr>
        <w:t>year’s</w:t>
      </w:r>
      <w:r w:rsidR="00D57C52">
        <w:rPr>
          <w:rFonts w:ascii="Times New Roman" w:hAnsi="Times New Roman" w:cs="Times New Roman"/>
        </w:rPr>
        <w:t xml:space="preserve"> </w:t>
      </w:r>
      <w:r w:rsidR="00FC38D9" w:rsidRPr="00F43406">
        <w:rPr>
          <w:rFonts w:ascii="Times New Roman" w:hAnsi="Times New Roman" w:cs="Times New Roman"/>
        </w:rPr>
        <w:t xml:space="preserve">worth of estimated income (twelve times the income reported on the summary of schedules) to those with less than this amount. Here, the difference is statistically significant for two of our three measures </w:t>
      </w:r>
      <w:r w:rsidR="00FC38D9">
        <w:rPr>
          <w:rFonts w:ascii="Times New Roman" w:hAnsi="Times New Roman" w:cs="Times New Roman"/>
        </w:rPr>
        <w:t xml:space="preserve">of success </w:t>
      </w:r>
      <w:r w:rsidR="00FC38D9" w:rsidRPr="00F43406">
        <w:rPr>
          <w:rFonts w:ascii="Times New Roman" w:hAnsi="Times New Roman" w:cs="Times New Roman"/>
        </w:rPr>
        <w:t>and almost significant (p</w:t>
      </w:r>
      <w:r w:rsidR="00C93801">
        <w:rPr>
          <w:rFonts w:ascii="Times New Roman" w:hAnsi="Times New Roman" w:cs="Times New Roman"/>
        </w:rPr>
        <w:t>-</w:t>
      </w:r>
      <w:r w:rsidR="00FC38D9" w:rsidRPr="00F43406">
        <w:rPr>
          <w:rFonts w:ascii="Times New Roman" w:hAnsi="Times New Roman" w:cs="Times New Roman"/>
        </w:rPr>
        <w:t xml:space="preserve">value </w:t>
      </w:r>
      <w:r w:rsidR="00DD6C5E">
        <w:rPr>
          <w:rFonts w:ascii="Times New Roman" w:hAnsi="Times New Roman" w:cs="Times New Roman"/>
        </w:rPr>
        <w:t>rounds</w:t>
      </w:r>
      <w:r w:rsidR="00C93801">
        <w:rPr>
          <w:rFonts w:ascii="Times New Roman" w:hAnsi="Times New Roman" w:cs="Times New Roman"/>
        </w:rPr>
        <w:t xml:space="preserve"> to 10%</w:t>
      </w:r>
      <w:r w:rsidR="00FC38D9" w:rsidRPr="00F43406">
        <w:rPr>
          <w:rFonts w:ascii="Times New Roman" w:hAnsi="Times New Roman" w:cs="Times New Roman"/>
        </w:rPr>
        <w:t xml:space="preserve">) for the third. </w:t>
      </w:r>
    </w:p>
    <w:p w14:paraId="3B1F3015" w14:textId="026EEB99" w:rsidR="00FC38D9" w:rsidRPr="00F43406" w:rsidRDefault="00FC38D9" w:rsidP="00FC38D9">
      <w:pPr>
        <w:spacing w:line="480" w:lineRule="auto"/>
        <w:ind w:firstLine="720"/>
        <w:rPr>
          <w:rFonts w:ascii="Times New Roman" w:hAnsi="Times New Roman" w:cs="Times New Roman"/>
        </w:rPr>
      </w:pPr>
      <w:r w:rsidRPr="00F43406">
        <w:rPr>
          <w:rFonts w:ascii="Times New Roman" w:hAnsi="Times New Roman" w:cs="Times New Roman"/>
        </w:rPr>
        <w:t>Be</w:t>
      </w:r>
      <w:r>
        <w:rPr>
          <w:rFonts w:ascii="Times New Roman" w:hAnsi="Times New Roman" w:cs="Times New Roman"/>
        </w:rPr>
        <w:t xml:space="preserve">cause we studied a time period </w:t>
      </w:r>
      <w:r w:rsidRPr="00F43406">
        <w:rPr>
          <w:rFonts w:ascii="Times New Roman" w:hAnsi="Times New Roman" w:cs="Times New Roman"/>
        </w:rPr>
        <w:t>with an historic collapse in real estate p</w:t>
      </w:r>
      <w:r w:rsidR="003665B8">
        <w:rPr>
          <w:rFonts w:ascii="Times New Roman" w:hAnsi="Times New Roman" w:cs="Times New Roman"/>
        </w:rPr>
        <w:t>rices and many debtors reported</w:t>
      </w:r>
      <w:r w:rsidRPr="00F43406">
        <w:rPr>
          <w:rFonts w:ascii="Times New Roman" w:hAnsi="Times New Roman" w:cs="Times New Roman"/>
        </w:rPr>
        <w:t xml:space="preserve"> significant real estate holdings, we decided to test whether cases with significant real estate succeeded at a different rate. Our theory was that there would be less uncertainty about the proper use of assets in these cases and that the primary role of these bankruptcies w</w:t>
      </w:r>
      <w:r w:rsidR="00181D98">
        <w:rPr>
          <w:rFonts w:ascii="Times New Roman" w:hAnsi="Times New Roman" w:cs="Times New Roman"/>
        </w:rPr>
        <w:t>as</w:t>
      </w:r>
      <w:r w:rsidRPr="00F43406">
        <w:rPr>
          <w:rFonts w:ascii="Times New Roman" w:hAnsi="Times New Roman" w:cs="Times New Roman"/>
        </w:rPr>
        <w:t xml:space="preserve"> to facilitate negotiation</w:t>
      </w:r>
      <w:r w:rsidR="00D57C52">
        <w:rPr>
          <w:rFonts w:ascii="Times New Roman" w:hAnsi="Times New Roman" w:cs="Times New Roman"/>
        </w:rPr>
        <w:t>s</w:t>
      </w:r>
      <w:r w:rsidRPr="00F43406">
        <w:rPr>
          <w:rFonts w:ascii="Times New Roman" w:hAnsi="Times New Roman" w:cs="Times New Roman"/>
        </w:rPr>
        <w:t xml:space="preserve"> between the debtor and secured creditors. We t</w:t>
      </w:r>
      <w:r>
        <w:rPr>
          <w:rFonts w:ascii="Times New Roman" w:hAnsi="Times New Roman" w:cs="Times New Roman"/>
        </w:rPr>
        <w:t>ested</w:t>
      </w:r>
      <w:r w:rsidRPr="00F43406">
        <w:rPr>
          <w:rFonts w:ascii="Times New Roman" w:hAnsi="Times New Roman" w:cs="Times New Roman"/>
        </w:rPr>
        <w:t xml:space="preserve"> three measures: (1) the number of real estate parcels reported by the debtor on Schedule A, (2) the ratio of the debtor’s real property to total assets reported on the summary of schedules, and (3) the ratio of secured debt to total debt reported on the summary of schedules. </w:t>
      </w:r>
      <w:r>
        <w:rPr>
          <w:rFonts w:ascii="Times New Roman" w:hAnsi="Times New Roman" w:cs="Times New Roman"/>
        </w:rPr>
        <w:t xml:space="preserve">There are issues with all three measures. </w:t>
      </w:r>
      <w:r w:rsidRPr="00F43406">
        <w:rPr>
          <w:rFonts w:ascii="Times New Roman" w:hAnsi="Times New Roman" w:cs="Times New Roman"/>
        </w:rPr>
        <w:t>In an effort to save coding time, we told our research assistants to stop counting parcels once they reached ten, and a great many of the debtors reached this limit. The biggest problem with our real property and secured debt ratios is that individual debtors do not report consolidated financial statements;</w:t>
      </w:r>
      <w:r w:rsidR="000F165F" w:rsidRPr="000F165F">
        <w:rPr>
          <w:rStyle w:val="FootnoteReference"/>
          <w:rFonts w:ascii="Times New Roman" w:hAnsi="Times New Roman" w:cs="Times New Roman"/>
        </w:rPr>
        <w:t xml:space="preserve"> </w:t>
      </w:r>
      <w:r w:rsidRPr="00F43406">
        <w:rPr>
          <w:rFonts w:ascii="Times New Roman" w:hAnsi="Times New Roman" w:cs="Times New Roman"/>
        </w:rPr>
        <w:t>some debtors (correctly) reported tens of millions of dollars of unsecured debts and almost no secured debts even though substantially all of the debtor’s unsecured debt came from personal guarantees of mortgages owed by wholly owned LLCs.</w:t>
      </w:r>
      <w:r w:rsidR="00220106">
        <w:rPr>
          <w:rStyle w:val="FootnoteReference"/>
          <w:rFonts w:ascii="Times New Roman" w:hAnsi="Times New Roman" w:cs="Times New Roman"/>
        </w:rPr>
        <w:footnoteReference w:id="254"/>
      </w:r>
    </w:p>
    <w:p w14:paraId="36847A8F" w14:textId="1621C3A6" w:rsidR="00FC38D9" w:rsidRPr="00F43406" w:rsidRDefault="00FC38D9" w:rsidP="00FC38D9">
      <w:pPr>
        <w:spacing w:line="480" w:lineRule="auto"/>
        <w:ind w:firstLine="720"/>
        <w:rPr>
          <w:rFonts w:ascii="Times New Roman" w:hAnsi="Times New Roman" w:cs="Times New Roman"/>
        </w:rPr>
      </w:pPr>
      <w:r w:rsidRPr="00F43406">
        <w:rPr>
          <w:rFonts w:ascii="Times New Roman" w:hAnsi="Times New Roman" w:cs="Times New Roman"/>
        </w:rPr>
        <w:t xml:space="preserve">Despite these limitations, all of our measures suggest that real estate cases are more likely to succeed. The estimated effects for the number of parcels, the ratio of secured to total debt, and the ratio of real to total property are all greater than one, though two of the three estimates for the real property ratio are not statistically significant at the </w:t>
      </w:r>
      <w:r w:rsidR="00DB15DD">
        <w:rPr>
          <w:rFonts w:ascii="Times New Roman" w:hAnsi="Times New Roman" w:cs="Times New Roman"/>
        </w:rPr>
        <w:t>10%</w:t>
      </w:r>
      <w:r w:rsidRPr="00F43406">
        <w:rPr>
          <w:rFonts w:ascii="Times New Roman" w:hAnsi="Times New Roman" w:cs="Times New Roman"/>
        </w:rPr>
        <w:t xml:space="preserve"> level. </w:t>
      </w:r>
      <w:r w:rsidR="00181D98">
        <w:rPr>
          <w:rFonts w:ascii="Times New Roman" w:hAnsi="Times New Roman" w:cs="Times New Roman"/>
          <w:i/>
        </w:rPr>
        <w:t xml:space="preserve">See </w:t>
      </w:r>
      <w:r w:rsidR="00181D98">
        <w:rPr>
          <w:rFonts w:ascii="Times New Roman" w:hAnsi="Times New Roman" w:cs="Times New Roman"/>
        </w:rPr>
        <w:t xml:space="preserve">Table 48, Rows (4)-(6). </w:t>
      </w:r>
      <w:r w:rsidRPr="00F43406">
        <w:rPr>
          <w:rFonts w:ascii="Times New Roman" w:hAnsi="Times New Roman" w:cs="Times New Roman"/>
        </w:rPr>
        <w:t>Row (1</w:t>
      </w:r>
      <w:r w:rsidR="00C93801">
        <w:rPr>
          <w:rFonts w:ascii="Times New Roman" w:hAnsi="Times New Roman" w:cs="Times New Roman"/>
        </w:rPr>
        <w:t>7</w:t>
      </w:r>
      <w:r w:rsidRPr="00F43406">
        <w:rPr>
          <w:rFonts w:ascii="Times New Roman" w:hAnsi="Times New Roman" w:cs="Times New Roman"/>
        </w:rPr>
        <w:t xml:space="preserve">) </w:t>
      </w:r>
      <w:r w:rsidR="00181D98">
        <w:rPr>
          <w:rFonts w:ascii="Times New Roman" w:hAnsi="Times New Roman" w:cs="Times New Roman"/>
        </w:rPr>
        <w:t xml:space="preserve">of Table 47 </w:t>
      </w:r>
      <w:r w:rsidRPr="00F43406">
        <w:rPr>
          <w:rFonts w:ascii="Times New Roman" w:hAnsi="Times New Roman" w:cs="Times New Roman"/>
        </w:rPr>
        <w:t xml:space="preserve">reports a simplified comparison, contrasting those cases in which the debtors reported three or more parcels with those in which the debtors reported two or fewer. This comparison </w:t>
      </w:r>
      <w:r w:rsidR="004A7CAE">
        <w:rPr>
          <w:rFonts w:ascii="Times New Roman" w:hAnsi="Times New Roman" w:cs="Times New Roman"/>
        </w:rPr>
        <w:t xml:space="preserve">also </w:t>
      </w:r>
      <w:r w:rsidRPr="00F43406">
        <w:rPr>
          <w:rFonts w:ascii="Times New Roman" w:hAnsi="Times New Roman" w:cs="Times New Roman"/>
        </w:rPr>
        <w:t>suggests that debtors who own more real estate are much more likely to succeed.</w:t>
      </w:r>
      <w:r w:rsidR="00C93801">
        <w:rPr>
          <w:rFonts w:ascii="Times New Roman" w:hAnsi="Times New Roman" w:cs="Times New Roman"/>
        </w:rPr>
        <w:t xml:space="preserve">  </w:t>
      </w:r>
    </w:p>
    <w:p w14:paraId="135E8D21" w14:textId="3543F324" w:rsidR="00FC38D9" w:rsidRPr="00181D98" w:rsidRDefault="00FC38D9" w:rsidP="00FC38D9">
      <w:pPr>
        <w:spacing w:line="480" w:lineRule="auto"/>
        <w:ind w:firstLine="720"/>
        <w:rPr>
          <w:rFonts w:ascii="Times New Roman" w:hAnsi="Times New Roman" w:cs="Times New Roman"/>
        </w:rPr>
      </w:pPr>
      <w:r w:rsidRPr="00F43406">
        <w:rPr>
          <w:rFonts w:ascii="Times New Roman" w:hAnsi="Times New Roman" w:cs="Times New Roman"/>
        </w:rPr>
        <w:t xml:space="preserve">A few of our cases converted into chapter 11. We expected these cases to fail more often because chapter 11 was not the debtor’s first choice. The estimated success rates for these cases </w:t>
      </w:r>
      <w:r w:rsidR="00181D98">
        <w:rPr>
          <w:rFonts w:ascii="Times New Roman" w:hAnsi="Times New Roman" w:cs="Times New Roman"/>
        </w:rPr>
        <w:t>are</w:t>
      </w:r>
      <w:r w:rsidRPr="00F43406">
        <w:rPr>
          <w:rFonts w:ascii="Times New Roman" w:hAnsi="Times New Roman" w:cs="Times New Roman"/>
        </w:rPr>
        <w:t xml:space="preserve"> indeed markedly lower</w:t>
      </w:r>
      <w:r w:rsidR="00C93801">
        <w:rPr>
          <w:rFonts w:ascii="Times New Roman" w:hAnsi="Times New Roman" w:cs="Times New Roman"/>
        </w:rPr>
        <w:t xml:space="preserve">, </w:t>
      </w:r>
      <w:r w:rsidRPr="00F43406">
        <w:rPr>
          <w:rFonts w:ascii="Times New Roman" w:hAnsi="Times New Roman" w:cs="Times New Roman"/>
        </w:rPr>
        <w:t xml:space="preserve">but only one of the three differences is statistically significant at the </w:t>
      </w:r>
      <w:r w:rsidR="00DB15DD">
        <w:rPr>
          <w:rFonts w:ascii="Times New Roman" w:hAnsi="Times New Roman" w:cs="Times New Roman"/>
        </w:rPr>
        <w:t>10%</w:t>
      </w:r>
      <w:r w:rsidRPr="00F43406">
        <w:rPr>
          <w:rFonts w:ascii="Times New Roman" w:hAnsi="Times New Roman" w:cs="Times New Roman"/>
        </w:rPr>
        <w:t xml:space="preserve"> level.</w:t>
      </w:r>
      <w:r w:rsidR="00181D98">
        <w:rPr>
          <w:rFonts w:ascii="Times New Roman" w:hAnsi="Times New Roman" w:cs="Times New Roman"/>
        </w:rPr>
        <w:t xml:space="preserve"> </w:t>
      </w:r>
      <w:r w:rsidR="00181D98">
        <w:rPr>
          <w:rFonts w:ascii="Times New Roman" w:hAnsi="Times New Roman" w:cs="Times New Roman"/>
          <w:i/>
        </w:rPr>
        <w:t xml:space="preserve">See </w:t>
      </w:r>
      <w:r w:rsidR="00181D98">
        <w:rPr>
          <w:rFonts w:ascii="Times New Roman" w:hAnsi="Times New Roman" w:cs="Times New Roman"/>
        </w:rPr>
        <w:t>Table 47, Row (18).</w:t>
      </w:r>
    </w:p>
    <w:p w14:paraId="45DF86F4" w14:textId="2AE6DC51" w:rsidR="00FC38D9" w:rsidRDefault="00FC38D9" w:rsidP="00B63C30">
      <w:pPr>
        <w:spacing w:line="480" w:lineRule="auto"/>
        <w:ind w:firstLine="720"/>
        <w:rPr>
          <w:rFonts w:ascii="Times New Roman" w:hAnsi="Times New Roman" w:cs="Times New Roman"/>
        </w:rPr>
      </w:pPr>
      <w:r w:rsidRPr="00F43406">
        <w:rPr>
          <w:rFonts w:ascii="Times New Roman" w:hAnsi="Times New Roman" w:cs="Times New Roman"/>
        </w:rPr>
        <w:t>A surprising number of debtors chose chapter 11 e</w:t>
      </w:r>
      <w:r>
        <w:rPr>
          <w:rFonts w:ascii="Times New Roman" w:hAnsi="Times New Roman" w:cs="Times New Roman"/>
        </w:rPr>
        <w:t xml:space="preserve">ven though they reported debts </w:t>
      </w:r>
      <w:r w:rsidRPr="00F43406">
        <w:rPr>
          <w:rFonts w:ascii="Times New Roman" w:hAnsi="Times New Roman" w:cs="Times New Roman"/>
        </w:rPr>
        <w:t xml:space="preserve">well below the chapter 13 debt limits. The figures in </w:t>
      </w:r>
      <w:r w:rsidR="00181D98">
        <w:rPr>
          <w:rFonts w:ascii="Times New Roman" w:hAnsi="Times New Roman" w:cs="Times New Roman"/>
        </w:rPr>
        <w:t>R</w:t>
      </w:r>
      <w:r w:rsidRPr="00F43406">
        <w:rPr>
          <w:rFonts w:ascii="Times New Roman" w:hAnsi="Times New Roman" w:cs="Times New Roman"/>
        </w:rPr>
        <w:t xml:space="preserve">ow (19) </w:t>
      </w:r>
      <w:r w:rsidR="00181D98">
        <w:rPr>
          <w:rFonts w:ascii="Times New Roman" w:hAnsi="Times New Roman" w:cs="Times New Roman"/>
        </w:rPr>
        <w:t xml:space="preserve">of Table 47 </w:t>
      </w:r>
      <w:r w:rsidRPr="00F43406">
        <w:rPr>
          <w:rFonts w:ascii="Times New Roman" w:hAnsi="Times New Roman" w:cs="Times New Roman"/>
        </w:rPr>
        <w:t xml:space="preserve">show that these debtors are much more likely to succeed, particularly </w:t>
      </w:r>
      <w:r>
        <w:rPr>
          <w:rFonts w:ascii="Times New Roman" w:hAnsi="Times New Roman" w:cs="Times New Roman"/>
        </w:rPr>
        <w:t xml:space="preserve">if plan confirmation is needed </w:t>
      </w:r>
      <w:r w:rsidRPr="00F43406">
        <w:rPr>
          <w:rFonts w:ascii="Times New Roman" w:hAnsi="Times New Roman" w:cs="Times New Roman"/>
        </w:rPr>
        <w:t>for success.</w:t>
      </w:r>
      <w:r w:rsidRPr="00B912DC">
        <w:rPr>
          <w:rStyle w:val="FootnoteReference"/>
          <w:rFonts w:ascii="Times New Roman" w:hAnsi="Times New Roman" w:cs="Times New Roman"/>
        </w:rPr>
        <w:footnoteReference w:id="255"/>
      </w:r>
      <w:r w:rsidRPr="00F43406">
        <w:rPr>
          <w:rFonts w:ascii="Times New Roman" w:hAnsi="Times New Roman" w:cs="Times New Roman"/>
        </w:rPr>
        <w:t xml:space="preserve"> There are two reasons why these cases may succeed more often. First,</w:t>
      </w:r>
      <w:r w:rsidR="00072858">
        <w:rPr>
          <w:rFonts w:ascii="Times New Roman" w:hAnsi="Times New Roman" w:cs="Times New Roman"/>
        </w:rPr>
        <w:t xml:space="preserve"> chapters 11 and 13 are quite different,</w:t>
      </w:r>
      <w:r w:rsidR="00072858">
        <w:rPr>
          <w:rStyle w:val="FootnoteReference"/>
          <w:rFonts w:ascii="Times New Roman" w:hAnsi="Times New Roman" w:cs="Times New Roman"/>
        </w:rPr>
        <w:footnoteReference w:id="256"/>
      </w:r>
      <w:r w:rsidR="00072858">
        <w:rPr>
          <w:rFonts w:ascii="Times New Roman" w:hAnsi="Times New Roman" w:cs="Times New Roman"/>
        </w:rPr>
        <w:t xml:space="preserve"> and each may be well-designed for some debtors but not others. The fact that these debtors chose chapter 11 over chapter 13 suggests that chapter 11 is well-designed for their needs. </w:t>
      </w:r>
      <w:r w:rsidRPr="00F43406">
        <w:rPr>
          <w:rFonts w:ascii="Times New Roman" w:hAnsi="Times New Roman" w:cs="Times New Roman"/>
        </w:rPr>
        <w:t xml:space="preserve">Second, there could be a scale effect. </w:t>
      </w:r>
      <w:r w:rsidR="00181D98">
        <w:rPr>
          <w:rFonts w:ascii="Times New Roman" w:hAnsi="Times New Roman" w:cs="Times New Roman"/>
        </w:rPr>
        <w:t xml:space="preserve">We tested the latter theory, and provide the results in </w:t>
      </w:r>
      <w:r w:rsidRPr="00F43406">
        <w:rPr>
          <w:rFonts w:ascii="Times New Roman" w:hAnsi="Times New Roman" w:cs="Times New Roman"/>
        </w:rPr>
        <w:t xml:space="preserve">Rows (26) and (27) </w:t>
      </w:r>
      <w:r w:rsidR="00181D98">
        <w:rPr>
          <w:rFonts w:ascii="Times New Roman" w:hAnsi="Times New Roman" w:cs="Times New Roman"/>
        </w:rPr>
        <w:t>of Table 48.</w:t>
      </w:r>
      <w:r w:rsidRPr="00F43406">
        <w:rPr>
          <w:rFonts w:ascii="Times New Roman" w:hAnsi="Times New Roman" w:cs="Times New Roman"/>
        </w:rPr>
        <w:t xml:space="preserve"> There seem</w:t>
      </w:r>
      <w:r w:rsidR="003665B8">
        <w:rPr>
          <w:rFonts w:ascii="Times New Roman" w:hAnsi="Times New Roman" w:cs="Times New Roman"/>
        </w:rPr>
        <w:t>s to be no</w:t>
      </w:r>
      <w:r w:rsidRPr="00F43406">
        <w:rPr>
          <w:rFonts w:ascii="Times New Roman" w:hAnsi="Times New Roman" w:cs="Times New Roman"/>
        </w:rPr>
        <w:t xml:space="preserve"> meaningful relationship between the log of the assets reported and our measures of success, but debtors with more debt appear </w:t>
      </w:r>
      <w:r w:rsidR="00C93801">
        <w:rPr>
          <w:rFonts w:ascii="Times New Roman" w:hAnsi="Times New Roman" w:cs="Times New Roman"/>
        </w:rPr>
        <w:t>less likely to confirm a plan.</w:t>
      </w:r>
    </w:p>
    <w:p w14:paraId="2E81F541" w14:textId="481F039F" w:rsidR="00FC38D9" w:rsidRDefault="00FC38D9" w:rsidP="00B63C30">
      <w:pPr>
        <w:pStyle w:val="ListParagraph"/>
        <w:spacing w:line="480" w:lineRule="auto"/>
        <w:ind w:left="0" w:firstLine="720"/>
        <w:rPr>
          <w:rFonts w:ascii="Times New Roman" w:hAnsi="Times New Roman" w:cs="Times New Roman"/>
          <w:b/>
        </w:rPr>
      </w:pPr>
      <w:r>
        <w:rPr>
          <w:rFonts w:ascii="Times New Roman" w:hAnsi="Times New Roman" w:cs="Times New Roman"/>
        </w:rPr>
        <w:t xml:space="preserve">In </w:t>
      </w:r>
      <w:r w:rsidRPr="00B912DC">
        <w:rPr>
          <w:rFonts w:ascii="Times New Roman" w:hAnsi="Times New Roman" w:cs="Times New Roman"/>
        </w:rPr>
        <w:t xml:space="preserve">Table </w:t>
      </w:r>
      <w:r w:rsidR="00DB4EAD">
        <w:rPr>
          <w:rFonts w:ascii="Times New Roman" w:hAnsi="Times New Roman" w:cs="Times New Roman"/>
        </w:rPr>
        <w:t>49</w:t>
      </w:r>
      <w:r>
        <w:rPr>
          <w:rFonts w:ascii="Times New Roman" w:hAnsi="Times New Roman" w:cs="Times New Roman"/>
        </w:rPr>
        <w:t xml:space="preserve">, we return to an examination of the impact of the APR on debtor </w:t>
      </w:r>
      <w:r w:rsidRPr="00B912DC">
        <w:rPr>
          <w:rFonts w:ascii="Times New Roman" w:hAnsi="Times New Roman" w:cs="Times New Roman"/>
        </w:rPr>
        <w:t xml:space="preserve">success. Using the random sample data, we </w:t>
      </w:r>
      <w:r>
        <w:rPr>
          <w:rFonts w:ascii="Times New Roman" w:hAnsi="Times New Roman" w:cs="Times New Roman"/>
        </w:rPr>
        <w:t>tested</w:t>
      </w:r>
      <w:r w:rsidRPr="00B912DC">
        <w:rPr>
          <w:rFonts w:ascii="Times New Roman" w:hAnsi="Times New Roman" w:cs="Times New Roman"/>
        </w:rPr>
        <w:t xml:space="preserve"> the effect, if any, of the broad versus the narrow view of the APR exception on success rates, using the three measures described earlier.  </w:t>
      </w:r>
    </w:p>
    <w:p w14:paraId="349ABEF8" w14:textId="77777777" w:rsidR="00E37ECB" w:rsidRPr="00B912DC" w:rsidRDefault="00E37ECB" w:rsidP="00E37ECB">
      <w:pPr>
        <w:keepNext/>
        <w:keepLines/>
        <w:spacing w:line="480" w:lineRule="auto"/>
        <w:rPr>
          <w:rFonts w:ascii="Times New Roman" w:hAnsi="Times New Roman" w:cs="Times New Roman"/>
          <w:b/>
        </w:rPr>
      </w:pPr>
      <w:r w:rsidRPr="00B912DC">
        <w:rPr>
          <w:rFonts w:ascii="Times New Roman" w:hAnsi="Times New Roman" w:cs="Times New Roman"/>
          <w:b/>
        </w:rPr>
        <w:t>Table</w:t>
      </w:r>
      <w:r>
        <w:rPr>
          <w:rFonts w:ascii="Times New Roman" w:hAnsi="Times New Roman" w:cs="Times New Roman"/>
          <w:b/>
        </w:rPr>
        <w:t xml:space="preserve"> 49: Success and</w:t>
      </w:r>
      <w:r w:rsidRPr="00B912DC">
        <w:rPr>
          <w:rFonts w:ascii="Times New Roman" w:hAnsi="Times New Roman" w:cs="Times New Roman"/>
          <w:b/>
        </w:rPr>
        <w:t xml:space="preserve"> Interpretation of the </w:t>
      </w:r>
      <w:r>
        <w:rPr>
          <w:rFonts w:ascii="Times New Roman" w:hAnsi="Times New Roman" w:cs="Times New Roman"/>
          <w:b/>
        </w:rPr>
        <w:t xml:space="preserve">APR Exception—Random Sample </w:t>
      </w:r>
    </w:p>
    <w:tbl>
      <w:tblPr>
        <w:tblStyle w:val="TableGrid"/>
        <w:tblW w:w="0" w:type="auto"/>
        <w:tblLook w:val="04A0" w:firstRow="1" w:lastRow="0" w:firstColumn="1" w:lastColumn="0" w:noHBand="0" w:noVBand="1"/>
      </w:tblPr>
      <w:tblGrid>
        <w:gridCol w:w="2155"/>
        <w:gridCol w:w="2183"/>
        <w:gridCol w:w="2145"/>
        <w:gridCol w:w="2129"/>
      </w:tblGrid>
      <w:tr w:rsidR="00E37ECB" w:rsidRPr="00B912DC" w14:paraId="7554DF2A" w14:textId="77777777" w:rsidTr="00560FBA">
        <w:tc>
          <w:tcPr>
            <w:tcW w:w="2214" w:type="dxa"/>
            <w:vMerge w:val="restart"/>
            <w:tcBorders>
              <w:top w:val="single" w:sz="18" w:space="0" w:color="auto"/>
              <w:left w:val="single" w:sz="18" w:space="0" w:color="auto"/>
              <w:right w:val="single" w:sz="18" w:space="0" w:color="auto"/>
            </w:tcBorders>
          </w:tcPr>
          <w:p w14:paraId="2F9D02AB" w14:textId="77777777" w:rsidR="00E37ECB" w:rsidRPr="00B912DC" w:rsidRDefault="00E37ECB" w:rsidP="00560FBA">
            <w:pPr>
              <w:keepNext/>
              <w:keepLines/>
              <w:jc w:val="center"/>
              <w:rPr>
                <w:rFonts w:ascii="Times New Roman" w:hAnsi="Times New Roman" w:cs="Times New Roman"/>
                <w:b/>
                <w:i/>
              </w:rPr>
            </w:pPr>
          </w:p>
          <w:p w14:paraId="357C140B" w14:textId="77777777" w:rsidR="00E37ECB" w:rsidRDefault="00E37ECB" w:rsidP="00560FBA">
            <w:pPr>
              <w:keepNext/>
              <w:keepLines/>
              <w:jc w:val="center"/>
              <w:rPr>
                <w:rFonts w:ascii="Times New Roman" w:hAnsi="Times New Roman" w:cs="Times New Roman"/>
                <w:b/>
                <w:i/>
              </w:rPr>
            </w:pPr>
            <w:r w:rsidRPr="00B912DC">
              <w:rPr>
                <w:rFonts w:ascii="Times New Roman" w:hAnsi="Times New Roman" w:cs="Times New Roman"/>
                <w:b/>
                <w:i/>
              </w:rPr>
              <w:t>Precedent</w:t>
            </w:r>
          </w:p>
          <w:p w14:paraId="7419AD21" w14:textId="77777777" w:rsidR="00E37ECB" w:rsidRPr="00B912DC" w:rsidRDefault="00E37ECB" w:rsidP="00560FBA">
            <w:pPr>
              <w:keepNext/>
              <w:keepLines/>
              <w:jc w:val="center"/>
              <w:rPr>
                <w:rFonts w:ascii="Times New Roman" w:hAnsi="Times New Roman" w:cs="Times New Roman"/>
                <w:b/>
                <w:i/>
              </w:rPr>
            </w:pPr>
            <w:r w:rsidRPr="00B912DC">
              <w:rPr>
                <w:rFonts w:ascii="Times New Roman" w:hAnsi="Times New Roman" w:cs="Times New Roman"/>
                <w:b/>
                <w:i/>
              </w:rPr>
              <w:t xml:space="preserve"> </w:t>
            </w:r>
            <w:r w:rsidRPr="00B912DC">
              <w:rPr>
                <w:rFonts w:ascii="Times New Roman" w:hAnsi="Times New Roman" w:cs="Times New Roman"/>
              </w:rPr>
              <w:t>(# of cases)</w:t>
            </w:r>
          </w:p>
        </w:tc>
        <w:tc>
          <w:tcPr>
            <w:tcW w:w="2214" w:type="dxa"/>
            <w:tcBorders>
              <w:top w:val="single" w:sz="18" w:space="0" w:color="auto"/>
              <w:left w:val="single" w:sz="18" w:space="0" w:color="auto"/>
              <w:bottom w:val="single" w:sz="8" w:space="0" w:color="auto"/>
              <w:right w:val="single" w:sz="18" w:space="0" w:color="auto"/>
            </w:tcBorders>
          </w:tcPr>
          <w:p w14:paraId="1813C19A" w14:textId="77777777" w:rsidR="00E37ECB" w:rsidRPr="00B912DC" w:rsidRDefault="00E37ECB" w:rsidP="00560FBA">
            <w:pPr>
              <w:pStyle w:val="ListParagraph"/>
              <w:keepNext/>
              <w:keepLines/>
              <w:numPr>
                <w:ilvl w:val="0"/>
                <w:numId w:val="25"/>
              </w:numPr>
              <w:jc w:val="center"/>
              <w:rPr>
                <w:rFonts w:ascii="Times New Roman" w:hAnsi="Times New Roman" w:cs="Times New Roman"/>
              </w:rPr>
            </w:pPr>
          </w:p>
          <w:p w14:paraId="48F6F91A" w14:textId="77777777" w:rsidR="00E37ECB" w:rsidRPr="00B912DC" w:rsidRDefault="00E37ECB" w:rsidP="00560FBA">
            <w:pPr>
              <w:pStyle w:val="ListParagraph"/>
              <w:keepNext/>
              <w:keepLines/>
              <w:rPr>
                <w:rFonts w:ascii="Times New Roman" w:hAnsi="Times New Roman" w:cs="Times New Roman"/>
              </w:rPr>
            </w:pPr>
            <w:r w:rsidRPr="00B912DC">
              <w:rPr>
                <w:rFonts w:ascii="Times New Roman" w:hAnsi="Times New Roman" w:cs="Times New Roman"/>
              </w:rPr>
              <w:t>Survive</w:t>
            </w:r>
          </w:p>
        </w:tc>
        <w:tc>
          <w:tcPr>
            <w:tcW w:w="2214" w:type="dxa"/>
            <w:tcBorders>
              <w:top w:val="single" w:sz="18" w:space="0" w:color="auto"/>
              <w:left w:val="single" w:sz="18" w:space="0" w:color="auto"/>
              <w:bottom w:val="single" w:sz="8" w:space="0" w:color="auto"/>
              <w:right w:val="single" w:sz="18" w:space="0" w:color="auto"/>
            </w:tcBorders>
          </w:tcPr>
          <w:p w14:paraId="45BF3136" w14:textId="77777777" w:rsidR="00E37ECB" w:rsidRPr="00B912DC" w:rsidRDefault="00E37ECB" w:rsidP="00560FBA">
            <w:pPr>
              <w:keepNext/>
              <w:keepLines/>
              <w:jc w:val="center"/>
              <w:rPr>
                <w:rFonts w:ascii="Times New Roman" w:hAnsi="Times New Roman" w:cs="Times New Roman"/>
              </w:rPr>
            </w:pPr>
            <w:r w:rsidRPr="00B912DC">
              <w:rPr>
                <w:rFonts w:ascii="Times New Roman" w:hAnsi="Times New Roman" w:cs="Times New Roman"/>
              </w:rPr>
              <w:t>(B)</w:t>
            </w:r>
          </w:p>
          <w:p w14:paraId="52CFCB7E" w14:textId="77777777" w:rsidR="00E37ECB" w:rsidRPr="00B912DC" w:rsidRDefault="00E37ECB" w:rsidP="00560FBA">
            <w:pPr>
              <w:keepNext/>
              <w:keepLines/>
              <w:jc w:val="center"/>
              <w:rPr>
                <w:rFonts w:ascii="Times New Roman" w:hAnsi="Times New Roman" w:cs="Times New Roman"/>
              </w:rPr>
            </w:pPr>
            <w:r w:rsidRPr="00B912DC">
              <w:rPr>
                <w:rFonts w:ascii="Times New Roman" w:hAnsi="Times New Roman" w:cs="Times New Roman"/>
              </w:rPr>
              <w:t>Confirm</w:t>
            </w:r>
          </w:p>
        </w:tc>
        <w:tc>
          <w:tcPr>
            <w:tcW w:w="2214" w:type="dxa"/>
            <w:tcBorders>
              <w:top w:val="single" w:sz="18" w:space="0" w:color="auto"/>
              <w:left w:val="single" w:sz="18" w:space="0" w:color="auto"/>
              <w:bottom w:val="single" w:sz="8" w:space="0" w:color="auto"/>
            </w:tcBorders>
          </w:tcPr>
          <w:p w14:paraId="08BE89AD" w14:textId="77777777" w:rsidR="00E37ECB" w:rsidRPr="00B912DC" w:rsidRDefault="00E37ECB" w:rsidP="00560FBA">
            <w:pPr>
              <w:keepNext/>
              <w:keepLines/>
              <w:jc w:val="center"/>
              <w:rPr>
                <w:rFonts w:ascii="Times New Roman" w:hAnsi="Times New Roman" w:cs="Times New Roman"/>
              </w:rPr>
            </w:pPr>
            <w:r w:rsidRPr="00B912DC">
              <w:rPr>
                <w:rFonts w:ascii="Times New Roman" w:hAnsi="Times New Roman" w:cs="Times New Roman"/>
              </w:rPr>
              <w:t>(C)</w:t>
            </w:r>
          </w:p>
          <w:p w14:paraId="10B470B7" w14:textId="77777777" w:rsidR="00E37ECB" w:rsidRPr="00B912DC" w:rsidRDefault="00E37ECB" w:rsidP="00560FBA">
            <w:pPr>
              <w:keepNext/>
              <w:keepLines/>
              <w:jc w:val="center"/>
              <w:rPr>
                <w:rFonts w:ascii="Times New Roman" w:hAnsi="Times New Roman" w:cs="Times New Roman"/>
              </w:rPr>
            </w:pPr>
            <w:r w:rsidRPr="00B912DC">
              <w:rPr>
                <w:rFonts w:ascii="Times New Roman" w:hAnsi="Times New Roman" w:cs="Times New Roman"/>
              </w:rPr>
              <w:t>S</w:t>
            </w:r>
            <w:r>
              <w:rPr>
                <w:rFonts w:ascii="Times New Roman" w:hAnsi="Times New Roman" w:cs="Times New Roman"/>
              </w:rPr>
              <w:t>&amp;C</w:t>
            </w:r>
          </w:p>
        </w:tc>
      </w:tr>
      <w:tr w:rsidR="00E37ECB" w:rsidRPr="00B912DC" w14:paraId="3F81C508" w14:textId="77777777" w:rsidTr="00560FBA">
        <w:tc>
          <w:tcPr>
            <w:tcW w:w="2214" w:type="dxa"/>
            <w:vMerge/>
            <w:tcBorders>
              <w:left w:val="single" w:sz="18" w:space="0" w:color="auto"/>
              <w:bottom w:val="single" w:sz="18" w:space="0" w:color="auto"/>
              <w:right w:val="single" w:sz="18" w:space="0" w:color="auto"/>
            </w:tcBorders>
          </w:tcPr>
          <w:p w14:paraId="5402416C" w14:textId="77777777" w:rsidR="00E37ECB" w:rsidRPr="00B912DC" w:rsidRDefault="00E37ECB" w:rsidP="00560FBA">
            <w:pPr>
              <w:keepNext/>
              <w:keepLines/>
              <w:jc w:val="center"/>
              <w:rPr>
                <w:rFonts w:ascii="Times New Roman" w:hAnsi="Times New Roman" w:cs="Times New Roman"/>
                <w:b/>
                <w:i/>
              </w:rPr>
            </w:pPr>
          </w:p>
        </w:tc>
        <w:tc>
          <w:tcPr>
            <w:tcW w:w="2214" w:type="dxa"/>
            <w:tcBorders>
              <w:top w:val="single" w:sz="8" w:space="0" w:color="auto"/>
              <w:left w:val="single" w:sz="18" w:space="0" w:color="auto"/>
              <w:bottom w:val="single" w:sz="18" w:space="0" w:color="auto"/>
              <w:right w:val="single" w:sz="18" w:space="0" w:color="auto"/>
            </w:tcBorders>
          </w:tcPr>
          <w:p w14:paraId="7594AD1D" w14:textId="77777777" w:rsidR="00E37ECB" w:rsidRPr="00B912DC" w:rsidRDefault="00E37ECB" w:rsidP="00560FBA">
            <w:pPr>
              <w:keepNext/>
              <w:keepLines/>
              <w:tabs>
                <w:tab w:val="left" w:pos="216"/>
              </w:tabs>
              <w:jc w:val="center"/>
              <w:rPr>
                <w:rFonts w:ascii="Times New Roman" w:hAnsi="Times New Roman" w:cs="Times New Roman"/>
              </w:rPr>
            </w:pPr>
            <w:r>
              <w:rPr>
                <w:rFonts w:ascii="Times New Roman" w:hAnsi="Times New Roman" w:cs="Times New Roman"/>
              </w:rPr>
              <w:t>Mean</w:t>
            </w:r>
          </w:p>
        </w:tc>
        <w:tc>
          <w:tcPr>
            <w:tcW w:w="2214" w:type="dxa"/>
            <w:tcBorders>
              <w:top w:val="single" w:sz="8" w:space="0" w:color="auto"/>
              <w:left w:val="single" w:sz="18" w:space="0" w:color="auto"/>
              <w:bottom w:val="single" w:sz="18" w:space="0" w:color="auto"/>
              <w:right w:val="single" w:sz="18" w:space="0" w:color="auto"/>
            </w:tcBorders>
          </w:tcPr>
          <w:p w14:paraId="63C22C6A" w14:textId="77777777" w:rsidR="00E37ECB" w:rsidRPr="00B912DC" w:rsidRDefault="00E37ECB" w:rsidP="00560FBA">
            <w:pPr>
              <w:keepNext/>
              <w:keepLines/>
              <w:jc w:val="center"/>
              <w:rPr>
                <w:rFonts w:ascii="Times New Roman" w:hAnsi="Times New Roman" w:cs="Times New Roman"/>
              </w:rPr>
            </w:pPr>
            <w:r w:rsidRPr="00B912DC">
              <w:rPr>
                <w:rFonts w:ascii="Times New Roman" w:hAnsi="Times New Roman" w:cs="Times New Roman"/>
              </w:rPr>
              <w:t>Mean</w:t>
            </w:r>
          </w:p>
        </w:tc>
        <w:tc>
          <w:tcPr>
            <w:tcW w:w="2214" w:type="dxa"/>
            <w:tcBorders>
              <w:top w:val="single" w:sz="8" w:space="0" w:color="auto"/>
              <w:left w:val="single" w:sz="18" w:space="0" w:color="auto"/>
              <w:bottom w:val="single" w:sz="18" w:space="0" w:color="auto"/>
            </w:tcBorders>
          </w:tcPr>
          <w:p w14:paraId="2B2EDA84" w14:textId="77777777" w:rsidR="00E37ECB" w:rsidRPr="00B912DC" w:rsidRDefault="00E37ECB" w:rsidP="00560FBA">
            <w:pPr>
              <w:keepNext/>
              <w:keepLines/>
              <w:jc w:val="center"/>
              <w:rPr>
                <w:rFonts w:ascii="Times New Roman" w:hAnsi="Times New Roman" w:cs="Times New Roman"/>
              </w:rPr>
            </w:pPr>
            <w:r w:rsidRPr="00B912DC">
              <w:rPr>
                <w:rFonts w:ascii="Times New Roman" w:hAnsi="Times New Roman" w:cs="Times New Roman"/>
              </w:rPr>
              <w:t>Mean</w:t>
            </w:r>
          </w:p>
        </w:tc>
      </w:tr>
      <w:tr w:rsidR="00E37ECB" w:rsidRPr="00B912DC" w14:paraId="485E9F5F" w14:textId="77777777" w:rsidTr="00560FBA">
        <w:tc>
          <w:tcPr>
            <w:tcW w:w="2214" w:type="dxa"/>
            <w:tcBorders>
              <w:top w:val="single" w:sz="18" w:space="0" w:color="auto"/>
              <w:right w:val="single" w:sz="18" w:space="0" w:color="auto"/>
            </w:tcBorders>
          </w:tcPr>
          <w:p w14:paraId="70709DE4" w14:textId="77777777" w:rsidR="00E37ECB" w:rsidRPr="00B912DC" w:rsidRDefault="00E37ECB" w:rsidP="00560FBA">
            <w:pPr>
              <w:keepNext/>
              <w:keepLines/>
              <w:rPr>
                <w:rFonts w:ascii="Times New Roman" w:hAnsi="Times New Roman" w:cs="Times New Roman"/>
              </w:rPr>
            </w:pPr>
            <w:r w:rsidRPr="00B912DC">
              <w:rPr>
                <w:rFonts w:ascii="Times New Roman" w:hAnsi="Times New Roman" w:cs="Times New Roman"/>
              </w:rPr>
              <w:t>Broad</w:t>
            </w:r>
            <w:r>
              <w:rPr>
                <w:rFonts w:ascii="Times New Roman" w:hAnsi="Times New Roman" w:cs="Times New Roman"/>
              </w:rPr>
              <w:t xml:space="preserve"> (30)</w:t>
            </w:r>
          </w:p>
        </w:tc>
        <w:tc>
          <w:tcPr>
            <w:tcW w:w="2214" w:type="dxa"/>
            <w:tcBorders>
              <w:top w:val="single" w:sz="18" w:space="0" w:color="auto"/>
              <w:left w:val="single" w:sz="18" w:space="0" w:color="auto"/>
              <w:right w:val="single" w:sz="18" w:space="0" w:color="auto"/>
            </w:tcBorders>
          </w:tcPr>
          <w:p w14:paraId="2B6639CD" w14:textId="77777777" w:rsidR="00E37ECB" w:rsidRPr="00B912DC" w:rsidRDefault="00E37ECB" w:rsidP="00560FBA">
            <w:pPr>
              <w:keepNext/>
              <w:keepLines/>
              <w:jc w:val="right"/>
              <w:rPr>
                <w:rFonts w:ascii="Times New Roman" w:hAnsi="Times New Roman" w:cs="Times New Roman"/>
              </w:rPr>
            </w:pPr>
            <w:r>
              <w:rPr>
                <w:rFonts w:ascii="Times New Roman" w:hAnsi="Times New Roman" w:cs="Times New Roman"/>
              </w:rPr>
              <w:t>53.33</w:t>
            </w:r>
          </w:p>
        </w:tc>
        <w:tc>
          <w:tcPr>
            <w:tcW w:w="2214" w:type="dxa"/>
            <w:tcBorders>
              <w:top w:val="single" w:sz="18" w:space="0" w:color="auto"/>
              <w:left w:val="single" w:sz="18" w:space="0" w:color="auto"/>
              <w:right w:val="single" w:sz="18" w:space="0" w:color="auto"/>
            </w:tcBorders>
          </w:tcPr>
          <w:p w14:paraId="0BC43EA0" w14:textId="77777777" w:rsidR="00E37ECB" w:rsidRPr="00B912DC" w:rsidRDefault="00E37ECB" w:rsidP="00560FBA">
            <w:pPr>
              <w:keepNext/>
              <w:keepLines/>
              <w:jc w:val="right"/>
              <w:rPr>
                <w:rFonts w:ascii="Times New Roman" w:hAnsi="Times New Roman" w:cs="Times New Roman"/>
              </w:rPr>
            </w:pPr>
            <w:r>
              <w:rPr>
                <w:rFonts w:ascii="Times New Roman" w:hAnsi="Times New Roman" w:cs="Times New Roman"/>
              </w:rPr>
              <w:t>53.33</w:t>
            </w:r>
          </w:p>
        </w:tc>
        <w:tc>
          <w:tcPr>
            <w:tcW w:w="2214" w:type="dxa"/>
            <w:tcBorders>
              <w:top w:val="single" w:sz="18" w:space="0" w:color="auto"/>
              <w:left w:val="single" w:sz="18" w:space="0" w:color="auto"/>
            </w:tcBorders>
          </w:tcPr>
          <w:p w14:paraId="02A328BD" w14:textId="77777777" w:rsidR="00E37ECB" w:rsidRPr="00B912DC" w:rsidRDefault="00E37ECB" w:rsidP="00560FBA">
            <w:pPr>
              <w:keepNext/>
              <w:keepLines/>
              <w:jc w:val="right"/>
              <w:rPr>
                <w:rFonts w:ascii="Times New Roman" w:hAnsi="Times New Roman" w:cs="Times New Roman"/>
              </w:rPr>
            </w:pPr>
            <w:r>
              <w:rPr>
                <w:rFonts w:ascii="Times New Roman" w:hAnsi="Times New Roman" w:cs="Times New Roman"/>
              </w:rPr>
              <w:t>50.00</w:t>
            </w:r>
          </w:p>
        </w:tc>
      </w:tr>
      <w:tr w:rsidR="00E37ECB" w:rsidRPr="00B912DC" w14:paraId="29025DEC" w14:textId="77777777" w:rsidTr="00560FBA">
        <w:tc>
          <w:tcPr>
            <w:tcW w:w="2214" w:type="dxa"/>
            <w:tcBorders>
              <w:right w:val="single" w:sz="18" w:space="0" w:color="auto"/>
            </w:tcBorders>
          </w:tcPr>
          <w:p w14:paraId="7114C8A4" w14:textId="77777777" w:rsidR="00E37ECB" w:rsidRPr="00B912DC" w:rsidRDefault="00E37ECB" w:rsidP="00560FBA">
            <w:pPr>
              <w:keepNext/>
              <w:keepLines/>
              <w:rPr>
                <w:rFonts w:ascii="Times New Roman" w:hAnsi="Times New Roman" w:cs="Times New Roman"/>
              </w:rPr>
            </w:pPr>
            <w:r w:rsidRPr="00B912DC">
              <w:rPr>
                <w:rFonts w:ascii="Times New Roman" w:hAnsi="Times New Roman" w:cs="Times New Roman"/>
              </w:rPr>
              <w:t>No Precedent</w:t>
            </w:r>
            <w:r>
              <w:rPr>
                <w:rFonts w:ascii="Times New Roman" w:hAnsi="Times New Roman" w:cs="Times New Roman"/>
              </w:rPr>
              <w:t xml:space="preserve"> (118)</w:t>
            </w:r>
          </w:p>
        </w:tc>
        <w:tc>
          <w:tcPr>
            <w:tcW w:w="2214" w:type="dxa"/>
            <w:tcBorders>
              <w:left w:val="single" w:sz="18" w:space="0" w:color="auto"/>
              <w:right w:val="single" w:sz="18" w:space="0" w:color="auto"/>
            </w:tcBorders>
          </w:tcPr>
          <w:p w14:paraId="45623736" w14:textId="77777777" w:rsidR="00E37ECB" w:rsidRPr="00B912DC" w:rsidRDefault="00E37ECB" w:rsidP="00560FBA">
            <w:pPr>
              <w:keepNext/>
              <w:keepLines/>
              <w:jc w:val="right"/>
              <w:rPr>
                <w:rFonts w:ascii="Times New Roman" w:hAnsi="Times New Roman" w:cs="Times New Roman"/>
              </w:rPr>
            </w:pPr>
            <w:r>
              <w:rPr>
                <w:rFonts w:ascii="Times New Roman" w:hAnsi="Times New Roman" w:cs="Times New Roman"/>
              </w:rPr>
              <w:t xml:space="preserve"> 43.22</w:t>
            </w:r>
          </w:p>
        </w:tc>
        <w:tc>
          <w:tcPr>
            <w:tcW w:w="2214" w:type="dxa"/>
            <w:tcBorders>
              <w:left w:val="single" w:sz="18" w:space="0" w:color="auto"/>
              <w:right w:val="single" w:sz="18" w:space="0" w:color="auto"/>
            </w:tcBorders>
          </w:tcPr>
          <w:p w14:paraId="63ECE15D" w14:textId="77777777" w:rsidR="00E37ECB" w:rsidRPr="00B912DC" w:rsidRDefault="00E37ECB" w:rsidP="00560FBA">
            <w:pPr>
              <w:keepNext/>
              <w:keepLines/>
              <w:jc w:val="right"/>
              <w:rPr>
                <w:rFonts w:ascii="Times New Roman" w:hAnsi="Times New Roman" w:cs="Times New Roman"/>
              </w:rPr>
            </w:pPr>
            <w:r>
              <w:rPr>
                <w:rFonts w:ascii="Times New Roman" w:hAnsi="Times New Roman" w:cs="Times New Roman"/>
              </w:rPr>
              <w:t xml:space="preserve">38.98 </w:t>
            </w:r>
          </w:p>
        </w:tc>
        <w:tc>
          <w:tcPr>
            <w:tcW w:w="2214" w:type="dxa"/>
            <w:tcBorders>
              <w:left w:val="single" w:sz="18" w:space="0" w:color="auto"/>
            </w:tcBorders>
          </w:tcPr>
          <w:p w14:paraId="118EA952" w14:textId="77777777" w:rsidR="00E37ECB" w:rsidRPr="00B912DC" w:rsidRDefault="00E37ECB" w:rsidP="00560FBA">
            <w:pPr>
              <w:keepNext/>
              <w:keepLines/>
              <w:jc w:val="right"/>
              <w:rPr>
                <w:rFonts w:ascii="Times New Roman" w:hAnsi="Times New Roman" w:cs="Times New Roman"/>
              </w:rPr>
            </w:pPr>
            <w:r>
              <w:rPr>
                <w:rFonts w:ascii="Times New Roman" w:hAnsi="Times New Roman" w:cs="Times New Roman"/>
              </w:rPr>
              <w:t xml:space="preserve">36.44 </w:t>
            </w:r>
          </w:p>
        </w:tc>
      </w:tr>
      <w:tr w:rsidR="00E37ECB" w:rsidRPr="00B912DC" w14:paraId="3BCD7533" w14:textId="77777777" w:rsidTr="00560FBA">
        <w:tc>
          <w:tcPr>
            <w:tcW w:w="2214" w:type="dxa"/>
            <w:tcBorders>
              <w:bottom w:val="thinThickThinSmallGap" w:sz="18" w:space="0" w:color="auto"/>
              <w:right w:val="single" w:sz="18" w:space="0" w:color="auto"/>
            </w:tcBorders>
          </w:tcPr>
          <w:p w14:paraId="5AD9E3E0" w14:textId="77777777" w:rsidR="00E37ECB" w:rsidRPr="00B912DC" w:rsidRDefault="00E37ECB" w:rsidP="00560FBA">
            <w:pPr>
              <w:keepNext/>
              <w:keepLines/>
              <w:rPr>
                <w:rFonts w:ascii="Times New Roman" w:hAnsi="Times New Roman" w:cs="Times New Roman"/>
              </w:rPr>
            </w:pPr>
            <w:r w:rsidRPr="00B912DC">
              <w:rPr>
                <w:rFonts w:ascii="Times New Roman" w:hAnsi="Times New Roman" w:cs="Times New Roman"/>
              </w:rPr>
              <w:t>Narrow</w:t>
            </w:r>
            <w:r>
              <w:rPr>
                <w:rFonts w:ascii="Times New Roman" w:hAnsi="Times New Roman" w:cs="Times New Roman"/>
              </w:rPr>
              <w:t xml:space="preserve"> (75)</w:t>
            </w:r>
          </w:p>
        </w:tc>
        <w:tc>
          <w:tcPr>
            <w:tcW w:w="2214" w:type="dxa"/>
            <w:tcBorders>
              <w:left w:val="single" w:sz="18" w:space="0" w:color="auto"/>
              <w:right w:val="single" w:sz="18" w:space="0" w:color="auto"/>
            </w:tcBorders>
          </w:tcPr>
          <w:p w14:paraId="7407EA9A" w14:textId="77777777" w:rsidR="00E37ECB" w:rsidRPr="00B912DC" w:rsidRDefault="00E37ECB" w:rsidP="00560FBA">
            <w:pPr>
              <w:keepNext/>
              <w:keepLines/>
              <w:jc w:val="right"/>
              <w:rPr>
                <w:rFonts w:ascii="Times New Roman" w:hAnsi="Times New Roman" w:cs="Times New Roman"/>
              </w:rPr>
            </w:pPr>
            <w:r>
              <w:rPr>
                <w:rFonts w:ascii="Times New Roman" w:hAnsi="Times New Roman" w:cs="Times New Roman"/>
              </w:rPr>
              <w:t>33.33</w:t>
            </w:r>
            <w:r w:rsidRPr="00B912DC">
              <w:rPr>
                <w:rFonts w:ascii="Times New Roman" w:hAnsi="Times New Roman" w:cs="Times New Roman"/>
              </w:rPr>
              <w:t xml:space="preserve"> </w:t>
            </w:r>
          </w:p>
        </w:tc>
        <w:tc>
          <w:tcPr>
            <w:tcW w:w="2214" w:type="dxa"/>
            <w:tcBorders>
              <w:left w:val="single" w:sz="18" w:space="0" w:color="auto"/>
              <w:right w:val="single" w:sz="18" w:space="0" w:color="auto"/>
            </w:tcBorders>
          </w:tcPr>
          <w:p w14:paraId="6EC01B2A" w14:textId="77777777" w:rsidR="00E37ECB" w:rsidRPr="00B912DC" w:rsidRDefault="00E37ECB" w:rsidP="00560FBA">
            <w:pPr>
              <w:keepNext/>
              <w:keepLines/>
              <w:jc w:val="right"/>
              <w:rPr>
                <w:rFonts w:ascii="Times New Roman" w:hAnsi="Times New Roman" w:cs="Times New Roman"/>
              </w:rPr>
            </w:pPr>
            <w:r>
              <w:rPr>
                <w:rFonts w:ascii="Times New Roman" w:hAnsi="Times New Roman" w:cs="Times New Roman"/>
              </w:rPr>
              <w:t xml:space="preserve">32.00 </w:t>
            </w:r>
          </w:p>
        </w:tc>
        <w:tc>
          <w:tcPr>
            <w:tcW w:w="2214" w:type="dxa"/>
            <w:tcBorders>
              <w:left w:val="single" w:sz="18" w:space="0" w:color="auto"/>
            </w:tcBorders>
          </w:tcPr>
          <w:p w14:paraId="5ADF18F6" w14:textId="77777777" w:rsidR="00E37ECB" w:rsidRPr="00B912DC" w:rsidRDefault="00E37ECB" w:rsidP="00560FBA">
            <w:pPr>
              <w:keepNext/>
              <w:keepLines/>
              <w:jc w:val="right"/>
              <w:rPr>
                <w:rFonts w:ascii="Times New Roman" w:hAnsi="Times New Roman" w:cs="Times New Roman"/>
              </w:rPr>
            </w:pPr>
            <w:r>
              <w:rPr>
                <w:rFonts w:ascii="Times New Roman" w:hAnsi="Times New Roman" w:cs="Times New Roman"/>
              </w:rPr>
              <w:t>29.33</w:t>
            </w:r>
            <w:r w:rsidRPr="00B912DC">
              <w:rPr>
                <w:rFonts w:ascii="Times New Roman" w:hAnsi="Times New Roman" w:cs="Times New Roman"/>
              </w:rPr>
              <w:t xml:space="preserve"> </w:t>
            </w:r>
          </w:p>
        </w:tc>
      </w:tr>
      <w:tr w:rsidR="00E37ECB" w:rsidRPr="00B912DC" w14:paraId="4331BD96" w14:textId="77777777" w:rsidTr="00560FBA">
        <w:tc>
          <w:tcPr>
            <w:tcW w:w="2214" w:type="dxa"/>
            <w:tcBorders>
              <w:top w:val="thinThickThinSmallGap" w:sz="18" w:space="0" w:color="auto"/>
              <w:right w:val="single" w:sz="18" w:space="0" w:color="auto"/>
            </w:tcBorders>
          </w:tcPr>
          <w:p w14:paraId="54160B94" w14:textId="77777777" w:rsidR="00E37ECB" w:rsidRPr="00B912DC" w:rsidRDefault="00E37ECB" w:rsidP="00560FBA">
            <w:pPr>
              <w:keepNext/>
              <w:keepLines/>
              <w:rPr>
                <w:rFonts w:ascii="Times New Roman" w:hAnsi="Times New Roman" w:cs="Times New Roman"/>
              </w:rPr>
            </w:pPr>
            <w:r w:rsidRPr="00B912DC">
              <w:rPr>
                <w:rFonts w:ascii="Times New Roman" w:hAnsi="Times New Roman" w:cs="Times New Roman"/>
              </w:rPr>
              <w:t>Broad</w:t>
            </w:r>
            <w:r>
              <w:rPr>
                <w:rFonts w:ascii="Times New Roman" w:hAnsi="Times New Roman" w:cs="Times New Roman"/>
              </w:rPr>
              <w:t xml:space="preserve"> Circuit (31)</w:t>
            </w:r>
          </w:p>
        </w:tc>
        <w:tc>
          <w:tcPr>
            <w:tcW w:w="2214" w:type="dxa"/>
            <w:tcBorders>
              <w:top w:val="thinThickThinSmallGap" w:sz="18" w:space="0" w:color="auto"/>
              <w:left w:val="single" w:sz="18" w:space="0" w:color="auto"/>
              <w:right w:val="single" w:sz="18" w:space="0" w:color="auto"/>
            </w:tcBorders>
          </w:tcPr>
          <w:p w14:paraId="6CC715BD" w14:textId="77777777" w:rsidR="00E37ECB" w:rsidRPr="00B912DC" w:rsidRDefault="00E37ECB" w:rsidP="00560FBA">
            <w:pPr>
              <w:keepNext/>
              <w:keepLines/>
              <w:jc w:val="right"/>
              <w:rPr>
                <w:rFonts w:ascii="Times New Roman" w:hAnsi="Times New Roman" w:cs="Times New Roman"/>
              </w:rPr>
            </w:pPr>
            <w:r w:rsidRPr="00B912DC">
              <w:rPr>
                <w:rFonts w:ascii="Times New Roman" w:hAnsi="Times New Roman" w:cs="Times New Roman"/>
              </w:rPr>
              <w:t>4</w:t>
            </w:r>
            <w:r>
              <w:rPr>
                <w:rFonts w:ascii="Times New Roman" w:hAnsi="Times New Roman" w:cs="Times New Roman"/>
              </w:rPr>
              <w:t>5</w:t>
            </w:r>
            <w:r w:rsidRPr="00B912DC">
              <w:rPr>
                <w:rFonts w:ascii="Times New Roman" w:hAnsi="Times New Roman" w:cs="Times New Roman"/>
              </w:rPr>
              <w:t>.</w:t>
            </w:r>
            <w:r>
              <w:rPr>
                <w:rFonts w:ascii="Times New Roman" w:hAnsi="Times New Roman" w:cs="Times New Roman"/>
              </w:rPr>
              <w:t>16</w:t>
            </w:r>
          </w:p>
        </w:tc>
        <w:tc>
          <w:tcPr>
            <w:tcW w:w="2214" w:type="dxa"/>
            <w:tcBorders>
              <w:top w:val="thinThickThinSmallGap" w:sz="18" w:space="0" w:color="auto"/>
              <w:left w:val="single" w:sz="18" w:space="0" w:color="auto"/>
              <w:right w:val="single" w:sz="18" w:space="0" w:color="auto"/>
            </w:tcBorders>
          </w:tcPr>
          <w:p w14:paraId="2C99DFDC" w14:textId="77777777" w:rsidR="00E37ECB" w:rsidRPr="00B912DC" w:rsidRDefault="00E37ECB" w:rsidP="00560FBA">
            <w:pPr>
              <w:keepNext/>
              <w:keepLines/>
              <w:jc w:val="right"/>
              <w:rPr>
                <w:rFonts w:ascii="Times New Roman" w:hAnsi="Times New Roman" w:cs="Times New Roman"/>
              </w:rPr>
            </w:pPr>
            <w:r>
              <w:rPr>
                <w:rFonts w:ascii="Times New Roman" w:hAnsi="Times New Roman" w:cs="Times New Roman"/>
              </w:rPr>
              <w:t>38.71</w:t>
            </w:r>
          </w:p>
        </w:tc>
        <w:tc>
          <w:tcPr>
            <w:tcW w:w="2214" w:type="dxa"/>
            <w:tcBorders>
              <w:top w:val="thinThickThinSmallGap" w:sz="18" w:space="0" w:color="auto"/>
              <w:left w:val="single" w:sz="18" w:space="0" w:color="auto"/>
            </w:tcBorders>
          </w:tcPr>
          <w:p w14:paraId="262DB97D" w14:textId="77777777" w:rsidR="00E37ECB" w:rsidRPr="00B912DC" w:rsidRDefault="00E37ECB" w:rsidP="00560FBA">
            <w:pPr>
              <w:keepNext/>
              <w:keepLines/>
              <w:jc w:val="right"/>
              <w:rPr>
                <w:rFonts w:ascii="Times New Roman" w:hAnsi="Times New Roman" w:cs="Times New Roman"/>
              </w:rPr>
            </w:pPr>
            <w:r>
              <w:rPr>
                <w:rFonts w:ascii="Times New Roman" w:hAnsi="Times New Roman" w:cs="Times New Roman"/>
              </w:rPr>
              <w:t>38.71</w:t>
            </w:r>
          </w:p>
        </w:tc>
      </w:tr>
      <w:tr w:rsidR="00E37ECB" w:rsidRPr="00B912DC" w14:paraId="0EF90712" w14:textId="77777777" w:rsidTr="00560FBA">
        <w:tc>
          <w:tcPr>
            <w:tcW w:w="2214" w:type="dxa"/>
            <w:tcBorders>
              <w:right w:val="single" w:sz="18" w:space="0" w:color="auto"/>
            </w:tcBorders>
          </w:tcPr>
          <w:p w14:paraId="664300C7" w14:textId="77777777" w:rsidR="00E37ECB" w:rsidRPr="00B912DC" w:rsidRDefault="00E37ECB" w:rsidP="00560FBA">
            <w:pPr>
              <w:keepNext/>
              <w:keepLines/>
              <w:rPr>
                <w:rFonts w:ascii="Times New Roman" w:hAnsi="Times New Roman" w:cs="Times New Roman"/>
              </w:rPr>
            </w:pPr>
            <w:r w:rsidRPr="00B912DC">
              <w:rPr>
                <w:rFonts w:ascii="Times New Roman" w:hAnsi="Times New Roman" w:cs="Times New Roman"/>
              </w:rPr>
              <w:t>No Circuit</w:t>
            </w:r>
            <w:r>
              <w:rPr>
                <w:rFonts w:ascii="Times New Roman" w:hAnsi="Times New Roman" w:cs="Times New Roman"/>
              </w:rPr>
              <w:t xml:space="preserve"> (177)</w:t>
            </w:r>
          </w:p>
        </w:tc>
        <w:tc>
          <w:tcPr>
            <w:tcW w:w="2214" w:type="dxa"/>
            <w:tcBorders>
              <w:left w:val="single" w:sz="18" w:space="0" w:color="auto"/>
              <w:right w:val="single" w:sz="18" w:space="0" w:color="auto"/>
            </w:tcBorders>
          </w:tcPr>
          <w:p w14:paraId="3381B19A" w14:textId="77777777" w:rsidR="00E37ECB" w:rsidRPr="00B912DC" w:rsidRDefault="00E37ECB" w:rsidP="00560FBA">
            <w:pPr>
              <w:keepNext/>
              <w:keepLines/>
              <w:jc w:val="right"/>
              <w:rPr>
                <w:rFonts w:ascii="Times New Roman" w:hAnsi="Times New Roman" w:cs="Times New Roman"/>
              </w:rPr>
            </w:pPr>
            <w:r>
              <w:rPr>
                <w:rFonts w:ascii="Times New Roman" w:hAnsi="Times New Roman" w:cs="Times New Roman"/>
              </w:rPr>
              <w:t xml:space="preserve"> 42.37</w:t>
            </w:r>
          </w:p>
        </w:tc>
        <w:tc>
          <w:tcPr>
            <w:tcW w:w="2214" w:type="dxa"/>
            <w:tcBorders>
              <w:left w:val="single" w:sz="18" w:space="0" w:color="auto"/>
              <w:right w:val="single" w:sz="18" w:space="0" w:color="auto"/>
            </w:tcBorders>
          </w:tcPr>
          <w:p w14:paraId="11873C96" w14:textId="77777777" w:rsidR="00E37ECB" w:rsidRPr="00B912DC" w:rsidRDefault="00E37ECB" w:rsidP="00560FBA">
            <w:pPr>
              <w:keepNext/>
              <w:keepLines/>
              <w:jc w:val="right"/>
              <w:rPr>
                <w:rFonts w:ascii="Times New Roman" w:hAnsi="Times New Roman" w:cs="Times New Roman"/>
              </w:rPr>
            </w:pPr>
            <w:r>
              <w:rPr>
                <w:rFonts w:ascii="Times New Roman" w:hAnsi="Times New Roman" w:cs="Times New Roman"/>
              </w:rPr>
              <w:t xml:space="preserve">39.55 </w:t>
            </w:r>
          </w:p>
        </w:tc>
        <w:tc>
          <w:tcPr>
            <w:tcW w:w="2214" w:type="dxa"/>
            <w:tcBorders>
              <w:left w:val="single" w:sz="18" w:space="0" w:color="auto"/>
            </w:tcBorders>
          </w:tcPr>
          <w:p w14:paraId="0C2BFF97" w14:textId="77777777" w:rsidR="00E37ECB" w:rsidRPr="00B912DC" w:rsidRDefault="00E37ECB" w:rsidP="00560FBA">
            <w:pPr>
              <w:keepNext/>
              <w:keepLines/>
              <w:jc w:val="right"/>
              <w:rPr>
                <w:rFonts w:ascii="Times New Roman" w:hAnsi="Times New Roman" w:cs="Times New Roman"/>
              </w:rPr>
            </w:pPr>
            <w:r>
              <w:rPr>
                <w:rFonts w:ascii="Times New Roman" w:hAnsi="Times New Roman" w:cs="Times New Roman"/>
              </w:rPr>
              <w:t xml:space="preserve">36.72 </w:t>
            </w:r>
          </w:p>
        </w:tc>
      </w:tr>
      <w:tr w:rsidR="00E37ECB" w:rsidRPr="00B912DC" w14:paraId="2796595F" w14:textId="77777777" w:rsidTr="00560FBA">
        <w:tc>
          <w:tcPr>
            <w:tcW w:w="2214" w:type="dxa"/>
            <w:tcBorders>
              <w:right w:val="single" w:sz="18" w:space="0" w:color="auto"/>
            </w:tcBorders>
          </w:tcPr>
          <w:p w14:paraId="0290EE65" w14:textId="77777777" w:rsidR="00E37ECB" w:rsidRPr="00B912DC" w:rsidRDefault="00E37ECB" w:rsidP="00560FBA">
            <w:pPr>
              <w:keepNext/>
              <w:keepLines/>
              <w:rPr>
                <w:rFonts w:ascii="Times New Roman" w:hAnsi="Times New Roman" w:cs="Times New Roman"/>
              </w:rPr>
            </w:pPr>
            <w:r w:rsidRPr="00B912DC">
              <w:rPr>
                <w:rFonts w:ascii="Times New Roman" w:hAnsi="Times New Roman" w:cs="Times New Roman"/>
              </w:rPr>
              <w:t>Narrow</w:t>
            </w:r>
            <w:r>
              <w:rPr>
                <w:rFonts w:ascii="Times New Roman" w:hAnsi="Times New Roman" w:cs="Times New Roman"/>
              </w:rPr>
              <w:t xml:space="preserve"> Circuit (15)</w:t>
            </w:r>
          </w:p>
        </w:tc>
        <w:tc>
          <w:tcPr>
            <w:tcW w:w="2214" w:type="dxa"/>
            <w:tcBorders>
              <w:left w:val="single" w:sz="18" w:space="0" w:color="auto"/>
              <w:right w:val="single" w:sz="18" w:space="0" w:color="auto"/>
            </w:tcBorders>
          </w:tcPr>
          <w:p w14:paraId="0D165CA8" w14:textId="77777777" w:rsidR="00E37ECB" w:rsidRPr="00B912DC" w:rsidRDefault="00E37ECB" w:rsidP="00560FBA">
            <w:pPr>
              <w:keepNext/>
              <w:keepLines/>
              <w:jc w:val="right"/>
              <w:rPr>
                <w:rFonts w:ascii="Times New Roman" w:hAnsi="Times New Roman" w:cs="Times New Roman"/>
              </w:rPr>
            </w:pPr>
            <w:r>
              <w:rPr>
                <w:rFonts w:ascii="Times New Roman" w:hAnsi="Times New Roman" w:cs="Times New Roman"/>
              </w:rPr>
              <w:t>20.00</w:t>
            </w:r>
            <w:r w:rsidRPr="00B912DC">
              <w:rPr>
                <w:rFonts w:ascii="Times New Roman" w:hAnsi="Times New Roman" w:cs="Times New Roman"/>
              </w:rPr>
              <w:t xml:space="preserve"> </w:t>
            </w:r>
          </w:p>
        </w:tc>
        <w:tc>
          <w:tcPr>
            <w:tcW w:w="2214" w:type="dxa"/>
            <w:tcBorders>
              <w:left w:val="single" w:sz="18" w:space="0" w:color="auto"/>
              <w:right w:val="single" w:sz="18" w:space="0" w:color="auto"/>
            </w:tcBorders>
          </w:tcPr>
          <w:p w14:paraId="2DED42D8" w14:textId="77777777" w:rsidR="00E37ECB" w:rsidRPr="00B912DC" w:rsidRDefault="00E37ECB" w:rsidP="00560FBA">
            <w:pPr>
              <w:keepNext/>
              <w:keepLines/>
              <w:jc w:val="right"/>
              <w:rPr>
                <w:rFonts w:ascii="Times New Roman" w:hAnsi="Times New Roman" w:cs="Times New Roman"/>
              </w:rPr>
            </w:pPr>
            <w:r>
              <w:rPr>
                <w:rFonts w:ascii="Times New Roman" w:hAnsi="Times New Roman" w:cs="Times New Roman"/>
              </w:rPr>
              <w:t xml:space="preserve">26.67 </w:t>
            </w:r>
          </w:p>
        </w:tc>
        <w:tc>
          <w:tcPr>
            <w:tcW w:w="2214" w:type="dxa"/>
            <w:tcBorders>
              <w:left w:val="single" w:sz="18" w:space="0" w:color="auto"/>
            </w:tcBorders>
          </w:tcPr>
          <w:p w14:paraId="022A3094" w14:textId="77777777" w:rsidR="00E37ECB" w:rsidRPr="00B912DC" w:rsidRDefault="00E37ECB" w:rsidP="00560FBA">
            <w:pPr>
              <w:keepNext/>
              <w:keepLines/>
              <w:jc w:val="right"/>
              <w:rPr>
                <w:rFonts w:ascii="Times New Roman" w:hAnsi="Times New Roman" w:cs="Times New Roman"/>
              </w:rPr>
            </w:pPr>
            <w:r>
              <w:rPr>
                <w:rFonts w:ascii="Times New Roman" w:hAnsi="Times New Roman" w:cs="Times New Roman"/>
              </w:rPr>
              <w:t xml:space="preserve">20.00 </w:t>
            </w:r>
          </w:p>
        </w:tc>
      </w:tr>
    </w:tbl>
    <w:p w14:paraId="67EA579B" w14:textId="77777777" w:rsidR="00FC38D9" w:rsidRPr="00B912DC" w:rsidRDefault="00FC38D9" w:rsidP="00003007">
      <w:pPr>
        <w:spacing w:line="480" w:lineRule="auto"/>
        <w:rPr>
          <w:rFonts w:ascii="Times New Roman" w:hAnsi="Times New Roman" w:cs="Times New Roman"/>
        </w:rPr>
      </w:pPr>
    </w:p>
    <w:p w14:paraId="242FC3C1" w14:textId="2F1DD3A2" w:rsidR="00FC38D9" w:rsidRDefault="00FC38D9" w:rsidP="00FC38D9">
      <w:pPr>
        <w:spacing w:line="480" w:lineRule="auto"/>
        <w:ind w:firstLine="360"/>
        <w:rPr>
          <w:rFonts w:ascii="Times New Roman" w:hAnsi="Times New Roman" w:cs="Times New Roman"/>
        </w:rPr>
      </w:pPr>
      <w:r w:rsidRPr="00B912DC">
        <w:rPr>
          <w:rFonts w:ascii="Times New Roman" w:hAnsi="Times New Roman" w:cs="Times New Roman"/>
        </w:rPr>
        <w:t xml:space="preserve">     As the data in Table </w:t>
      </w:r>
      <w:r w:rsidR="00DB4EAD">
        <w:rPr>
          <w:rFonts w:ascii="Times New Roman" w:hAnsi="Times New Roman" w:cs="Times New Roman"/>
        </w:rPr>
        <w:t>49</w:t>
      </w:r>
      <w:r w:rsidR="00F70034" w:rsidRPr="00B912DC">
        <w:rPr>
          <w:rFonts w:ascii="Times New Roman" w:hAnsi="Times New Roman" w:cs="Times New Roman"/>
        </w:rPr>
        <w:t xml:space="preserve"> </w:t>
      </w:r>
      <w:r w:rsidRPr="00B912DC">
        <w:rPr>
          <w:rFonts w:ascii="Times New Roman" w:hAnsi="Times New Roman" w:cs="Times New Roman"/>
        </w:rPr>
        <w:t xml:space="preserve">show, for </w:t>
      </w:r>
      <w:r w:rsidR="00DB14F4" w:rsidRPr="00B912DC">
        <w:rPr>
          <w:rFonts w:ascii="Times New Roman" w:hAnsi="Times New Roman" w:cs="Times New Roman"/>
        </w:rPr>
        <w:t>f</w:t>
      </w:r>
      <w:r w:rsidR="00DB14F4">
        <w:rPr>
          <w:rFonts w:ascii="Times New Roman" w:hAnsi="Times New Roman" w:cs="Times New Roman"/>
        </w:rPr>
        <w:t>ive</w:t>
      </w:r>
      <w:r w:rsidR="003D64F6">
        <w:rPr>
          <w:rFonts w:ascii="Times New Roman" w:hAnsi="Times New Roman" w:cs="Times New Roman"/>
        </w:rPr>
        <w:t xml:space="preserve"> </w:t>
      </w:r>
      <w:r w:rsidRPr="00B912DC">
        <w:rPr>
          <w:rFonts w:ascii="Times New Roman" w:hAnsi="Times New Roman" w:cs="Times New Roman"/>
        </w:rPr>
        <w:t xml:space="preserve">of the six measurements the rate of success rises with a more debtor-friendly precedent. Yet, the differences in success rates among narrow, broad, and no-precedent jurisdictions are not statistically significant. Therefore, we cannot reject with </w:t>
      </w:r>
      <w:r w:rsidR="00DB15DD">
        <w:rPr>
          <w:rFonts w:ascii="Times New Roman" w:hAnsi="Times New Roman" w:cs="Times New Roman"/>
        </w:rPr>
        <w:t>90%</w:t>
      </w:r>
      <w:r w:rsidRPr="00B912DC">
        <w:rPr>
          <w:rFonts w:ascii="Times New Roman" w:hAnsi="Times New Roman" w:cs="Times New Roman"/>
        </w:rPr>
        <w:t xml:space="preserve"> confidence the hypothesis that the differences in success rates result from chance.  </w:t>
      </w:r>
    </w:p>
    <w:p w14:paraId="577592E9" w14:textId="2E3905CB" w:rsidR="00FC38D9" w:rsidRDefault="00FC38D9" w:rsidP="00FC38D9">
      <w:pPr>
        <w:spacing w:line="480" w:lineRule="auto"/>
        <w:ind w:firstLine="720"/>
        <w:rPr>
          <w:rFonts w:ascii="Times New Roman" w:hAnsi="Times New Roman" w:cs="Times New Roman"/>
        </w:rPr>
      </w:pPr>
      <w:r>
        <w:rPr>
          <w:rFonts w:ascii="Times New Roman" w:hAnsi="Times New Roman" w:cs="Times New Roman"/>
        </w:rPr>
        <w:t xml:space="preserve">Table </w:t>
      </w:r>
      <w:r w:rsidR="00F70034">
        <w:rPr>
          <w:rFonts w:ascii="Times New Roman" w:hAnsi="Times New Roman" w:cs="Times New Roman"/>
        </w:rPr>
        <w:t>5</w:t>
      </w:r>
      <w:r w:rsidR="00DB4EAD">
        <w:rPr>
          <w:rFonts w:ascii="Times New Roman" w:hAnsi="Times New Roman" w:cs="Times New Roman"/>
        </w:rPr>
        <w:t>0</w:t>
      </w:r>
      <w:r w:rsidR="00F70034">
        <w:rPr>
          <w:rFonts w:ascii="Times New Roman" w:hAnsi="Times New Roman" w:cs="Times New Roman"/>
        </w:rPr>
        <w:t xml:space="preserve"> </w:t>
      </w:r>
      <w:r w:rsidRPr="005F7FD9">
        <w:rPr>
          <w:rFonts w:ascii="Times New Roman" w:hAnsi="Times New Roman" w:cs="Times New Roman"/>
        </w:rPr>
        <w:t>present</w:t>
      </w:r>
      <w:r>
        <w:rPr>
          <w:rFonts w:ascii="Times New Roman" w:hAnsi="Times New Roman" w:cs="Times New Roman"/>
        </w:rPr>
        <w:t>s</w:t>
      </w:r>
      <w:r w:rsidRPr="005F7FD9">
        <w:rPr>
          <w:rFonts w:ascii="Times New Roman" w:hAnsi="Times New Roman" w:cs="Times New Roman"/>
        </w:rPr>
        <w:t xml:space="preserve"> the results of some cross-sectional linear probability regressions</w:t>
      </w:r>
      <w:r>
        <w:rPr>
          <w:rFonts w:ascii="Times New Roman" w:hAnsi="Times New Roman" w:cs="Times New Roman"/>
        </w:rPr>
        <w:t xml:space="preserve"> that use </w:t>
      </w:r>
      <w:r>
        <w:rPr>
          <w:rFonts w:ascii="Times New Roman" w:hAnsi="Times New Roman" w:cs="Times New Roman"/>
          <w:i/>
        </w:rPr>
        <w:t>s</w:t>
      </w:r>
      <w:r w:rsidR="00461C22">
        <w:rPr>
          <w:rFonts w:ascii="Times New Roman" w:hAnsi="Times New Roman" w:cs="Times New Roman"/>
          <w:i/>
        </w:rPr>
        <w:t>&amp;c</w:t>
      </w:r>
      <w:r>
        <w:rPr>
          <w:rFonts w:ascii="Times New Roman" w:hAnsi="Times New Roman" w:cs="Times New Roman"/>
          <w:i/>
        </w:rPr>
        <w:t xml:space="preserve"> </w:t>
      </w:r>
      <w:r>
        <w:rPr>
          <w:rFonts w:ascii="Times New Roman" w:hAnsi="Times New Roman" w:cs="Times New Roman"/>
        </w:rPr>
        <w:t xml:space="preserve">as the dependent variable; </w:t>
      </w:r>
      <w:r w:rsidR="00181D98">
        <w:rPr>
          <w:rFonts w:ascii="Times New Roman" w:hAnsi="Times New Roman" w:cs="Times New Roman"/>
        </w:rPr>
        <w:t xml:space="preserve">our findings were similar when we used </w:t>
      </w:r>
      <w:r w:rsidRPr="005F7FD9">
        <w:rPr>
          <w:rFonts w:ascii="Times New Roman" w:hAnsi="Times New Roman" w:cs="Times New Roman"/>
          <w:i/>
        </w:rPr>
        <w:t xml:space="preserve">confirm </w:t>
      </w:r>
      <w:r w:rsidRPr="005F7FD9">
        <w:rPr>
          <w:rFonts w:ascii="Times New Roman" w:hAnsi="Times New Roman" w:cs="Times New Roman"/>
        </w:rPr>
        <w:t xml:space="preserve">or </w:t>
      </w:r>
      <w:r w:rsidRPr="005F7FD9">
        <w:rPr>
          <w:rFonts w:ascii="Times New Roman" w:hAnsi="Times New Roman" w:cs="Times New Roman"/>
          <w:i/>
        </w:rPr>
        <w:t xml:space="preserve">survive </w:t>
      </w:r>
      <w:r w:rsidRPr="005F7FD9">
        <w:rPr>
          <w:rFonts w:ascii="Times New Roman" w:hAnsi="Times New Roman" w:cs="Times New Roman"/>
        </w:rPr>
        <w:t>as the dependent variables</w:t>
      </w:r>
      <w:r w:rsidR="00181D98">
        <w:rPr>
          <w:rFonts w:ascii="Times New Roman" w:hAnsi="Times New Roman" w:cs="Times New Roman"/>
        </w:rPr>
        <w:t>.</w:t>
      </w:r>
      <w:r>
        <w:rPr>
          <w:rFonts w:ascii="Times New Roman" w:hAnsi="Times New Roman" w:cs="Times New Roman"/>
        </w:rPr>
        <w:t xml:space="preserve"> </w:t>
      </w:r>
      <w:r w:rsidR="00181D98">
        <w:rPr>
          <w:rFonts w:ascii="Times New Roman" w:hAnsi="Times New Roman" w:cs="Times New Roman"/>
        </w:rPr>
        <w:t>O</w:t>
      </w:r>
      <w:r>
        <w:rPr>
          <w:rFonts w:ascii="Times New Roman" w:hAnsi="Times New Roman" w:cs="Times New Roman"/>
        </w:rPr>
        <w:t xml:space="preserve">ur findings </w:t>
      </w:r>
      <w:r w:rsidRPr="005F7FD9">
        <w:rPr>
          <w:rFonts w:ascii="Times New Roman" w:hAnsi="Times New Roman" w:cs="Times New Roman"/>
        </w:rPr>
        <w:t xml:space="preserve">are consistent with a number of our theories, but only some of the results are statistically significant. Once again, however, we caution that a failure to find statistical significance should not be interpreted as confirming the null hypothesis of no-effect. </w:t>
      </w:r>
      <w:r>
        <w:rPr>
          <w:rFonts w:ascii="Times New Roman" w:hAnsi="Times New Roman" w:cs="Times New Roman"/>
        </w:rPr>
        <w:t xml:space="preserve">A finding of no statistical significance </w:t>
      </w:r>
      <w:r w:rsidRPr="005F7FD9">
        <w:rPr>
          <w:rFonts w:ascii="Times New Roman" w:hAnsi="Times New Roman" w:cs="Times New Roman"/>
        </w:rPr>
        <w:t xml:space="preserve">just means that </w:t>
      </w:r>
      <w:r>
        <w:rPr>
          <w:rFonts w:ascii="Times New Roman" w:hAnsi="Times New Roman" w:cs="Times New Roman"/>
        </w:rPr>
        <w:t xml:space="preserve">we cannot be </w:t>
      </w:r>
      <w:r w:rsidR="00DB15DD">
        <w:rPr>
          <w:rFonts w:ascii="Times New Roman" w:hAnsi="Times New Roman" w:cs="Times New Roman"/>
        </w:rPr>
        <w:t>90%</w:t>
      </w:r>
      <w:r w:rsidRPr="005F7FD9">
        <w:rPr>
          <w:rFonts w:ascii="Times New Roman" w:hAnsi="Times New Roman" w:cs="Times New Roman"/>
        </w:rPr>
        <w:t xml:space="preserve"> certain</w:t>
      </w:r>
      <w:r>
        <w:rPr>
          <w:rFonts w:ascii="Times New Roman" w:hAnsi="Times New Roman" w:cs="Times New Roman"/>
        </w:rPr>
        <w:t>, for example,</w:t>
      </w:r>
      <w:r w:rsidRPr="005F7FD9">
        <w:rPr>
          <w:rFonts w:ascii="Times New Roman" w:hAnsi="Times New Roman" w:cs="Times New Roman"/>
        </w:rPr>
        <w:t xml:space="preserve"> that</w:t>
      </w:r>
      <w:r w:rsidR="00562E26">
        <w:rPr>
          <w:rFonts w:ascii="Times New Roman" w:hAnsi="Times New Roman" w:cs="Times New Roman"/>
        </w:rPr>
        <w:t xml:space="preserve"> the null hypothesis is wrong. </w:t>
      </w:r>
      <w:r w:rsidRPr="005F7FD9">
        <w:rPr>
          <w:rFonts w:ascii="Times New Roman" w:hAnsi="Times New Roman" w:cs="Times New Roman"/>
        </w:rPr>
        <w:t>Indeed, in some cases the predicted effect is practically significant</w:t>
      </w:r>
      <w:r>
        <w:rPr>
          <w:rFonts w:ascii="Times New Roman" w:hAnsi="Times New Roman" w:cs="Times New Roman"/>
        </w:rPr>
        <w:t xml:space="preserve">, but </w:t>
      </w:r>
      <w:r w:rsidRPr="005F7FD9">
        <w:rPr>
          <w:rFonts w:ascii="Times New Roman" w:hAnsi="Times New Roman" w:cs="Times New Roman"/>
        </w:rPr>
        <w:t>our small sample size prevents estimat</w:t>
      </w:r>
      <w:r w:rsidR="00B807A0">
        <w:rPr>
          <w:rFonts w:ascii="Times New Roman" w:hAnsi="Times New Roman" w:cs="Times New Roman"/>
        </w:rPr>
        <w:t>ion</w:t>
      </w:r>
      <w:r w:rsidRPr="005F7FD9">
        <w:rPr>
          <w:rFonts w:ascii="Times New Roman" w:hAnsi="Times New Roman" w:cs="Times New Roman"/>
        </w:rPr>
        <w:t xml:space="preserve"> of the true effect with sufficient precision.  </w:t>
      </w:r>
    </w:p>
    <w:p w14:paraId="6FBC0358" w14:textId="77777777" w:rsidR="00E37ECB" w:rsidRDefault="00E37ECB" w:rsidP="00E37ECB">
      <w:pPr>
        <w:spacing w:line="480" w:lineRule="auto"/>
        <w:ind w:firstLine="720"/>
        <w:jc w:val="center"/>
        <w:rPr>
          <w:rFonts w:ascii="Times New Roman" w:hAnsi="Times New Roman" w:cs="Times New Roman"/>
          <w:b/>
        </w:rPr>
      </w:pPr>
      <w:r>
        <w:rPr>
          <w:rFonts w:ascii="Times New Roman" w:hAnsi="Times New Roman" w:cs="Times New Roman"/>
          <w:b/>
        </w:rPr>
        <w:t>Table 50: Regressions of Success Rates—Random Sample</w:t>
      </w:r>
    </w:p>
    <w:tbl>
      <w:tblPr>
        <w:tblStyle w:val="TableGrid"/>
        <w:tblW w:w="9772" w:type="dxa"/>
        <w:tblLook w:val="04A0" w:firstRow="1" w:lastRow="0" w:firstColumn="1" w:lastColumn="0" w:noHBand="0" w:noVBand="1"/>
      </w:tblPr>
      <w:tblGrid>
        <w:gridCol w:w="1594"/>
        <w:gridCol w:w="1363"/>
        <w:gridCol w:w="1363"/>
        <w:gridCol w:w="1363"/>
        <w:gridCol w:w="1363"/>
        <w:gridCol w:w="1363"/>
        <w:gridCol w:w="1363"/>
      </w:tblGrid>
      <w:tr w:rsidR="00E37ECB" w14:paraId="043CD83C" w14:textId="77777777" w:rsidTr="00560FBA">
        <w:tc>
          <w:tcPr>
            <w:tcW w:w="1594" w:type="dxa"/>
            <w:tcBorders>
              <w:bottom w:val="single" w:sz="12" w:space="0" w:color="auto"/>
              <w:right w:val="single" w:sz="12" w:space="0" w:color="auto"/>
            </w:tcBorders>
            <w:vAlign w:val="bottom"/>
          </w:tcPr>
          <w:p w14:paraId="1AD943CD" w14:textId="77777777" w:rsidR="00E37ECB" w:rsidRPr="00720A9A" w:rsidRDefault="00E37ECB" w:rsidP="00560FBA">
            <w:pPr>
              <w:rPr>
                <w:rFonts w:ascii="Times New Roman" w:hAnsi="Times New Roman" w:cs="Times New Roman"/>
                <w:b/>
                <w:i/>
              </w:rPr>
            </w:pPr>
            <w:r w:rsidRPr="00720A9A">
              <w:rPr>
                <w:rFonts w:ascii="Times New Roman" w:eastAsia="Times New Roman" w:hAnsi="Times New Roman" w:cs="Times New Roman"/>
              </w:rPr>
              <w:t> </w:t>
            </w:r>
            <w:r w:rsidRPr="00720A9A">
              <w:rPr>
                <w:rFonts w:ascii="Times New Roman" w:eastAsia="Times New Roman" w:hAnsi="Times New Roman" w:cs="Times New Roman"/>
                <w:i/>
              </w:rPr>
              <w:t>Variables</w:t>
            </w:r>
          </w:p>
        </w:tc>
        <w:tc>
          <w:tcPr>
            <w:tcW w:w="1363" w:type="dxa"/>
            <w:tcBorders>
              <w:left w:val="single" w:sz="12" w:space="0" w:color="auto"/>
              <w:bottom w:val="single" w:sz="12" w:space="0" w:color="auto"/>
            </w:tcBorders>
            <w:vAlign w:val="bottom"/>
          </w:tcPr>
          <w:p w14:paraId="1C0ADAA1" w14:textId="77777777" w:rsidR="00E37ECB" w:rsidRPr="00720A9A" w:rsidRDefault="00E37ECB" w:rsidP="00560FBA">
            <w:pPr>
              <w:jc w:val="center"/>
              <w:rPr>
                <w:rFonts w:ascii="Times New Roman" w:eastAsia="Times New Roman" w:hAnsi="Times New Roman" w:cs="Times New Roman"/>
                <w:b/>
              </w:rPr>
            </w:pPr>
            <w:r w:rsidRPr="00720A9A">
              <w:rPr>
                <w:rFonts w:ascii="Times New Roman" w:eastAsia="Times New Roman" w:hAnsi="Times New Roman" w:cs="Times New Roman"/>
                <w:b/>
              </w:rPr>
              <w:t>(A)</w:t>
            </w:r>
          </w:p>
          <w:p w14:paraId="67720D15" w14:textId="77777777" w:rsidR="00E37ECB" w:rsidRPr="00720A9A" w:rsidRDefault="00E37ECB" w:rsidP="00560FBA">
            <w:pPr>
              <w:jc w:val="center"/>
              <w:rPr>
                <w:rFonts w:ascii="Times New Roman" w:hAnsi="Times New Roman" w:cs="Times New Roman"/>
                <w:b/>
              </w:rPr>
            </w:pPr>
            <w:r w:rsidRPr="00720A9A">
              <w:rPr>
                <w:rFonts w:ascii="Times New Roman" w:eastAsia="Times New Roman" w:hAnsi="Times New Roman" w:cs="Times New Roman"/>
                <w:b/>
              </w:rPr>
              <w:t>S</w:t>
            </w:r>
            <w:r>
              <w:rPr>
                <w:rFonts w:ascii="Times New Roman" w:eastAsia="Times New Roman" w:hAnsi="Times New Roman" w:cs="Times New Roman"/>
                <w:b/>
              </w:rPr>
              <w:t>&amp;C</w:t>
            </w:r>
          </w:p>
        </w:tc>
        <w:tc>
          <w:tcPr>
            <w:tcW w:w="1363" w:type="dxa"/>
            <w:tcBorders>
              <w:bottom w:val="single" w:sz="12" w:space="0" w:color="auto"/>
            </w:tcBorders>
            <w:vAlign w:val="bottom"/>
          </w:tcPr>
          <w:p w14:paraId="1D6CBA1E" w14:textId="77777777" w:rsidR="00E37ECB" w:rsidRPr="00720A9A" w:rsidRDefault="00E37ECB" w:rsidP="00560FBA">
            <w:pPr>
              <w:jc w:val="center"/>
              <w:rPr>
                <w:rFonts w:ascii="Times New Roman" w:eastAsia="Times New Roman" w:hAnsi="Times New Roman" w:cs="Times New Roman"/>
                <w:b/>
              </w:rPr>
            </w:pPr>
            <w:r w:rsidRPr="00720A9A">
              <w:rPr>
                <w:rFonts w:ascii="Times New Roman" w:eastAsia="Times New Roman" w:hAnsi="Times New Roman" w:cs="Times New Roman"/>
                <w:b/>
              </w:rPr>
              <w:t>(B)</w:t>
            </w:r>
          </w:p>
          <w:p w14:paraId="6F2CE26B" w14:textId="77777777" w:rsidR="00E37ECB" w:rsidRPr="00720A9A" w:rsidRDefault="00E37ECB" w:rsidP="00560FBA">
            <w:pPr>
              <w:jc w:val="center"/>
              <w:rPr>
                <w:rFonts w:ascii="Times New Roman" w:hAnsi="Times New Roman" w:cs="Times New Roman"/>
                <w:b/>
              </w:rPr>
            </w:pPr>
            <w:r w:rsidRPr="00720A9A">
              <w:rPr>
                <w:rFonts w:ascii="Times New Roman" w:eastAsia="Times New Roman" w:hAnsi="Times New Roman" w:cs="Times New Roman"/>
                <w:b/>
              </w:rPr>
              <w:t>S</w:t>
            </w:r>
            <w:r>
              <w:rPr>
                <w:rFonts w:ascii="Times New Roman" w:eastAsia="Times New Roman" w:hAnsi="Times New Roman" w:cs="Times New Roman"/>
                <w:b/>
              </w:rPr>
              <w:t>&amp;C</w:t>
            </w:r>
          </w:p>
        </w:tc>
        <w:tc>
          <w:tcPr>
            <w:tcW w:w="1363" w:type="dxa"/>
            <w:tcBorders>
              <w:bottom w:val="single" w:sz="12" w:space="0" w:color="auto"/>
            </w:tcBorders>
            <w:vAlign w:val="bottom"/>
          </w:tcPr>
          <w:p w14:paraId="27F714B0" w14:textId="77777777" w:rsidR="00E37ECB" w:rsidRPr="00720A9A" w:rsidRDefault="00E37ECB" w:rsidP="00560FBA">
            <w:pPr>
              <w:jc w:val="center"/>
              <w:rPr>
                <w:rFonts w:ascii="Times New Roman" w:eastAsia="Times New Roman" w:hAnsi="Times New Roman" w:cs="Times New Roman"/>
                <w:b/>
              </w:rPr>
            </w:pPr>
            <w:r w:rsidRPr="00720A9A">
              <w:rPr>
                <w:rFonts w:ascii="Times New Roman" w:eastAsia="Times New Roman" w:hAnsi="Times New Roman" w:cs="Times New Roman"/>
                <w:b/>
              </w:rPr>
              <w:t>(C)</w:t>
            </w:r>
          </w:p>
          <w:p w14:paraId="4CE17A7B" w14:textId="77777777" w:rsidR="00E37ECB" w:rsidRPr="00720A9A" w:rsidRDefault="00E37ECB" w:rsidP="00560FBA">
            <w:pPr>
              <w:jc w:val="center"/>
              <w:rPr>
                <w:rFonts w:ascii="Times New Roman" w:hAnsi="Times New Roman" w:cs="Times New Roman"/>
                <w:b/>
              </w:rPr>
            </w:pPr>
            <w:r w:rsidRPr="00720A9A">
              <w:rPr>
                <w:rFonts w:ascii="Times New Roman" w:eastAsia="Times New Roman" w:hAnsi="Times New Roman" w:cs="Times New Roman"/>
                <w:b/>
              </w:rPr>
              <w:t>S</w:t>
            </w:r>
            <w:r>
              <w:rPr>
                <w:rFonts w:ascii="Times New Roman" w:eastAsia="Times New Roman" w:hAnsi="Times New Roman" w:cs="Times New Roman"/>
                <w:b/>
              </w:rPr>
              <w:t>&amp;C</w:t>
            </w:r>
          </w:p>
        </w:tc>
        <w:tc>
          <w:tcPr>
            <w:tcW w:w="1363" w:type="dxa"/>
            <w:tcBorders>
              <w:bottom w:val="single" w:sz="12" w:space="0" w:color="auto"/>
            </w:tcBorders>
            <w:vAlign w:val="bottom"/>
          </w:tcPr>
          <w:p w14:paraId="012492A9" w14:textId="77777777" w:rsidR="00E37ECB" w:rsidRPr="00720A9A" w:rsidRDefault="00E37ECB" w:rsidP="00560FBA">
            <w:pPr>
              <w:jc w:val="center"/>
              <w:rPr>
                <w:rFonts w:ascii="Times New Roman" w:eastAsia="Times New Roman" w:hAnsi="Times New Roman" w:cs="Times New Roman"/>
                <w:b/>
              </w:rPr>
            </w:pPr>
            <w:r w:rsidRPr="00720A9A">
              <w:rPr>
                <w:rFonts w:ascii="Times New Roman" w:eastAsia="Times New Roman" w:hAnsi="Times New Roman" w:cs="Times New Roman"/>
                <w:b/>
              </w:rPr>
              <w:t>(D)</w:t>
            </w:r>
          </w:p>
          <w:p w14:paraId="731B05EE" w14:textId="77777777" w:rsidR="00E37ECB" w:rsidRPr="00720A9A" w:rsidRDefault="00E37ECB" w:rsidP="00560FBA">
            <w:pPr>
              <w:jc w:val="center"/>
              <w:rPr>
                <w:rFonts w:ascii="Times New Roman" w:hAnsi="Times New Roman" w:cs="Times New Roman"/>
                <w:b/>
              </w:rPr>
            </w:pPr>
            <w:r w:rsidRPr="00720A9A">
              <w:rPr>
                <w:rFonts w:ascii="Times New Roman" w:eastAsia="Times New Roman" w:hAnsi="Times New Roman" w:cs="Times New Roman"/>
                <w:b/>
              </w:rPr>
              <w:t>S</w:t>
            </w:r>
            <w:r>
              <w:rPr>
                <w:rFonts w:ascii="Times New Roman" w:eastAsia="Times New Roman" w:hAnsi="Times New Roman" w:cs="Times New Roman"/>
                <w:b/>
              </w:rPr>
              <w:t>&amp;C</w:t>
            </w:r>
          </w:p>
        </w:tc>
        <w:tc>
          <w:tcPr>
            <w:tcW w:w="1363" w:type="dxa"/>
            <w:tcBorders>
              <w:bottom w:val="single" w:sz="12" w:space="0" w:color="auto"/>
            </w:tcBorders>
            <w:vAlign w:val="bottom"/>
          </w:tcPr>
          <w:p w14:paraId="6EBF5F90" w14:textId="77777777" w:rsidR="00E37ECB" w:rsidRPr="00720A9A" w:rsidRDefault="00E37ECB" w:rsidP="00560FBA">
            <w:pPr>
              <w:jc w:val="center"/>
              <w:rPr>
                <w:rFonts w:ascii="Times New Roman" w:eastAsia="Times New Roman" w:hAnsi="Times New Roman" w:cs="Times New Roman"/>
                <w:b/>
              </w:rPr>
            </w:pPr>
            <w:r w:rsidRPr="00720A9A">
              <w:rPr>
                <w:rFonts w:ascii="Times New Roman" w:eastAsia="Times New Roman" w:hAnsi="Times New Roman" w:cs="Times New Roman"/>
                <w:b/>
              </w:rPr>
              <w:t>(E)</w:t>
            </w:r>
          </w:p>
          <w:p w14:paraId="3EC21677" w14:textId="77777777" w:rsidR="00E37ECB" w:rsidRPr="00720A9A" w:rsidRDefault="00E37ECB" w:rsidP="00560FBA">
            <w:pPr>
              <w:jc w:val="center"/>
              <w:rPr>
                <w:rFonts w:ascii="Times New Roman" w:hAnsi="Times New Roman" w:cs="Times New Roman"/>
                <w:b/>
              </w:rPr>
            </w:pPr>
            <w:r w:rsidRPr="00720A9A">
              <w:rPr>
                <w:rFonts w:ascii="Times New Roman" w:eastAsia="Times New Roman" w:hAnsi="Times New Roman" w:cs="Times New Roman"/>
                <w:b/>
              </w:rPr>
              <w:t>S</w:t>
            </w:r>
            <w:r>
              <w:rPr>
                <w:rFonts w:ascii="Times New Roman" w:eastAsia="Times New Roman" w:hAnsi="Times New Roman" w:cs="Times New Roman"/>
                <w:b/>
              </w:rPr>
              <w:t>&amp;C</w:t>
            </w:r>
          </w:p>
        </w:tc>
        <w:tc>
          <w:tcPr>
            <w:tcW w:w="1363" w:type="dxa"/>
            <w:tcBorders>
              <w:bottom w:val="single" w:sz="12" w:space="0" w:color="auto"/>
            </w:tcBorders>
            <w:vAlign w:val="bottom"/>
          </w:tcPr>
          <w:p w14:paraId="36E4B683" w14:textId="77777777" w:rsidR="00E37ECB" w:rsidRPr="00720A9A" w:rsidRDefault="00E37ECB" w:rsidP="00560FBA">
            <w:pPr>
              <w:jc w:val="center"/>
              <w:rPr>
                <w:rFonts w:ascii="Times New Roman" w:eastAsia="Times New Roman" w:hAnsi="Times New Roman" w:cs="Times New Roman"/>
                <w:b/>
              </w:rPr>
            </w:pPr>
            <w:r w:rsidRPr="00720A9A">
              <w:rPr>
                <w:rFonts w:ascii="Times New Roman" w:eastAsia="Times New Roman" w:hAnsi="Times New Roman" w:cs="Times New Roman"/>
                <w:b/>
              </w:rPr>
              <w:t>(F)</w:t>
            </w:r>
          </w:p>
          <w:p w14:paraId="7F3A8CEA" w14:textId="77777777" w:rsidR="00E37ECB" w:rsidRPr="00720A9A" w:rsidRDefault="00E37ECB" w:rsidP="00560FBA">
            <w:pPr>
              <w:jc w:val="center"/>
              <w:rPr>
                <w:rFonts w:ascii="Times New Roman" w:hAnsi="Times New Roman" w:cs="Times New Roman"/>
                <w:b/>
              </w:rPr>
            </w:pPr>
            <w:r w:rsidRPr="00720A9A">
              <w:rPr>
                <w:rFonts w:ascii="Times New Roman" w:eastAsia="Times New Roman" w:hAnsi="Times New Roman" w:cs="Times New Roman"/>
                <w:b/>
              </w:rPr>
              <w:t>S</w:t>
            </w:r>
            <w:r>
              <w:rPr>
                <w:rFonts w:ascii="Times New Roman" w:eastAsia="Times New Roman" w:hAnsi="Times New Roman" w:cs="Times New Roman"/>
                <w:b/>
              </w:rPr>
              <w:t>&amp;C</w:t>
            </w:r>
          </w:p>
        </w:tc>
      </w:tr>
      <w:tr w:rsidR="00E37ECB" w14:paraId="45C2C4FC" w14:textId="77777777" w:rsidTr="00560FBA">
        <w:trPr>
          <w:trHeight w:val="490"/>
        </w:trPr>
        <w:tc>
          <w:tcPr>
            <w:tcW w:w="1594" w:type="dxa"/>
            <w:tcBorders>
              <w:top w:val="single" w:sz="12" w:space="0" w:color="auto"/>
              <w:right w:val="single" w:sz="12" w:space="0" w:color="auto"/>
            </w:tcBorders>
            <w:vAlign w:val="bottom"/>
          </w:tcPr>
          <w:p w14:paraId="2D402694" w14:textId="77777777" w:rsidR="00E37ECB" w:rsidRPr="00B007E7" w:rsidRDefault="00E37ECB" w:rsidP="00560FBA">
            <w:pPr>
              <w:rPr>
                <w:rFonts w:ascii="Times New Roman" w:hAnsi="Times New Roman" w:cs="Times New Roman"/>
                <w:b/>
                <w:sz w:val="20"/>
                <w:szCs w:val="20"/>
              </w:rPr>
            </w:pPr>
            <w:r>
              <w:rPr>
                <w:rFonts w:ascii="Times New Roman" w:eastAsia="Times New Roman" w:hAnsi="Times New Roman" w:cs="Times New Roman"/>
                <w:sz w:val="20"/>
                <w:szCs w:val="20"/>
              </w:rPr>
              <w:t xml:space="preserve">(1) </w:t>
            </w:r>
            <w:r w:rsidRPr="00B007E7">
              <w:rPr>
                <w:rFonts w:ascii="Times New Roman" w:eastAsia="Times New Roman" w:hAnsi="Times New Roman" w:cs="Times New Roman"/>
                <w:sz w:val="20"/>
                <w:szCs w:val="20"/>
              </w:rPr>
              <w:t>Joint filing</w:t>
            </w:r>
          </w:p>
        </w:tc>
        <w:tc>
          <w:tcPr>
            <w:tcW w:w="1363" w:type="dxa"/>
            <w:tcBorders>
              <w:top w:val="single" w:sz="12" w:space="0" w:color="auto"/>
              <w:left w:val="single" w:sz="12" w:space="0" w:color="auto"/>
            </w:tcBorders>
            <w:vAlign w:val="bottom"/>
          </w:tcPr>
          <w:p w14:paraId="1114B8C3"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0.2</w:t>
            </w:r>
            <w:r>
              <w:rPr>
                <w:rFonts w:ascii="Times New Roman" w:eastAsia="Times New Roman" w:hAnsi="Times New Roman" w:cs="Times New Roman"/>
                <w:sz w:val="20"/>
                <w:szCs w:val="20"/>
              </w:rPr>
              <w:t>10</w:t>
            </w:r>
            <w:r w:rsidRPr="00B007E7">
              <w:rPr>
                <w:rFonts w:ascii="Times New Roman" w:eastAsia="Times New Roman" w:hAnsi="Times New Roman" w:cs="Times New Roman"/>
                <w:sz w:val="20"/>
                <w:szCs w:val="20"/>
              </w:rPr>
              <w:t>***</w:t>
            </w:r>
          </w:p>
          <w:p w14:paraId="6300BEC5"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(0.00)</w:t>
            </w:r>
          </w:p>
        </w:tc>
        <w:tc>
          <w:tcPr>
            <w:tcW w:w="1363" w:type="dxa"/>
            <w:tcBorders>
              <w:top w:val="single" w:sz="12" w:space="0" w:color="auto"/>
            </w:tcBorders>
            <w:vAlign w:val="bottom"/>
          </w:tcPr>
          <w:p w14:paraId="2EA372AB"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0.23</w:t>
            </w:r>
            <w:r>
              <w:rPr>
                <w:rFonts w:ascii="Times New Roman" w:eastAsia="Times New Roman" w:hAnsi="Times New Roman" w:cs="Times New Roman"/>
                <w:sz w:val="20"/>
                <w:szCs w:val="20"/>
              </w:rPr>
              <w:t>4</w:t>
            </w:r>
            <w:r w:rsidRPr="00B007E7">
              <w:rPr>
                <w:rFonts w:ascii="Times New Roman" w:eastAsia="Times New Roman" w:hAnsi="Times New Roman" w:cs="Times New Roman"/>
                <w:sz w:val="20"/>
                <w:szCs w:val="20"/>
              </w:rPr>
              <w:t>***</w:t>
            </w:r>
          </w:p>
          <w:p w14:paraId="4F72E190"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(0.00)</w:t>
            </w:r>
          </w:p>
        </w:tc>
        <w:tc>
          <w:tcPr>
            <w:tcW w:w="1363" w:type="dxa"/>
            <w:tcBorders>
              <w:top w:val="single" w:sz="12" w:space="0" w:color="auto"/>
            </w:tcBorders>
            <w:vAlign w:val="bottom"/>
          </w:tcPr>
          <w:p w14:paraId="05442A2E"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218</w:t>
            </w:r>
            <w:r w:rsidRPr="00B007E7">
              <w:rPr>
                <w:rFonts w:ascii="Times New Roman" w:eastAsia="Times New Roman" w:hAnsi="Times New Roman" w:cs="Times New Roman"/>
                <w:sz w:val="20"/>
                <w:szCs w:val="20"/>
              </w:rPr>
              <w:t>***</w:t>
            </w:r>
          </w:p>
          <w:p w14:paraId="2312EA86"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(0.00)</w:t>
            </w:r>
          </w:p>
        </w:tc>
        <w:tc>
          <w:tcPr>
            <w:tcW w:w="1363" w:type="dxa"/>
            <w:tcBorders>
              <w:top w:val="single" w:sz="12" w:space="0" w:color="auto"/>
            </w:tcBorders>
            <w:vAlign w:val="bottom"/>
          </w:tcPr>
          <w:p w14:paraId="27BBD8EB"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0.19</w:t>
            </w:r>
            <w:r>
              <w:rPr>
                <w:rFonts w:ascii="Times New Roman" w:eastAsia="Times New Roman" w:hAnsi="Times New Roman" w:cs="Times New Roman"/>
                <w:sz w:val="20"/>
                <w:szCs w:val="20"/>
              </w:rPr>
              <w:t>4</w:t>
            </w:r>
            <w:r w:rsidRPr="00B007E7">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B007E7">
              <w:rPr>
                <w:rFonts w:ascii="Times New Roman" w:eastAsia="Times New Roman" w:hAnsi="Times New Roman" w:cs="Times New Roman"/>
                <w:sz w:val="20"/>
                <w:szCs w:val="20"/>
              </w:rPr>
              <w:t>*</w:t>
            </w:r>
          </w:p>
          <w:p w14:paraId="6C7D78B9"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(0.01)</w:t>
            </w:r>
          </w:p>
        </w:tc>
        <w:tc>
          <w:tcPr>
            <w:tcW w:w="1363" w:type="dxa"/>
            <w:tcBorders>
              <w:top w:val="single" w:sz="12" w:space="0" w:color="auto"/>
            </w:tcBorders>
            <w:vAlign w:val="bottom"/>
          </w:tcPr>
          <w:p w14:paraId="248D4ABE"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w:t>
            </w:r>
            <w:r>
              <w:rPr>
                <w:rFonts w:ascii="Times New Roman" w:eastAsia="Times New Roman" w:hAnsi="Times New Roman" w:cs="Times New Roman"/>
                <w:sz w:val="20"/>
                <w:szCs w:val="20"/>
              </w:rPr>
              <w:t>76</w:t>
            </w:r>
            <w:r w:rsidRPr="00B007E7">
              <w:rPr>
                <w:rFonts w:ascii="Times New Roman" w:eastAsia="Times New Roman" w:hAnsi="Times New Roman" w:cs="Times New Roman"/>
                <w:sz w:val="20"/>
                <w:szCs w:val="20"/>
              </w:rPr>
              <w:t>**</w:t>
            </w:r>
          </w:p>
          <w:p w14:paraId="5B79267A"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2</w:t>
            </w:r>
            <w:r w:rsidRPr="00B007E7">
              <w:rPr>
                <w:rFonts w:ascii="Times New Roman" w:eastAsia="Times New Roman" w:hAnsi="Times New Roman" w:cs="Times New Roman"/>
                <w:sz w:val="20"/>
                <w:szCs w:val="20"/>
              </w:rPr>
              <w:t>)</w:t>
            </w:r>
          </w:p>
        </w:tc>
        <w:tc>
          <w:tcPr>
            <w:tcW w:w="1363" w:type="dxa"/>
            <w:tcBorders>
              <w:top w:val="single" w:sz="12" w:space="0" w:color="auto"/>
            </w:tcBorders>
            <w:vAlign w:val="bottom"/>
          </w:tcPr>
          <w:p w14:paraId="51C5ECC9"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0.2</w:t>
            </w:r>
            <w:r>
              <w:rPr>
                <w:rFonts w:ascii="Times New Roman" w:eastAsia="Times New Roman" w:hAnsi="Times New Roman" w:cs="Times New Roman"/>
                <w:sz w:val="20"/>
                <w:szCs w:val="20"/>
              </w:rPr>
              <w:t>15</w:t>
            </w:r>
            <w:r w:rsidRPr="00B007E7">
              <w:rPr>
                <w:rFonts w:ascii="Times New Roman" w:eastAsia="Times New Roman" w:hAnsi="Times New Roman" w:cs="Times New Roman"/>
                <w:sz w:val="20"/>
                <w:szCs w:val="20"/>
              </w:rPr>
              <w:t>***</w:t>
            </w:r>
          </w:p>
          <w:p w14:paraId="3119CC63"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(0.00)</w:t>
            </w:r>
          </w:p>
        </w:tc>
      </w:tr>
      <w:tr w:rsidR="00E37ECB" w14:paraId="3D7D8856" w14:textId="77777777" w:rsidTr="00560FBA">
        <w:trPr>
          <w:trHeight w:val="470"/>
        </w:trPr>
        <w:tc>
          <w:tcPr>
            <w:tcW w:w="1594" w:type="dxa"/>
            <w:tcBorders>
              <w:right w:val="single" w:sz="12" w:space="0" w:color="auto"/>
            </w:tcBorders>
            <w:vAlign w:val="bottom"/>
          </w:tcPr>
          <w:p w14:paraId="5C0BDB46" w14:textId="77777777" w:rsidR="00E37ECB"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B007E7">
              <w:rPr>
                <w:rFonts w:ascii="Times New Roman" w:eastAsia="Times New Roman" w:hAnsi="Times New Roman" w:cs="Times New Roman"/>
                <w:sz w:val="20"/>
                <w:szCs w:val="20"/>
              </w:rPr>
              <w:t>Filed in 2010</w:t>
            </w:r>
          </w:p>
        </w:tc>
        <w:tc>
          <w:tcPr>
            <w:tcW w:w="1363" w:type="dxa"/>
            <w:tcBorders>
              <w:left w:val="single" w:sz="12" w:space="0" w:color="auto"/>
            </w:tcBorders>
            <w:vAlign w:val="bottom"/>
          </w:tcPr>
          <w:p w14:paraId="4DE80391"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w:t>
            </w:r>
            <w:r>
              <w:rPr>
                <w:rFonts w:ascii="Times New Roman" w:eastAsia="Times New Roman" w:hAnsi="Times New Roman" w:cs="Times New Roman"/>
                <w:sz w:val="20"/>
                <w:szCs w:val="20"/>
              </w:rPr>
              <w:t>.115</w:t>
            </w:r>
          </w:p>
          <w:p w14:paraId="58DDA42C"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11</w:t>
            </w:r>
            <w:r w:rsidRPr="00B007E7">
              <w:rPr>
                <w:rFonts w:ascii="Times New Roman" w:eastAsia="Times New Roman" w:hAnsi="Times New Roman" w:cs="Times New Roman"/>
                <w:sz w:val="20"/>
                <w:szCs w:val="20"/>
              </w:rPr>
              <w:t>)</w:t>
            </w:r>
          </w:p>
        </w:tc>
        <w:tc>
          <w:tcPr>
            <w:tcW w:w="1363" w:type="dxa"/>
            <w:vAlign w:val="bottom"/>
          </w:tcPr>
          <w:p w14:paraId="49F0054C" w14:textId="77777777" w:rsidR="00E37ECB" w:rsidRPr="00B007E7" w:rsidRDefault="00E37ECB" w:rsidP="00560FBA">
            <w:pPr>
              <w:rPr>
                <w:rFonts w:ascii="Times New Roman" w:hAnsi="Times New Roman" w:cs="Times New Roman"/>
                <w:b/>
                <w:sz w:val="20"/>
                <w:szCs w:val="20"/>
              </w:rPr>
            </w:pPr>
            <w:r>
              <w:rPr>
                <w:rFonts w:ascii="Times New Roman" w:eastAsia="Times New Roman" w:hAnsi="Times New Roman" w:cs="Times New Roman"/>
                <w:sz w:val="20"/>
                <w:szCs w:val="20"/>
              </w:rPr>
              <w:t>-.142*</w:t>
            </w:r>
          </w:p>
          <w:p w14:paraId="1808223B"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5</w:t>
            </w:r>
            <w:r w:rsidRPr="00B007E7">
              <w:rPr>
                <w:rFonts w:ascii="Times New Roman" w:eastAsia="Times New Roman" w:hAnsi="Times New Roman" w:cs="Times New Roman"/>
                <w:sz w:val="20"/>
                <w:szCs w:val="20"/>
              </w:rPr>
              <w:t>)</w:t>
            </w:r>
          </w:p>
        </w:tc>
        <w:tc>
          <w:tcPr>
            <w:tcW w:w="1363" w:type="dxa"/>
            <w:vAlign w:val="bottom"/>
          </w:tcPr>
          <w:p w14:paraId="0B160150"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w:t>
            </w:r>
            <w:r>
              <w:rPr>
                <w:rFonts w:ascii="Times New Roman" w:eastAsia="Times New Roman" w:hAnsi="Times New Roman" w:cs="Times New Roman"/>
                <w:sz w:val="20"/>
                <w:szCs w:val="20"/>
              </w:rPr>
              <w:t>-.162**</w:t>
            </w:r>
          </w:p>
          <w:p w14:paraId="663CFF4D"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4</w:t>
            </w:r>
            <w:r w:rsidRPr="00B007E7">
              <w:rPr>
                <w:rFonts w:ascii="Times New Roman" w:eastAsia="Times New Roman" w:hAnsi="Times New Roman" w:cs="Times New Roman"/>
                <w:sz w:val="20"/>
                <w:szCs w:val="20"/>
              </w:rPr>
              <w:t>)</w:t>
            </w:r>
          </w:p>
        </w:tc>
        <w:tc>
          <w:tcPr>
            <w:tcW w:w="1363" w:type="dxa"/>
            <w:vAlign w:val="bottom"/>
          </w:tcPr>
          <w:p w14:paraId="4D1B1160" w14:textId="77777777" w:rsidR="00E37ECB" w:rsidRPr="00B007E7" w:rsidRDefault="00E37ECB" w:rsidP="00560FBA">
            <w:pPr>
              <w:rPr>
                <w:rFonts w:ascii="Times New Roman" w:hAnsi="Times New Roman" w:cs="Times New Roman"/>
                <w:b/>
                <w:sz w:val="20"/>
                <w:szCs w:val="20"/>
              </w:rPr>
            </w:pPr>
            <w:r>
              <w:rPr>
                <w:rFonts w:ascii="Times New Roman" w:eastAsia="Times New Roman" w:hAnsi="Times New Roman" w:cs="Times New Roman"/>
                <w:sz w:val="20"/>
                <w:szCs w:val="20"/>
              </w:rPr>
              <w:t>-.132</w:t>
            </w:r>
          </w:p>
          <w:p w14:paraId="22767900"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11</w:t>
            </w:r>
            <w:r w:rsidRPr="00B007E7">
              <w:rPr>
                <w:rFonts w:ascii="Times New Roman" w:eastAsia="Times New Roman" w:hAnsi="Times New Roman" w:cs="Times New Roman"/>
                <w:sz w:val="20"/>
                <w:szCs w:val="20"/>
              </w:rPr>
              <w:t>)</w:t>
            </w:r>
          </w:p>
        </w:tc>
        <w:tc>
          <w:tcPr>
            <w:tcW w:w="1363" w:type="dxa"/>
            <w:vAlign w:val="bottom"/>
          </w:tcPr>
          <w:p w14:paraId="360CC8C5"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w:t>
            </w:r>
            <w:r>
              <w:rPr>
                <w:rFonts w:ascii="Times New Roman" w:eastAsia="Times New Roman" w:hAnsi="Times New Roman" w:cs="Times New Roman"/>
                <w:sz w:val="20"/>
                <w:szCs w:val="20"/>
              </w:rPr>
              <w:t>28</w:t>
            </w:r>
          </w:p>
          <w:p w14:paraId="237F0A41"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14</w:t>
            </w:r>
            <w:r w:rsidRPr="00B007E7">
              <w:rPr>
                <w:rFonts w:ascii="Times New Roman" w:eastAsia="Times New Roman" w:hAnsi="Times New Roman" w:cs="Times New Roman"/>
                <w:sz w:val="20"/>
                <w:szCs w:val="20"/>
              </w:rPr>
              <w:t>)</w:t>
            </w:r>
          </w:p>
        </w:tc>
        <w:tc>
          <w:tcPr>
            <w:tcW w:w="1363" w:type="dxa"/>
            <w:vAlign w:val="bottom"/>
          </w:tcPr>
          <w:p w14:paraId="5BB92D8A"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w:t>
            </w:r>
            <w:r>
              <w:rPr>
                <w:rFonts w:ascii="Times New Roman" w:eastAsia="Times New Roman" w:hAnsi="Times New Roman" w:cs="Times New Roman"/>
                <w:sz w:val="20"/>
                <w:szCs w:val="20"/>
              </w:rPr>
              <w:t>37</w:t>
            </w:r>
            <w:r w:rsidRPr="00B007E7">
              <w:rPr>
                <w:rFonts w:ascii="Times New Roman" w:eastAsia="Times New Roman" w:hAnsi="Times New Roman" w:cs="Times New Roman"/>
                <w:sz w:val="20"/>
                <w:szCs w:val="20"/>
              </w:rPr>
              <w:t>*</w:t>
            </w:r>
          </w:p>
          <w:p w14:paraId="6A14DD5F"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8</w:t>
            </w:r>
            <w:r w:rsidRPr="00B007E7">
              <w:rPr>
                <w:rFonts w:ascii="Times New Roman" w:eastAsia="Times New Roman" w:hAnsi="Times New Roman" w:cs="Times New Roman"/>
                <w:sz w:val="20"/>
                <w:szCs w:val="20"/>
              </w:rPr>
              <w:t>)</w:t>
            </w:r>
          </w:p>
        </w:tc>
      </w:tr>
      <w:tr w:rsidR="00E37ECB" w14:paraId="04F5FA0E" w14:textId="77777777" w:rsidTr="00560FBA">
        <w:trPr>
          <w:trHeight w:val="470"/>
        </w:trPr>
        <w:tc>
          <w:tcPr>
            <w:tcW w:w="1594" w:type="dxa"/>
            <w:tcBorders>
              <w:right w:val="single" w:sz="12" w:space="0" w:color="auto"/>
            </w:tcBorders>
            <w:vAlign w:val="bottom"/>
          </w:tcPr>
          <w:p w14:paraId="13E42AA1" w14:textId="77777777" w:rsidR="00E37ECB"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Pr="00B007E7">
              <w:rPr>
                <w:rFonts w:ascii="Times New Roman" w:eastAsia="Times New Roman" w:hAnsi="Times New Roman" w:cs="Times New Roman"/>
                <w:sz w:val="20"/>
                <w:szCs w:val="20"/>
              </w:rPr>
              <w:t>No asset</w:t>
            </w:r>
          </w:p>
        </w:tc>
        <w:tc>
          <w:tcPr>
            <w:tcW w:w="1363" w:type="dxa"/>
            <w:tcBorders>
              <w:left w:val="single" w:sz="12" w:space="0" w:color="auto"/>
            </w:tcBorders>
            <w:vAlign w:val="bottom"/>
          </w:tcPr>
          <w:p w14:paraId="33441EBB"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-0.14</w:t>
            </w:r>
            <w:r>
              <w:rPr>
                <w:rFonts w:ascii="Times New Roman" w:eastAsia="Times New Roman" w:hAnsi="Times New Roman" w:cs="Times New Roman"/>
                <w:sz w:val="20"/>
                <w:szCs w:val="20"/>
              </w:rPr>
              <w:t>0</w:t>
            </w:r>
            <w:r w:rsidRPr="00B007E7">
              <w:rPr>
                <w:rFonts w:ascii="Times New Roman" w:eastAsia="Times New Roman" w:hAnsi="Times New Roman" w:cs="Times New Roman"/>
                <w:sz w:val="20"/>
                <w:szCs w:val="20"/>
              </w:rPr>
              <w:t>*</w:t>
            </w:r>
          </w:p>
          <w:p w14:paraId="575BC745"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9</w:t>
            </w:r>
            <w:r w:rsidRPr="00B007E7">
              <w:rPr>
                <w:rFonts w:ascii="Times New Roman" w:eastAsia="Times New Roman" w:hAnsi="Times New Roman" w:cs="Times New Roman"/>
                <w:sz w:val="20"/>
                <w:szCs w:val="20"/>
              </w:rPr>
              <w:t>)</w:t>
            </w:r>
          </w:p>
        </w:tc>
        <w:tc>
          <w:tcPr>
            <w:tcW w:w="1363" w:type="dxa"/>
            <w:vAlign w:val="bottom"/>
          </w:tcPr>
          <w:p w14:paraId="76F88C03"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-0.14</w:t>
            </w:r>
            <w:r>
              <w:rPr>
                <w:rFonts w:ascii="Times New Roman" w:eastAsia="Times New Roman" w:hAnsi="Times New Roman" w:cs="Times New Roman"/>
                <w:sz w:val="20"/>
                <w:szCs w:val="20"/>
              </w:rPr>
              <w:t>5</w:t>
            </w:r>
            <w:r w:rsidRPr="00B007E7">
              <w:rPr>
                <w:rFonts w:ascii="Times New Roman" w:eastAsia="Times New Roman" w:hAnsi="Times New Roman" w:cs="Times New Roman"/>
                <w:sz w:val="20"/>
                <w:szCs w:val="20"/>
              </w:rPr>
              <w:t>*</w:t>
            </w:r>
          </w:p>
          <w:p w14:paraId="38204926"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8</w:t>
            </w:r>
            <w:r w:rsidRPr="00B007E7">
              <w:rPr>
                <w:rFonts w:ascii="Times New Roman" w:eastAsia="Times New Roman" w:hAnsi="Times New Roman" w:cs="Times New Roman"/>
                <w:sz w:val="20"/>
                <w:szCs w:val="20"/>
              </w:rPr>
              <w:t>)</w:t>
            </w:r>
          </w:p>
        </w:tc>
        <w:tc>
          <w:tcPr>
            <w:tcW w:w="1363" w:type="dxa"/>
            <w:vAlign w:val="bottom"/>
          </w:tcPr>
          <w:p w14:paraId="49A30C99"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-0.1</w:t>
            </w:r>
            <w:r>
              <w:rPr>
                <w:rFonts w:ascii="Times New Roman" w:eastAsia="Times New Roman" w:hAnsi="Times New Roman" w:cs="Times New Roman"/>
                <w:sz w:val="20"/>
                <w:szCs w:val="20"/>
              </w:rPr>
              <w:t>75</w:t>
            </w:r>
            <w:r w:rsidRPr="00B007E7">
              <w:rPr>
                <w:rFonts w:ascii="Times New Roman" w:eastAsia="Times New Roman" w:hAnsi="Times New Roman" w:cs="Times New Roman"/>
                <w:sz w:val="20"/>
                <w:szCs w:val="20"/>
              </w:rPr>
              <w:t>**</w:t>
            </w:r>
          </w:p>
          <w:p w14:paraId="0F27229A"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5</w:t>
            </w:r>
            <w:r w:rsidRPr="00B007E7">
              <w:rPr>
                <w:rFonts w:ascii="Times New Roman" w:eastAsia="Times New Roman" w:hAnsi="Times New Roman" w:cs="Times New Roman"/>
                <w:sz w:val="20"/>
                <w:szCs w:val="20"/>
              </w:rPr>
              <w:t>)</w:t>
            </w:r>
          </w:p>
        </w:tc>
        <w:tc>
          <w:tcPr>
            <w:tcW w:w="1363" w:type="dxa"/>
            <w:vAlign w:val="bottom"/>
          </w:tcPr>
          <w:p w14:paraId="6B671954"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-0.14</w:t>
            </w:r>
            <w:r>
              <w:rPr>
                <w:rFonts w:ascii="Times New Roman" w:eastAsia="Times New Roman" w:hAnsi="Times New Roman" w:cs="Times New Roman"/>
                <w:sz w:val="20"/>
                <w:szCs w:val="20"/>
              </w:rPr>
              <w:t>0</w:t>
            </w:r>
          </w:p>
          <w:p w14:paraId="6D438BDF"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w:t>
            </w:r>
            <w:r>
              <w:rPr>
                <w:rFonts w:ascii="Times New Roman" w:eastAsia="Times New Roman" w:hAnsi="Times New Roman" w:cs="Times New Roman"/>
                <w:sz w:val="20"/>
                <w:szCs w:val="20"/>
              </w:rPr>
              <w:t>3</w:t>
            </w:r>
            <w:r w:rsidRPr="00B007E7">
              <w:rPr>
                <w:rFonts w:ascii="Times New Roman" w:eastAsia="Times New Roman" w:hAnsi="Times New Roman" w:cs="Times New Roman"/>
                <w:sz w:val="20"/>
                <w:szCs w:val="20"/>
              </w:rPr>
              <w:t>)</w:t>
            </w:r>
          </w:p>
        </w:tc>
        <w:tc>
          <w:tcPr>
            <w:tcW w:w="1363" w:type="dxa"/>
            <w:vAlign w:val="bottom"/>
          </w:tcPr>
          <w:p w14:paraId="5359DAA1"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-0.10</w:t>
            </w:r>
            <w:r>
              <w:rPr>
                <w:rFonts w:ascii="Times New Roman" w:eastAsia="Times New Roman" w:hAnsi="Times New Roman" w:cs="Times New Roman"/>
                <w:sz w:val="20"/>
                <w:szCs w:val="20"/>
              </w:rPr>
              <w:t>0</w:t>
            </w:r>
          </w:p>
          <w:p w14:paraId="39252CA1"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30</w:t>
            </w:r>
            <w:r w:rsidRPr="00B007E7">
              <w:rPr>
                <w:rFonts w:ascii="Times New Roman" w:eastAsia="Times New Roman" w:hAnsi="Times New Roman" w:cs="Times New Roman"/>
                <w:sz w:val="20"/>
                <w:szCs w:val="20"/>
              </w:rPr>
              <w:t>)</w:t>
            </w:r>
          </w:p>
        </w:tc>
        <w:tc>
          <w:tcPr>
            <w:tcW w:w="1363" w:type="dxa"/>
            <w:vAlign w:val="bottom"/>
          </w:tcPr>
          <w:p w14:paraId="622DE3AB"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-0.1</w:t>
            </w:r>
            <w:r>
              <w:rPr>
                <w:rFonts w:ascii="Times New Roman" w:eastAsia="Times New Roman" w:hAnsi="Times New Roman" w:cs="Times New Roman"/>
                <w:sz w:val="20"/>
                <w:szCs w:val="20"/>
              </w:rPr>
              <w:t>59*</w:t>
            </w:r>
          </w:p>
          <w:p w14:paraId="15840664"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08</w:t>
            </w:r>
            <w:r w:rsidRPr="00B007E7">
              <w:rPr>
                <w:rFonts w:ascii="Times New Roman" w:eastAsia="Times New Roman" w:hAnsi="Times New Roman" w:cs="Times New Roman"/>
                <w:sz w:val="20"/>
                <w:szCs w:val="20"/>
              </w:rPr>
              <w:t>)</w:t>
            </w:r>
          </w:p>
        </w:tc>
      </w:tr>
      <w:tr w:rsidR="00E37ECB" w14:paraId="0C133B7F" w14:textId="77777777" w:rsidTr="00560FBA">
        <w:trPr>
          <w:trHeight w:val="470"/>
        </w:trPr>
        <w:tc>
          <w:tcPr>
            <w:tcW w:w="1594" w:type="dxa"/>
            <w:tcBorders>
              <w:right w:val="single" w:sz="12" w:space="0" w:color="auto"/>
            </w:tcBorders>
            <w:vAlign w:val="bottom"/>
          </w:tcPr>
          <w:p w14:paraId="6B86A8C0" w14:textId="77777777" w:rsidR="00E37ECB"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B007E7">
              <w:rPr>
                <w:rFonts w:ascii="Times New Roman" w:eastAsia="Times New Roman" w:hAnsi="Times New Roman" w:cs="Times New Roman"/>
                <w:sz w:val="20"/>
                <w:szCs w:val="20"/>
              </w:rPr>
              <w:t>Converted into chapter 11</w:t>
            </w:r>
          </w:p>
        </w:tc>
        <w:tc>
          <w:tcPr>
            <w:tcW w:w="1363" w:type="dxa"/>
            <w:tcBorders>
              <w:left w:val="single" w:sz="12" w:space="0" w:color="auto"/>
            </w:tcBorders>
            <w:vAlign w:val="bottom"/>
          </w:tcPr>
          <w:p w14:paraId="2804BA66" w14:textId="77777777" w:rsidR="00E37ECB" w:rsidRPr="00B007E7" w:rsidRDefault="00E37ECB" w:rsidP="00560FBA">
            <w:pPr>
              <w:rPr>
                <w:rFonts w:ascii="Times New Roman" w:eastAsia="Times New Roman" w:hAnsi="Times New Roman" w:cs="Times New Roman"/>
                <w:sz w:val="20"/>
                <w:szCs w:val="20"/>
              </w:rPr>
            </w:pPr>
          </w:p>
        </w:tc>
        <w:tc>
          <w:tcPr>
            <w:tcW w:w="1363" w:type="dxa"/>
            <w:vAlign w:val="bottom"/>
          </w:tcPr>
          <w:p w14:paraId="586F9D37" w14:textId="77777777" w:rsidR="00E37ECB" w:rsidRPr="00B007E7" w:rsidRDefault="00E37ECB" w:rsidP="00560FBA">
            <w:pPr>
              <w:rPr>
                <w:rFonts w:ascii="Times New Roman" w:eastAsia="Times New Roman" w:hAnsi="Times New Roman" w:cs="Times New Roman"/>
                <w:sz w:val="20"/>
                <w:szCs w:val="20"/>
              </w:rPr>
            </w:pPr>
          </w:p>
        </w:tc>
        <w:tc>
          <w:tcPr>
            <w:tcW w:w="1363" w:type="dxa"/>
            <w:vAlign w:val="bottom"/>
          </w:tcPr>
          <w:p w14:paraId="4CEF2FBB" w14:textId="77777777" w:rsidR="00E37ECB" w:rsidRPr="00B007E7" w:rsidRDefault="00E37ECB" w:rsidP="00560FBA">
            <w:pPr>
              <w:rPr>
                <w:rFonts w:ascii="Times New Roman" w:eastAsia="Times New Roman" w:hAnsi="Times New Roman" w:cs="Times New Roman"/>
                <w:sz w:val="20"/>
                <w:szCs w:val="20"/>
              </w:rPr>
            </w:pPr>
          </w:p>
        </w:tc>
        <w:tc>
          <w:tcPr>
            <w:tcW w:w="1363" w:type="dxa"/>
            <w:vAlign w:val="bottom"/>
          </w:tcPr>
          <w:p w14:paraId="0F06F03A"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183AAC00"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0.001</w:t>
            </w:r>
            <w:r>
              <w:rPr>
                <w:rFonts w:ascii="Times New Roman" w:eastAsia="Times New Roman" w:hAnsi="Times New Roman" w:cs="Times New Roman"/>
                <w:sz w:val="20"/>
                <w:szCs w:val="20"/>
              </w:rPr>
              <w:t>2</w:t>
            </w:r>
          </w:p>
          <w:p w14:paraId="1DE5480E"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(0.996)</w:t>
            </w:r>
          </w:p>
        </w:tc>
        <w:tc>
          <w:tcPr>
            <w:tcW w:w="1363" w:type="dxa"/>
            <w:vAlign w:val="bottom"/>
          </w:tcPr>
          <w:p w14:paraId="000A0294"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-0.15</w:t>
            </w:r>
            <w:r>
              <w:rPr>
                <w:rFonts w:ascii="Times New Roman" w:eastAsia="Times New Roman" w:hAnsi="Times New Roman" w:cs="Times New Roman"/>
                <w:sz w:val="20"/>
                <w:szCs w:val="20"/>
              </w:rPr>
              <w:t>1</w:t>
            </w:r>
          </w:p>
          <w:p w14:paraId="1B1191CE"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20</w:t>
            </w:r>
            <w:r w:rsidRPr="00B007E7">
              <w:rPr>
                <w:rFonts w:ascii="Times New Roman" w:eastAsia="Times New Roman" w:hAnsi="Times New Roman" w:cs="Times New Roman"/>
                <w:sz w:val="20"/>
                <w:szCs w:val="20"/>
              </w:rPr>
              <w:t>)</w:t>
            </w:r>
          </w:p>
        </w:tc>
      </w:tr>
      <w:tr w:rsidR="00E37ECB" w14:paraId="11DE0B44" w14:textId="77777777" w:rsidTr="00560FBA">
        <w:trPr>
          <w:trHeight w:val="470"/>
        </w:trPr>
        <w:tc>
          <w:tcPr>
            <w:tcW w:w="1594" w:type="dxa"/>
            <w:tcBorders>
              <w:right w:val="single" w:sz="12" w:space="0" w:color="auto"/>
            </w:tcBorders>
            <w:vAlign w:val="bottom"/>
          </w:tcPr>
          <w:p w14:paraId="58DE25F7" w14:textId="77777777" w:rsidR="00E37ECB" w:rsidRPr="00B007E7" w:rsidRDefault="00E37ECB" w:rsidP="00560FBA">
            <w:pPr>
              <w:rPr>
                <w:rFonts w:ascii="Times New Roman" w:hAnsi="Times New Roman" w:cs="Times New Roman"/>
                <w:b/>
                <w:sz w:val="20"/>
                <w:szCs w:val="20"/>
              </w:rPr>
            </w:pPr>
            <w:r>
              <w:rPr>
                <w:rFonts w:ascii="Times New Roman" w:eastAsia="Times New Roman" w:hAnsi="Times New Roman" w:cs="Times New Roman"/>
                <w:sz w:val="20"/>
                <w:szCs w:val="20"/>
              </w:rPr>
              <w:t xml:space="preserve">(5) </w:t>
            </w:r>
            <w:r w:rsidRPr="00B007E7">
              <w:rPr>
                <w:rFonts w:ascii="Times New Roman" w:eastAsia="Times New Roman" w:hAnsi="Times New Roman" w:cs="Times New Roman"/>
                <w:sz w:val="20"/>
                <w:szCs w:val="20"/>
              </w:rPr>
              <w:t>Primarily business debt</w:t>
            </w:r>
          </w:p>
        </w:tc>
        <w:tc>
          <w:tcPr>
            <w:tcW w:w="1363" w:type="dxa"/>
            <w:tcBorders>
              <w:left w:val="single" w:sz="12" w:space="0" w:color="auto"/>
            </w:tcBorders>
            <w:vAlign w:val="bottom"/>
          </w:tcPr>
          <w:p w14:paraId="5D6362B9"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0.07</w:t>
            </w:r>
            <w:r>
              <w:rPr>
                <w:rFonts w:ascii="Times New Roman" w:eastAsia="Times New Roman" w:hAnsi="Times New Roman" w:cs="Times New Roman"/>
                <w:sz w:val="20"/>
                <w:szCs w:val="20"/>
              </w:rPr>
              <w:t>82</w:t>
            </w:r>
          </w:p>
          <w:p w14:paraId="48CF45EC"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(0.2</w:t>
            </w:r>
            <w:r>
              <w:rPr>
                <w:rFonts w:ascii="Times New Roman" w:eastAsia="Times New Roman" w:hAnsi="Times New Roman" w:cs="Times New Roman"/>
                <w:sz w:val="20"/>
                <w:szCs w:val="20"/>
              </w:rPr>
              <w:t>4</w:t>
            </w:r>
            <w:r w:rsidRPr="00B007E7">
              <w:rPr>
                <w:rFonts w:ascii="Times New Roman" w:eastAsia="Times New Roman" w:hAnsi="Times New Roman" w:cs="Times New Roman"/>
                <w:sz w:val="20"/>
                <w:szCs w:val="20"/>
              </w:rPr>
              <w:t>)</w:t>
            </w:r>
          </w:p>
        </w:tc>
        <w:tc>
          <w:tcPr>
            <w:tcW w:w="1363" w:type="dxa"/>
            <w:vAlign w:val="bottom"/>
          </w:tcPr>
          <w:p w14:paraId="52BA4C18"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0.08</w:t>
            </w:r>
            <w:r>
              <w:rPr>
                <w:rFonts w:ascii="Times New Roman" w:eastAsia="Times New Roman" w:hAnsi="Times New Roman" w:cs="Times New Roman"/>
                <w:sz w:val="20"/>
                <w:szCs w:val="20"/>
              </w:rPr>
              <w:t>80</w:t>
            </w:r>
          </w:p>
          <w:p w14:paraId="50061AFF"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w:t>
            </w:r>
            <w:r>
              <w:rPr>
                <w:rFonts w:ascii="Times New Roman" w:eastAsia="Times New Roman" w:hAnsi="Times New Roman" w:cs="Times New Roman"/>
                <w:sz w:val="20"/>
                <w:szCs w:val="20"/>
              </w:rPr>
              <w:t>8</w:t>
            </w:r>
            <w:r w:rsidRPr="00B007E7">
              <w:rPr>
                <w:rFonts w:ascii="Times New Roman" w:eastAsia="Times New Roman" w:hAnsi="Times New Roman" w:cs="Times New Roman"/>
                <w:sz w:val="20"/>
                <w:szCs w:val="20"/>
              </w:rPr>
              <w:t>)</w:t>
            </w:r>
          </w:p>
        </w:tc>
        <w:tc>
          <w:tcPr>
            <w:tcW w:w="1363" w:type="dxa"/>
            <w:vAlign w:val="bottom"/>
          </w:tcPr>
          <w:p w14:paraId="15468028"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0.05</w:t>
            </w:r>
            <w:r>
              <w:rPr>
                <w:rFonts w:ascii="Times New Roman" w:eastAsia="Times New Roman" w:hAnsi="Times New Roman" w:cs="Times New Roman"/>
                <w:sz w:val="20"/>
                <w:szCs w:val="20"/>
              </w:rPr>
              <w:t>2</w:t>
            </w:r>
          </w:p>
          <w:p w14:paraId="4CAF3800"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(0.4</w:t>
            </w:r>
            <w:r>
              <w:rPr>
                <w:rFonts w:ascii="Times New Roman" w:eastAsia="Times New Roman" w:hAnsi="Times New Roman" w:cs="Times New Roman"/>
                <w:sz w:val="20"/>
                <w:szCs w:val="20"/>
              </w:rPr>
              <w:t>6</w:t>
            </w:r>
            <w:r w:rsidRPr="00B007E7">
              <w:rPr>
                <w:rFonts w:ascii="Times New Roman" w:eastAsia="Times New Roman" w:hAnsi="Times New Roman" w:cs="Times New Roman"/>
                <w:sz w:val="20"/>
                <w:szCs w:val="20"/>
              </w:rPr>
              <w:t>)</w:t>
            </w:r>
          </w:p>
        </w:tc>
        <w:tc>
          <w:tcPr>
            <w:tcW w:w="1363" w:type="dxa"/>
            <w:vAlign w:val="bottom"/>
          </w:tcPr>
          <w:p w14:paraId="79043E0D"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32CD61B3"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0C29D5F0"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0.11</w:t>
            </w:r>
            <w:r>
              <w:rPr>
                <w:rFonts w:ascii="Times New Roman" w:eastAsia="Times New Roman" w:hAnsi="Times New Roman" w:cs="Times New Roman"/>
                <w:sz w:val="20"/>
                <w:szCs w:val="20"/>
              </w:rPr>
              <w:t>2</w:t>
            </w:r>
          </w:p>
          <w:p w14:paraId="3C011DB9"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w:t>
            </w:r>
            <w:r>
              <w:rPr>
                <w:rFonts w:ascii="Times New Roman" w:eastAsia="Times New Roman" w:hAnsi="Times New Roman" w:cs="Times New Roman"/>
                <w:sz w:val="20"/>
                <w:szCs w:val="20"/>
              </w:rPr>
              <w:t>3</w:t>
            </w:r>
            <w:r w:rsidRPr="00B007E7">
              <w:rPr>
                <w:rFonts w:ascii="Times New Roman" w:eastAsia="Times New Roman" w:hAnsi="Times New Roman" w:cs="Times New Roman"/>
                <w:sz w:val="20"/>
                <w:szCs w:val="20"/>
              </w:rPr>
              <w:t>)</w:t>
            </w:r>
          </w:p>
        </w:tc>
      </w:tr>
      <w:tr w:rsidR="00E37ECB" w14:paraId="62A836CD" w14:textId="77777777" w:rsidTr="00560FBA">
        <w:trPr>
          <w:trHeight w:val="470"/>
        </w:trPr>
        <w:tc>
          <w:tcPr>
            <w:tcW w:w="1594" w:type="dxa"/>
            <w:tcBorders>
              <w:right w:val="single" w:sz="12" w:space="0" w:color="auto"/>
            </w:tcBorders>
            <w:vAlign w:val="bottom"/>
          </w:tcPr>
          <w:p w14:paraId="0E62E701" w14:textId="77777777" w:rsidR="00E37ECB" w:rsidRPr="00B007E7" w:rsidRDefault="00E37ECB" w:rsidP="00560FBA">
            <w:pPr>
              <w:rPr>
                <w:rFonts w:ascii="Times New Roman" w:hAnsi="Times New Roman" w:cs="Times New Roman"/>
                <w:b/>
                <w:sz w:val="20"/>
                <w:szCs w:val="20"/>
              </w:rPr>
            </w:pPr>
            <w:r>
              <w:rPr>
                <w:rFonts w:ascii="Times New Roman" w:eastAsia="Times New Roman" w:hAnsi="Times New Roman" w:cs="Times New Roman"/>
                <w:sz w:val="20"/>
                <w:szCs w:val="20"/>
              </w:rPr>
              <w:t xml:space="preserve">(6) </w:t>
            </w:r>
            <w:r w:rsidRPr="00B007E7">
              <w:rPr>
                <w:rFonts w:ascii="Times New Roman" w:eastAsia="Times New Roman" w:hAnsi="Times New Roman" w:cs="Times New Roman"/>
                <w:sz w:val="20"/>
                <w:szCs w:val="20"/>
              </w:rPr>
              <w:t>Business operations</w:t>
            </w:r>
          </w:p>
        </w:tc>
        <w:tc>
          <w:tcPr>
            <w:tcW w:w="1363" w:type="dxa"/>
            <w:tcBorders>
              <w:left w:val="single" w:sz="12" w:space="0" w:color="auto"/>
            </w:tcBorders>
            <w:vAlign w:val="bottom"/>
          </w:tcPr>
          <w:p w14:paraId="0344C6CB"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008AFA6B"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6EB595D7"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47424811"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0.14</w:t>
            </w:r>
            <w:r>
              <w:rPr>
                <w:rFonts w:ascii="Times New Roman" w:eastAsia="Times New Roman" w:hAnsi="Times New Roman" w:cs="Times New Roman"/>
                <w:sz w:val="20"/>
                <w:szCs w:val="20"/>
              </w:rPr>
              <w:t>1</w:t>
            </w:r>
          </w:p>
          <w:p w14:paraId="54D3A1A5"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22</w:t>
            </w:r>
            <w:r w:rsidRPr="00B007E7">
              <w:rPr>
                <w:rFonts w:ascii="Times New Roman" w:eastAsia="Times New Roman" w:hAnsi="Times New Roman" w:cs="Times New Roman"/>
                <w:sz w:val="20"/>
                <w:szCs w:val="20"/>
              </w:rPr>
              <w:t>)</w:t>
            </w:r>
          </w:p>
        </w:tc>
        <w:tc>
          <w:tcPr>
            <w:tcW w:w="1363" w:type="dxa"/>
            <w:vAlign w:val="bottom"/>
          </w:tcPr>
          <w:p w14:paraId="55ED1F3E"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04D4615F" w14:textId="77777777" w:rsidR="00E37ECB" w:rsidRPr="00B007E7" w:rsidRDefault="00E37ECB" w:rsidP="00560FBA">
            <w:pPr>
              <w:rPr>
                <w:rFonts w:ascii="Times New Roman" w:hAnsi="Times New Roman" w:cs="Times New Roman"/>
                <w:b/>
                <w:sz w:val="20"/>
                <w:szCs w:val="20"/>
              </w:rPr>
            </w:pPr>
          </w:p>
        </w:tc>
      </w:tr>
      <w:tr w:rsidR="00E37ECB" w14:paraId="100B267E" w14:textId="77777777" w:rsidTr="00560FBA">
        <w:trPr>
          <w:trHeight w:val="470"/>
        </w:trPr>
        <w:tc>
          <w:tcPr>
            <w:tcW w:w="1594" w:type="dxa"/>
            <w:tcBorders>
              <w:right w:val="single" w:sz="12" w:space="0" w:color="auto"/>
            </w:tcBorders>
            <w:vAlign w:val="bottom"/>
          </w:tcPr>
          <w:p w14:paraId="6A4B46A3" w14:textId="77777777" w:rsidR="00E37ECB" w:rsidRPr="00B007E7" w:rsidRDefault="00E37ECB" w:rsidP="00560FBA">
            <w:pPr>
              <w:rPr>
                <w:rFonts w:ascii="Times New Roman" w:hAnsi="Times New Roman" w:cs="Times New Roman"/>
                <w:b/>
                <w:sz w:val="20"/>
                <w:szCs w:val="20"/>
              </w:rPr>
            </w:pPr>
            <w:r>
              <w:rPr>
                <w:rFonts w:ascii="Times New Roman" w:eastAsia="Times New Roman" w:hAnsi="Times New Roman" w:cs="Times New Roman"/>
                <w:sz w:val="20"/>
                <w:szCs w:val="20"/>
              </w:rPr>
              <w:t xml:space="preserve">(7) </w:t>
            </w:r>
            <w:r w:rsidRPr="00B007E7">
              <w:rPr>
                <w:rFonts w:ascii="Times New Roman" w:eastAsia="Times New Roman" w:hAnsi="Times New Roman" w:cs="Times New Roman"/>
                <w:sz w:val="20"/>
                <w:szCs w:val="20"/>
              </w:rPr>
              <w:t>Small business</w:t>
            </w:r>
          </w:p>
        </w:tc>
        <w:tc>
          <w:tcPr>
            <w:tcW w:w="1363" w:type="dxa"/>
            <w:tcBorders>
              <w:left w:val="single" w:sz="12" w:space="0" w:color="auto"/>
            </w:tcBorders>
            <w:vAlign w:val="bottom"/>
          </w:tcPr>
          <w:p w14:paraId="64E1D831"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472FCF1B"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10290997"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1161A3F9"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69DC512F"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0.18</w:t>
            </w:r>
            <w:r>
              <w:rPr>
                <w:rFonts w:ascii="Times New Roman" w:eastAsia="Times New Roman" w:hAnsi="Times New Roman" w:cs="Times New Roman"/>
                <w:sz w:val="20"/>
                <w:szCs w:val="20"/>
              </w:rPr>
              <w:t>6</w:t>
            </w:r>
            <w:r w:rsidRPr="00B007E7">
              <w:rPr>
                <w:rFonts w:ascii="Times New Roman" w:eastAsia="Times New Roman" w:hAnsi="Times New Roman" w:cs="Times New Roman"/>
                <w:sz w:val="20"/>
                <w:szCs w:val="20"/>
              </w:rPr>
              <w:t>*</w:t>
            </w:r>
          </w:p>
          <w:p w14:paraId="44236E16"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8</w:t>
            </w:r>
            <w:r w:rsidRPr="00B007E7">
              <w:rPr>
                <w:rFonts w:ascii="Times New Roman" w:eastAsia="Times New Roman" w:hAnsi="Times New Roman" w:cs="Times New Roman"/>
                <w:sz w:val="20"/>
                <w:szCs w:val="20"/>
              </w:rPr>
              <w:t>)</w:t>
            </w:r>
          </w:p>
        </w:tc>
        <w:tc>
          <w:tcPr>
            <w:tcW w:w="1363" w:type="dxa"/>
            <w:vAlign w:val="bottom"/>
          </w:tcPr>
          <w:p w14:paraId="1E431F0E" w14:textId="77777777" w:rsidR="00E37ECB" w:rsidRPr="00B007E7" w:rsidRDefault="00E37ECB" w:rsidP="00560FBA">
            <w:pPr>
              <w:rPr>
                <w:rFonts w:ascii="Times New Roman" w:hAnsi="Times New Roman" w:cs="Times New Roman"/>
                <w:b/>
                <w:sz w:val="20"/>
                <w:szCs w:val="20"/>
              </w:rPr>
            </w:pPr>
          </w:p>
        </w:tc>
      </w:tr>
      <w:tr w:rsidR="00E37ECB" w14:paraId="310E248D" w14:textId="77777777" w:rsidTr="00560FBA">
        <w:trPr>
          <w:trHeight w:val="470"/>
        </w:trPr>
        <w:tc>
          <w:tcPr>
            <w:tcW w:w="1594" w:type="dxa"/>
            <w:tcBorders>
              <w:bottom w:val="single" w:sz="4" w:space="0" w:color="auto"/>
              <w:right w:val="single" w:sz="12" w:space="0" w:color="auto"/>
            </w:tcBorders>
            <w:vAlign w:val="bottom"/>
          </w:tcPr>
          <w:p w14:paraId="16D0716A" w14:textId="77777777" w:rsidR="00E37ECB" w:rsidRPr="00B007E7"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Pr="00B007E7">
              <w:rPr>
                <w:rFonts w:ascii="Times New Roman" w:eastAsia="Times New Roman" w:hAnsi="Times New Roman" w:cs="Times New Roman"/>
                <w:i/>
                <w:sz w:val="20"/>
                <w:szCs w:val="20"/>
              </w:rPr>
              <w:t>Pro se</w:t>
            </w:r>
          </w:p>
        </w:tc>
        <w:tc>
          <w:tcPr>
            <w:tcW w:w="1363" w:type="dxa"/>
            <w:tcBorders>
              <w:left w:val="single" w:sz="12" w:space="0" w:color="auto"/>
              <w:bottom w:val="single" w:sz="4" w:space="0" w:color="auto"/>
            </w:tcBorders>
            <w:vAlign w:val="bottom"/>
          </w:tcPr>
          <w:p w14:paraId="559BA77A"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-0.3</w:t>
            </w:r>
            <w:r>
              <w:rPr>
                <w:rFonts w:ascii="Times New Roman" w:eastAsia="Times New Roman" w:hAnsi="Times New Roman" w:cs="Times New Roman"/>
                <w:sz w:val="20"/>
                <w:szCs w:val="20"/>
              </w:rPr>
              <w:t>82</w:t>
            </w:r>
            <w:r w:rsidRPr="00B007E7">
              <w:rPr>
                <w:rFonts w:ascii="Times New Roman" w:eastAsia="Times New Roman" w:hAnsi="Times New Roman" w:cs="Times New Roman"/>
                <w:sz w:val="20"/>
                <w:szCs w:val="20"/>
              </w:rPr>
              <w:t>**</w:t>
            </w:r>
          </w:p>
          <w:p w14:paraId="4F74E775"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(0.01)</w:t>
            </w:r>
          </w:p>
        </w:tc>
        <w:tc>
          <w:tcPr>
            <w:tcW w:w="1363" w:type="dxa"/>
            <w:tcBorders>
              <w:bottom w:val="single" w:sz="4" w:space="0" w:color="auto"/>
            </w:tcBorders>
            <w:vAlign w:val="bottom"/>
          </w:tcPr>
          <w:p w14:paraId="52E0622C"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-0.35</w:t>
            </w:r>
            <w:r>
              <w:rPr>
                <w:rFonts w:ascii="Times New Roman" w:eastAsia="Times New Roman" w:hAnsi="Times New Roman" w:cs="Times New Roman"/>
                <w:sz w:val="20"/>
                <w:szCs w:val="20"/>
              </w:rPr>
              <w:t>3</w:t>
            </w:r>
            <w:r w:rsidRPr="00B007E7">
              <w:rPr>
                <w:rFonts w:ascii="Times New Roman" w:eastAsia="Times New Roman" w:hAnsi="Times New Roman" w:cs="Times New Roman"/>
                <w:sz w:val="20"/>
                <w:szCs w:val="20"/>
              </w:rPr>
              <w:t>**</w:t>
            </w:r>
          </w:p>
          <w:p w14:paraId="052316B1"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2</w:t>
            </w:r>
            <w:r w:rsidRPr="00B007E7">
              <w:rPr>
                <w:rFonts w:ascii="Times New Roman" w:eastAsia="Times New Roman" w:hAnsi="Times New Roman" w:cs="Times New Roman"/>
                <w:sz w:val="20"/>
                <w:szCs w:val="20"/>
              </w:rPr>
              <w:t>)</w:t>
            </w:r>
          </w:p>
        </w:tc>
        <w:tc>
          <w:tcPr>
            <w:tcW w:w="1363" w:type="dxa"/>
            <w:tcBorders>
              <w:bottom w:val="single" w:sz="4" w:space="0" w:color="auto"/>
            </w:tcBorders>
            <w:vAlign w:val="bottom"/>
          </w:tcPr>
          <w:p w14:paraId="2E2A3C93"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-0.3</w:t>
            </w:r>
            <w:r>
              <w:rPr>
                <w:rFonts w:ascii="Times New Roman" w:eastAsia="Times New Roman" w:hAnsi="Times New Roman" w:cs="Times New Roman"/>
                <w:sz w:val="20"/>
                <w:szCs w:val="20"/>
              </w:rPr>
              <w:t>26</w:t>
            </w:r>
          </w:p>
          <w:p w14:paraId="256296B1"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10</w:t>
            </w:r>
            <w:r w:rsidRPr="00B007E7">
              <w:rPr>
                <w:rFonts w:ascii="Times New Roman" w:eastAsia="Times New Roman" w:hAnsi="Times New Roman" w:cs="Times New Roman"/>
                <w:sz w:val="20"/>
                <w:szCs w:val="20"/>
              </w:rPr>
              <w:t>)</w:t>
            </w:r>
          </w:p>
        </w:tc>
        <w:tc>
          <w:tcPr>
            <w:tcW w:w="1363" w:type="dxa"/>
            <w:tcBorders>
              <w:bottom w:val="single" w:sz="4" w:space="0" w:color="auto"/>
            </w:tcBorders>
            <w:vAlign w:val="bottom"/>
          </w:tcPr>
          <w:p w14:paraId="523BBC1F" w14:textId="77777777" w:rsidR="00E37ECB" w:rsidRPr="00B007E7" w:rsidRDefault="00E37ECB" w:rsidP="00560FBA">
            <w:pPr>
              <w:rPr>
                <w:rFonts w:ascii="Times New Roman" w:hAnsi="Times New Roman" w:cs="Times New Roman"/>
                <w:b/>
                <w:sz w:val="20"/>
                <w:szCs w:val="20"/>
              </w:rPr>
            </w:pPr>
          </w:p>
        </w:tc>
        <w:tc>
          <w:tcPr>
            <w:tcW w:w="1363" w:type="dxa"/>
            <w:tcBorders>
              <w:bottom w:val="single" w:sz="4" w:space="0" w:color="auto"/>
            </w:tcBorders>
            <w:vAlign w:val="bottom"/>
          </w:tcPr>
          <w:p w14:paraId="58ACD776"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-0.4</w:t>
            </w:r>
            <w:r>
              <w:rPr>
                <w:rFonts w:ascii="Times New Roman" w:eastAsia="Times New Roman" w:hAnsi="Times New Roman" w:cs="Times New Roman"/>
                <w:sz w:val="20"/>
                <w:szCs w:val="20"/>
              </w:rPr>
              <w:t>67</w:t>
            </w:r>
            <w:r w:rsidRPr="00B007E7">
              <w:rPr>
                <w:rFonts w:ascii="Times New Roman" w:eastAsia="Times New Roman" w:hAnsi="Times New Roman" w:cs="Times New Roman"/>
                <w:sz w:val="20"/>
                <w:szCs w:val="20"/>
              </w:rPr>
              <w:t>***</w:t>
            </w:r>
          </w:p>
          <w:p w14:paraId="79D2C0C6"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1</w:t>
            </w:r>
            <w:r w:rsidRPr="00B007E7">
              <w:rPr>
                <w:rFonts w:ascii="Times New Roman" w:eastAsia="Times New Roman" w:hAnsi="Times New Roman" w:cs="Times New Roman"/>
                <w:sz w:val="20"/>
                <w:szCs w:val="20"/>
              </w:rPr>
              <w:t>)</w:t>
            </w:r>
          </w:p>
        </w:tc>
        <w:tc>
          <w:tcPr>
            <w:tcW w:w="1363" w:type="dxa"/>
            <w:tcBorders>
              <w:bottom w:val="single" w:sz="4" w:space="0" w:color="auto"/>
            </w:tcBorders>
            <w:vAlign w:val="bottom"/>
          </w:tcPr>
          <w:p w14:paraId="253A7640"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-0.3</w:t>
            </w:r>
            <w:r>
              <w:rPr>
                <w:rFonts w:ascii="Times New Roman" w:eastAsia="Times New Roman" w:hAnsi="Times New Roman" w:cs="Times New Roman"/>
                <w:sz w:val="20"/>
                <w:szCs w:val="20"/>
              </w:rPr>
              <w:t>66</w:t>
            </w:r>
            <w:r w:rsidRPr="00B007E7">
              <w:rPr>
                <w:rFonts w:ascii="Times New Roman" w:eastAsia="Times New Roman" w:hAnsi="Times New Roman" w:cs="Times New Roman"/>
                <w:sz w:val="20"/>
                <w:szCs w:val="20"/>
              </w:rPr>
              <w:t>*</w:t>
            </w:r>
          </w:p>
          <w:p w14:paraId="4ED734B7"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(0.06)</w:t>
            </w:r>
          </w:p>
        </w:tc>
      </w:tr>
      <w:tr w:rsidR="00E37ECB" w14:paraId="13132E43" w14:textId="77777777" w:rsidTr="00560FBA">
        <w:trPr>
          <w:trHeight w:val="470"/>
        </w:trPr>
        <w:tc>
          <w:tcPr>
            <w:tcW w:w="1594" w:type="dxa"/>
            <w:tcBorders>
              <w:bottom w:val="single" w:sz="4" w:space="0" w:color="auto"/>
              <w:right w:val="single" w:sz="12" w:space="0" w:color="auto"/>
            </w:tcBorders>
            <w:vAlign w:val="bottom"/>
          </w:tcPr>
          <w:p w14:paraId="069D076C" w14:textId="77777777" w:rsidR="00E37ECB"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sidRPr="00B007E7">
              <w:rPr>
                <w:rFonts w:ascii="Times New Roman" w:eastAsia="Times New Roman" w:hAnsi="Times New Roman" w:cs="Times New Roman"/>
                <w:sz w:val="20"/>
                <w:szCs w:val="20"/>
              </w:rPr>
              <w:t>Log of attorney cases</w:t>
            </w:r>
          </w:p>
        </w:tc>
        <w:tc>
          <w:tcPr>
            <w:tcW w:w="1363" w:type="dxa"/>
            <w:tcBorders>
              <w:left w:val="single" w:sz="12" w:space="0" w:color="auto"/>
              <w:bottom w:val="single" w:sz="4" w:space="0" w:color="auto"/>
            </w:tcBorders>
            <w:vAlign w:val="bottom"/>
          </w:tcPr>
          <w:p w14:paraId="513277AD" w14:textId="77777777" w:rsidR="00E37ECB" w:rsidRPr="00B007E7" w:rsidRDefault="00E37ECB" w:rsidP="00560FBA">
            <w:pPr>
              <w:rPr>
                <w:rFonts w:ascii="Times New Roman" w:eastAsia="Times New Roman" w:hAnsi="Times New Roman" w:cs="Times New Roman"/>
                <w:sz w:val="20"/>
                <w:szCs w:val="20"/>
              </w:rPr>
            </w:pPr>
          </w:p>
        </w:tc>
        <w:tc>
          <w:tcPr>
            <w:tcW w:w="1363" w:type="dxa"/>
            <w:tcBorders>
              <w:bottom w:val="single" w:sz="4" w:space="0" w:color="auto"/>
            </w:tcBorders>
            <w:vAlign w:val="bottom"/>
          </w:tcPr>
          <w:p w14:paraId="1825FF97" w14:textId="77777777" w:rsidR="00E37ECB" w:rsidRPr="00B007E7" w:rsidRDefault="00E37ECB" w:rsidP="00560FBA">
            <w:pPr>
              <w:rPr>
                <w:rFonts w:ascii="Times New Roman" w:eastAsia="Times New Roman" w:hAnsi="Times New Roman" w:cs="Times New Roman"/>
                <w:sz w:val="20"/>
                <w:szCs w:val="20"/>
              </w:rPr>
            </w:pPr>
          </w:p>
        </w:tc>
        <w:tc>
          <w:tcPr>
            <w:tcW w:w="1363" w:type="dxa"/>
            <w:tcBorders>
              <w:bottom w:val="single" w:sz="4" w:space="0" w:color="auto"/>
            </w:tcBorders>
            <w:vAlign w:val="bottom"/>
          </w:tcPr>
          <w:p w14:paraId="04CB123C" w14:textId="77777777" w:rsidR="00E37ECB" w:rsidRPr="00B007E7" w:rsidRDefault="00E37ECB" w:rsidP="00560FBA">
            <w:pPr>
              <w:rPr>
                <w:rFonts w:ascii="Times New Roman" w:eastAsia="Times New Roman" w:hAnsi="Times New Roman" w:cs="Times New Roman"/>
                <w:sz w:val="20"/>
                <w:szCs w:val="20"/>
              </w:rPr>
            </w:pPr>
          </w:p>
        </w:tc>
        <w:tc>
          <w:tcPr>
            <w:tcW w:w="1363" w:type="dxa"/>
            <w:tcBorders>
              <w:bottom w:val="single" w:sz="4" w:space="0" w:color="auto"/>
            </w:tcBorders>
            <w:vAlign w:val="bottom"/>
          </w:tcPr>
          <w:p w14:paraId="7D873B1F"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57</w:t>
            </w:r>
            <w:r w:rsidRPr="00B007E7">
              <w:rPr>
                <w:rFonts w:ascii="Times New Roman" w:eastAsia="Times New Roman" w:hAnsi="Times New Roman" w:cs="Times New Roman"/>
                <w:sz w:val="20"/>
                <w:szCs w:val="20"/>
              </w:rPr>
              <w:t>*</w:t>
            </w:r>
          </w:p>
          <w:p w14:paraId="47F3FE5C"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6</w:t>
            </w:r>
            <w:r w:rsidRPr="00B007E7">
              <w:rPr>
                <w:rFonts w:ascii="Times New Roman" w:eastAsia="Times New Roman" w:hAnsi="Times New Roman" w:cs="Times New Roman"/>
                <w:sz w:val="20"/>
                <w:szCs w:val="20"/>
              </w:rPr>
              <w:t>)</w:t>
            </w:r>
          </w:p>
        </w:tc>
        <w:tc>
          <w:tcPr>
            <w:tcW w:w="1363" w:type="dxa"/>
            <w:tcBorders>
              <w:bottom w:val="single" w:sz="4" w:space="0" w:color="auto"/>
            </w:tcBorders>
            <w:vAlign w:val="bottom"/>
          </w:tcPr>
          <w:p w14:paraId="7671F10D" w14:textId="77777777" w:rsidR="00E37ECB" w:rsidRPr="00B007E7" w:rsidRDefault="00E37ECB" w:rsidP="00560FBA">
            <w:pPr>
              <w:rPr>
                <w:rFonts w:ascii="Times New Roman" w:eastAsia="Times New Roman" w:hAnsi="Times New Roman" w:cs="Times New Roman"/>
                <w:sz w:val="20"/>
                <w:szCs w:val="20"/>
              </w:rPr>
            </w:pPr>
          </w:p>
        </w:tc>
        <w:tc>
          <w:tcPr>
            <w:tcW w:w="1363" w:type="dxa"/>
            <w:tcBorders>
              <w:bottom w:val="single" w:sz="4" w:space="0" w:color="auto"/>
            </w:tcBorders>
            <w:vAlign w:val="bottom"/>
          </w:tcPr>
          <w:p w14:paraId="0C397391" w14:textId="77777777" w:rsidR="00E37ECB" w:rsidRPr="00B007E7" w:rsidRDefault="00E37ECB" w:rsidP="00560FBA">
            <w:pPr>
              <w:rPr>
                <w:rFonts w:ascii="Times New Roman" w:eastAsia="Times New Roman" w:hAnsi="Times New Roman" w:cs="Times New Roman"/>
                <w:sz w:val="20"/>
                <w:szCs w:val="20"/>
              </w:rPr>
            </w:pPr>
          </w:p>
        </w:tc>
      </w:tr>
      <w:tr w:rsidR="00E37ECB" w14:paraId="2D95BAC2" w14:textId="77777777" w:rsidTr="00560FBA">
        <w:trPr>
          <w:trHeight w:val="470"/>
        </w:trPr>
        <w:tc>
          <w:tcPr>
            <w:tcW w:w="1594" w:type="dxa"/>
            <w:tcBorders>
              <w:bottom w:val="single" w:sz="4" w:space="0" w:color="auto"/>
              <w:right w:val="single" w:sz="12" w:space="0" w:color="auto"/>
            </w:tcBorders>
            <w:vAlign w:val="bottom"/>
          </w:tcPr>
          <w:p w14:paraId="61E276BC" w14:textId="77777777" w:rsidR="00E37ECB" w:rsidRPr="00B007E7" w:rsidRDefault="00E37ECB" w:rsidP="00560FBA">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(10) </w:t>
            </w:r>
            <w:r w:rsidRPr="00B007E7">
              <w:rPr>
                <w:rFonts w:ascii="Times New Roman" w:eastAsia="Times New Roman" w:hAnsi="Times New Roman" w:cs="Times New Roman"/>
                <w:sz w:val="20"/>
                <w:szCs w:val="20"/>
              </w:rPr>
              <w:t>AttyLow</w:t>
            </w:r>
          </w:p>
        </w:tc>
        <w:tc>
          <w:tcPr>
            <w:tcW w:w="1363" w:type="dxa"/>
            <w:tcBorders>
              <w:left w:val="single" w:sz="12" w:space="0" w:color="auto"/>
              <w:bottom w:val="single" w:sz="4" w:space="0" w:color="auto"/>
            </w:tcBorders>
            <w:vAlign w:val="bottom"/>
          </w:tcPr>
          <w:p w14:paraId="47F2058E"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-0.1</w:t>
            </w:r>
            <w:r>
              <w:rPr>
                <w:rFonts w:ascii="Times New Roman" w:eastAsia="Times New Roman" w:hAnsi="Times New Roman" w:cs="Times New Roman"/>
                <w:sz w:val="20"/>
                <w:szCs w:val="20"/>
              </w:rPr>
              <w:t>45</w:t>
            </w:r>
          </w:p>
          <w:p w14:paraId="2ACBEAB5"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w:t>
            </w:r>
            <w:r>
              <w:rPr>
                <w:rFonts w:ascii="Times New Roman" w:eastAsia="Times New Roman" w:hAnsi="Times New Roman" w:cs="Times New Roman"/>
                <w:sz w:val="20"/>
                <w:szCs w:val="20"/>
              </w:rPr>
              <w:t>1</w:t>
            </w:r>
            <w:r w:rsidRPr="00B007E7">
              <w:rPr>
                <w:rFonts w:ascii="Times New Roman" w:eastAsia="Times New Roman" w:hAnsi="Times New Roman" w:cs="Times New Roman"/>
                <w:sz w:val="20"/>
                <w:szCs w:val="20"/>
              </w:rPr>
              <w:t>)</w:t>
            </w:r>
          </w:p>
        </w:tc>
        <w:tc>
          <w:tcPr>
            <w:tcW w:w="1363" w:type="dxa"/>
            <w:tcBorders>
              <w:bottom w:val="single" w:sz="4" w:space="0" w:color="auto"/>
            </w:tcBorders>
            <w:vAlign w:val="bottom"/>
          </w:tcPr>
          <w:p w14:paraId="6BF7FE96"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-0.15</w:t>
            </w:r>
            <w:r>
              <w:rPr>
                <w:rFonts w:ascii="Times New Roman" w:eastAsia="Times New Roman" w:hAnsi="Times New Roman" w:cs="Times New Roman"/>
                <w:sz w:val="20"/>
                <w:szCs w:val="20"/>
              </w:rPr>
              <w:t>0</w:t>
            </w:r>
            <w:r w:rsidRPr="00B007E7">
              <w:rPr>
                <w:rFonts w:ascii="Times New Roman" w:eastAsia="Times New Roman" w:hAnsi="Times New Roman" w:cs="Times New Roman"/>
                <w:sz w:val="20"/>
                <w:szCs w:val="20"/>
              </w:rPr>
              <w:t>*</w:t>
            </w:r>
          </w:p>
          <w:p w14:paraId="23EEC2B8"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9</w:t>
            </w:r>
            <w:r w:rsidRPr="00B007E7">
              <w:rPr>
                <w:rFonts w:ascii="Times New Roman" w:eastAsia="Times New Roman" w:hAnsi="Times New Roman" w:cs="Times New Roman"/>
                <w:sz w:val="20"/>
                <w:szCs w:val="20"/>
              </w:rPr>
              <w:t>)</w:t>
            </w:r>
          </w:p>
        </w:tc>
        <w:tc>
          <w:tcPr>
            <w:tcW w:w="1363" w:type="dxa"/>
            <w:tcBorders>
              <w:bottom w:val="single" w:sz="4" w:space="0" w:color="auto"/>
            </w:tcBorders>
            <w:vAlign w:val="bottom"/>
          </w:tcPr>
          <w:p w14:paraId="19B0DAFF"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-0.1</w:t>
            </w:r>
            <w:r>
              <w:rPr>
                <w:rFonts w:ascii="Times New Roman" w:eastAsia="Times New Roman" w:hAnsi="Times New Roman" w:cs="Times New Roman"/>
                <w:sz w:val="20"/>
                <w:szCs w:val="20"/>
              </w:rPr>
              <w:t>36</w:t>
            </w:r>
          </w:p>
          <w:p w14:paraId="30CE2D6C"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r w:rsidRPr="00B007E7">
              <w:rPr>
                <w:rFonts w:ascii="Times New Roman" w:eastAsia="Times New Roman" w:hAnsi="Times New Roman" w:cs="Times New Roman"/>
                <w:sz w:val="20"/>
                <w:szCs w:val="20"/>
              </w:rPr>
              <w:t>)</w:t>
            </w:r>
          </w:p>
        </w:tc>
        <w:tc>
          <w:tcPr>
            <w:tcW w:w="1363" w:type="dxa"/>
            <w:tcBorders>
              <w:bottom w:val="single" w:sz="4" w:space="0" w:color="auto"/>
            </w:tcBorders>
            <w:vAlign w:val="bottom"/>
          </w:tcPr>
          <w:p w14:paraId="70B15854" w14:textId="77777777" w:rsidR="00E37ECB" w:rsidRPr="00B007E7" w:rsidRDefault="00E37ECB" w:rsidP="00560FBA">
            <w:pPr>
              <w:rPr>
                <w:rFonts w:ascii="Times New Roman" w:hAnsi="Times New Roman" w:cs="Times New Roman"/>
                <w:b/>
                <w:sz w:val="20"/>
                <w:szCs w:val="20"/>
              </w:rPr>
            </w:pPr>
          </w:p>
        </w:tc>
        <w:tc>
          <w:tcPr>
            <w:tcW w:w="1363" w:type="dxa"/>
            <w:tcBorders>
              <w:bottom w:val="single" w:sz="4" w:space="0" w:color="auto"/>
            </w:tcBorders>
            <w:vAlign w:val="bottom"/>
          </w:tcPr>
          <w:p w14:paraId="5E969563"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-0.11</w:t>
            </w:r>
            <w:r>
              <w:rPr>
                <w:rFonts w:ascii="Times New Roman" w:eastAsia="Times New Roman" w:hAnsi="Times New Roman" w:cs="Times New Roman"/>
                <w:sz w:val="20"/>
                <w:szCs w:val="20"/>
              </w:rPr>
              <w:t>3</w:t>
            </w:r>
          </w:p>
          <w:p w14:paraId="51EDCF01"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(0.2</w:t>
            </w:r>
            <w:r>
              <w:rPr>
                <w:rFonts w:ascii="Times New Roman" w:eastAsia="Times New Roman" w:hAnsi="Times New Roman" w:cs="Times New Roman"/>
                <w:sz w:val="20"/>
                <w:szCs w:val="20"/>
              </w:rPr>
              <w:t>5</w:t>
            </w:r>
            <w:r w:rsidRPr="00B007E7">
              <w:rPr>
                <w:rFonts w:ascii="Times New Roman" w:eastAsia="Times New Roman" w:hAnsi="Times New Roman" w:cs="Times New Roman"/>
                <w:sz w:val="20"/>
                <w:szCs w:val="20"/>
              </w:rPr>
              <w:t>)</w:t>
            </w:r>
          </w:p>
        </w:tc>
        <w:tc>
          <w:tcPr>
            <w:tcW w:w="1363" w:type="dxa"/>
            <w:tcBorders>
              <w:bottom w:val="single" w:sz="4" w:space="0" w:color="auto"/>
            </w:tcBorders>
            <w:vAlign w:val="bottom"/>
          </w:tcPr>
          <w:p w14:paraId="2B2B439D"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-0.1</w:t>
            </w:r>
            <w:r>
              <w:rPr>
                <w:rFonts w:ascii="Times New Roman" w:eastAsia="Times New Roman" w:hAnsi="Times New Roman" w:cs="Times New Roman"/>
                <w:sz w:val="20"/>
                <w:szCs w:val="20"/>
              </w:rPr>
              <w:t>23</w:t>
            </w:r>
          </w:p>
          <w:p w14:paraId="35CDA73E"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w:t>
            </w:r>
            <w:r>
              <w:rPr>
                <w:rFonts w:ascii="Times New Roman" w:eastAsia="Times New Roman" w:hAnsi="Times New Roman" w:cs="Times New Roman"/>
                <w:sz w:val="20"/>
                <w:szCs w:val="20"/>
              </w:rPr>
              <w:t>8</w:t>
            </w:r>
            <w:r w:rsidRPr="00B007E7">
              <w:rPr>
                <w:rFonts w:ascii="Times New Roman" w:eastAsia="Times New Roman" w:hAnsi="Times New Roman" w:cs="Times New Roman"/>
                <w:sz w:val="20"/>
                <w:szCs w:val="20"/>
              </w:rPr>
              <w:t>)</w:t>
            </w:r>
          </w:p>
        </w:tc>
      </w:tr>
      <w:tr w:rsidR="00E37ECB" w14:paraId="792388D0" w14:textId="77777777" w:rsidTr="00560FBA">
        <w:trPr>
          <w:trHeight w:val="720"/>
        </w:trPr>
        <w:tc>
          <w:tcPr>
            <w:tcW w:w="1594" w:type="dxa"/>
            <w:tcBorders>
              <w:bottom w:val="single" w:sz="4" w:space="0" w:color="auto"/>
              <w:right w:val="single" w:sz="12" w:space="0" w:color="auto"/>
            </w:tcBorders>
            <w:vAlign w:val="bottom"/>
          </w:tcPr>
          <w:p w14:paraId="642A7805" w14:textId="77777777" w:rsidR="00E37ECB" w:rsidRPr="00B007E7"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Pr="00B007E7">
              <w:rPr>
                <w:rFonts w:ascii="Times New Roman" w:eastAsia="Times New Roman" w:hAnsi="Times New Roman" w:cs="Times New Roman"/>
                <w:sz w:val="20"/>
                <w:szCs w:val="20"/>
              </w:rPr>
              <w:t>AttyMid</w:t>
            </w:r>
          </w:p>
        </w:tc>
        <w:tc>
          <w:tcPr>
            <w:tcW w:w="1363" w:type="dxa"/>
            <w:tcBorders>
              <w:left w:val="single" w:sz="12" w:space="0" w:color="auto"/>
              <w:bottom w:val="single" w:sz="4" w:space="0" w:color="auto"/>
            </w:tcBorders>
            <w:vAlign w:val="bottom"/>
          </w:tcPr>
          <w:p w14:paraId="4C4B45F6"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-0.04</w:t>
            </w:r>
            <w:r>
              <w:rPr>
                <w:rFonts w:ascii="Times New Roman" w:eastAsia="Times New Roman" w:hAnsi="Times New Roman" w:cs="Times New Roman"/>
                <w:sz w:val="20"/>
                <w:szCs w:val="20"/>
              </w:rPr>
              <w:t>2</w:t>
            </w:r>
          </w:p>
          <w:p w14:paraId="7EC7C8A7"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(0.6</w:t>
            </w:r>
            <w:r>
              <w:rPr>
                <w:rFonts w:ascii="Times New Roman" w:eastAsia="Times New Roman" w:hAnsi="Times New Roman" w:cs="Times New Roman"/>
                <w:sz w:val="20"/>
                <w:szCs w:val="20"/>
              </w:rPr>
              <w:t>5</w:t>
            </w:r>
            <w:r w:rsidRPr="00B007E7">
              <w:rPr>
                <w:rFonts w:ascii="Times New Roman" w:eastAsia="Times New Roman" w:hAnsi="Times New Roman" w:cs="Times New Roman"/>
                <w:sz w:val="20"/>
                <w:szCs w:val="20"/>
              </w:rPr>
              <w:t>)</w:t>
            </w:r>
          </w:p>
        </w:tc>
        <w:tc>
          <w:tcPr>
            <w:tcW w:w="1363" w:type="dxa"/>
            <w:tcBorders>
              <w:bottom w:val="single" w:sz="4" w:space="0" w:color="auto"/>
            </w:tcBorders>
            <w:vAlign w:val="bottom"/>
          </w:tcPr>
          <w:p w14:paraId="5169AA26"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48</w:t>
            </w:r>
          </w:p>
          <w:p w14:paraId="5DB15AD4"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60</w:t>
            </w:r>
            <w:r w:rsidRPr="00B007E7">
              <w:rPr>
                <w:rFonts w:ascii="Times New Roman" w:eastAsia="Times New Roman" w:hAnsi="Times New Roman" w:cs="Times New Roman"/>
                <w:sz w:val="20"/>
                <w:szCs w:val="20"/>
              </w:rPr>
              <w:t>)</w:t>
            </w:r>
          </w:p>
        </w:tc>
        <w:tc>
          <w:tcPr>
            <w:tcW w:w="1363" w:type="dxa"/>
            <w:tcBorders>
              <w:bottom w:val="single" w:sz="4" w:space="0" w:color="auto"/>
            </w:tcBorders>
            <w:vAlign w:val="bottom"/>
          </w:tcPr>
          <w:p w14:paraId="77F66DD9"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022</w:t>
            </w:r>
          </w:p>
          <w:p w14:paraId="43E1212E"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82</w:t>
            </w:r>
            <w:r w:rsidRPr="00B007E7">
              <w:rPr>
                <w:rFonts w:ascii="Times New Roman" w:eastAsia="Times New Roman" w:hAnsi="Times New Roman" w:cs="Times New Roman"/>
                <w:sz w:val="20"/>
                <w:szCs w:val="20"/>
              </w:rPr>
              <w:t>)</w:t>
            </w:r>
          </w:p>
        </w:tc>
        <w:tc>
          <w:tcPr>
            <w:tcW w:w="1363" w:type="dxa"/>
            <w:tcBorders>
              <w:bottom w:val="single" w:sz="4" w:space="0" w:color="auto"/>
            </w:tcBorders>
            <w:vAlign w:val="bottom"/>
          </w:tcPr>
          <w:p w14:paraId="2EC2CB96" w14:textId="77777777" w:rsidR="00E37ECB" w:rsidRPr="00B007E7" w:rsidRDefault="00E37ECB" w:rsidP="00560FBA">
            <w:pPr>
              <w:rPr>
                <w:rFonts w:ascii="Times New Roman" w:hAnsi="Times New Roman" w:cs="Times New Roman"/>
                <w:b/>
                <w:sz w:val="20"/>
                <w:szCs w:val="20"/>
              </w:rPr>
            </w:pPr>
          </w:p>
        </w:tc>
        <w:tc>
          <w:tcPr>
            <w:tcW w:w="1363" w:type="dxa"/>
            <w:tcBorders>
              <w:bottom w:val="single" w:sz="4" w:space="0" w:color="auto"/>
            </w:tcBorders>
            <w:vAlign w:val="bottom"/>
          </w:tcPr>
          <w:p w14:paraId="02090639"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-0.02</w:t>
            </w:r>
            <w:r>
              <w:rPr>
                <w:rFonts w:ascii="Times New Roman" w:eastAsia="Times New Roman" w:hAnsi="Times New Roman" w:cs="Times New Roman"/>
                <w:sz w:val="20"/>
                <w:szCs w:val="20"/>
              </w:rPr>
              <w:t>0</w:t>
            </w:r>
          </w:p>
          <w:p w14:paraId="2F406C2F"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84</w:t>
            </w:r>
            <w:r w:rsidRPr="00B007E7">
              <w:rPr>
                <w:rFonts w:ascii="Times New Roman" w:eastAsia="Times New Roman" w:hAnsi="Times New Roman" w:cs="Times New Roman"/>
                <w:sz w:val="20"/>
                <w:szCs w:val="20"/>
              </w:rPr>
              <w:t>)</w:t>
            </w:r>
          </w:p>
        </w:tc>
        <w:tc>
          <w:tcPr>
            <w:tcW w:w="1363" w:type="dxa"/>
            <w:tcBorders>
              <w:bottom w:val="single" w:sz="4" w:space="0" w:color="auto"/>
            </w:tcBorders>
            <w:vAlign w:val="bottom"/>
          </w:tcPr>
          <w:p w14:paraId="558318BF" w14:textId="77777777" w:rsidR="00E37ECB" w:rsidRDefault="00E37ECB" w:rsidP="00560FBA">
            <w:pPr>
              <w:spacing w:line="276" w:lineRule="auto"/>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23</w:t>
            </w:r>
          </w:p>
          <w:p w14:paraId="215947C8" w14:textId="77777777" w:rsidR="00E37ECB" w:rsidRPr="00B007E7" w:rsidRDefault="00E37ECB" w:rsidP="00560FBA">
            <w:pPr>
              <w:spacing w:line="276" w:lineRule="auto"/>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81</w:t>
            </w:r>
            <w:r w:rsidRPr="00B007E7">
              <w:rPr>
                <w:rFonts w:ascii="Times New Roman" w:eastAsia="Times New Roman" w:hAnsi="Times New Roman" w:cs="Times New Roman"/>
                <w:sz w:val="20"/>
                <w:szCs w:val="20"/>
              </w:rPr>
              <w:t>)</w:t>
            </w:r>
          </w:p>
        </w:tc>
      </w:tr>
      <w:tr w:rsidR="00E37ECB" w14:paraId="0027F438" w14:textId="77777777" w:rsidTr="00560FBA">
        <w:trPr>
          <w:trHeight w:val="230"/>
        </w:trPr>
        <w:tc>
          <w:tcPr>
            <w:tcW w:w="1594" w:type="dxa"/>
            <w:tcBorders>
              <w:right w:val="single" w:sz="12" w:space="0" w:color="auto"/>
            </w:tcBorders>
            <w:vAlign w:val="bottom"/>
          </w:tcPr>
          <w:p w14:paraId="63448680" w14:textId="77777777" w:rsidR="00E37ECB" w:rsidRPr="00B007E7"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sidRPr="00B007E7">
              <w:rPr>
                <w:rFonts w:ascii="Times New Roman" w:eastAsia="Times New Roman" w:hAnsi="Times New Roman" w:cs="Times New Roman"/>
                <w:sz w:val="20"/>
                <w:szCs w:val="20"/>
              </w:rPr>
              <w:t>Number of parcels</w:t>
            </w:r>
          </w:p>
        </w:tc>
        <w:tc>
          <w:tcPr>
            <w:tcW w:w="1363" w:type="dxa"/>
            <w:tcBorders>
              <w:left w:val="single" w:sz="12" w:space="0" w:color="auto"/>
            </w:tcBorders>
            <w:vAlign w:val="bottom"/>
          </w:tcPr>
          <w:p w14:paraId="56E8CEEA"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3C56CEDC"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694A9E51"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6EA885CE"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40</w:t>
            </w:r>
            <w:r w:rsidRPr="00B007E7">
              <w:rPr>
                <w:rFonts w:ascii="Times New Roman" w:eastAsia="Times New Roman" w:hAnsi="Times New Roman" w:cs="Times New Roman"/>
                <w:sz w:val="20"/>
                <w:szCs w:val="20"/>
              </w:rPr>
              <w:t>***</w:t>
            </w:r>
          </w:p>
          <w:p w14:paraId="52221DC1"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(0.00)</w:t>
            </w:r>
          </w:p>
        </w:tc>
        <w:tc>
          <w:tcPr>
            <w:tcW w:w="1363" w:type="dxa"/>
            <w:vAlign w:val="bottom"/>
          </w:tcPr>
          <w:p w14:paraId="01DC60F0"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7E7F9945" w14:textId="77777777" w:rsidR="00E37ECB" w:rsidRPr="00B007E7" w:rsidRDefault="00E37ECB" w:rsidP="00560FBA">
            <w:pPr>
              <w:rPr>
                <w:rFonts w:ascii="Times New Roman" w:hAnsi="Times New Roman" w:cs="Times New Roman"/>
                <w:b/>
                <w:sz w:val="20"/>
                <w:szCs w:val="20"/>
              </w:rPr>
            </w:pPr>
          </w:p>
        </w:tc>
      </w:tr>
      <w:tr w:rsidR="00E37ECB" w14:paraId="2F31D0EE" w14:textId="77777777" w:rsidTr="00560FBA">
        <w:trPr>
          <w:trHeight w:val="230"/>
        </w:trPr>
        <w:tc>
          <w:tcPr>
            <w:tcW w:w="1594" w:type="dxa"/>
            <w:tcBorders>
              <w:right w:val="single" w:sz="12" w:space="0" w:color="auto"/>
            </w:tcBorders>
            <w:vAlign w:val="bottom"/>
          </w:tcPr>
          <w:p w14:paraId="17D0AE09" w14:textId="77777777" w:rsidR="00E37ECB"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w:t>
            </w:r>
            <w:r w:rsidRPr="00B007E7">
              <w:rPr>
                <w:rFonts w:ascii="Times New Roman" w:eastAsia="Times New Roman" w:hAnsi="Times New Roman" w:cs="Times New Roman"/>
                <w:sz w:val="20"/>
                <w:szCs w:val="20"/>
              </w:rPr>
              <w:t>Real/(total property)</w:t>
            </w:r>
          </w:p>
        </w:tc>
        <w:tc>
          <w:tcPr>
            <w:tcW w:w="1363" w:type="dxa"/>
            <w:tcBorders>
              <w:left w:val="single" w:sz="12" w:space="0" w:color="auto"/>
            </w:tcBorders>
            <w:vAlign w:val="bottom"/>
          </w:tcPr>
          <w:p w14:paraId="3BB150C2"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1C74013F"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2960809D"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7632DFBF" w14:textId="77777777" w:rsidR="00E37ECB" w:rsidRPr="00B007E7" w:rsidRDefault="00E37ECB" w:rsidP="00560FBA">
            <w:pPr>
              <w:rPr>
                <w:rFonts w:ascii="Times New Roman" w:eastAsia="Times New Roman" w:hAnsi="Times New Roman" w:cs="Times New Roman"/>
                <w:sz w:val="20"/>
                <w:szCs w:val="20"/>
              </w:rPr>
            </w:pPr>
          </w:p>
        </w:tc>
        <w:tc>
          <w:tcPr>
            <w:tcW w:w="1363" w:type="dxa"/>
            <w:vAlign w:val="bottom"/>
          </w:tcPr>
          <w:p w14:paraId="18BEA4FD"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0.20</w:t>
            </w:r>
            <w:r>
              <w:rPr>
                <w:rFonts w:ascii="Times New Roman" w:eastAsia="Times New Roman" w:hAnsi="Times New Roman" w:cs="Times New Roman"/>
                <w:sz w:val="20"/>
                <w:szCs w:val="20"/>
              </w:rPr>
              <w:t>2</w:t>
            </w:r>
          </w:p>
          <w:p w14:paraId="64CC4876"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w:t>
            </w:r>
            <w:r>
              <w:rPr>
                <w:rFonts w:ascii="Times New Roman" w:eastAsia="Times New Roman" w:hAnsi="Times New Roman" w:cs="Times New Roman"/>
                <w:sz w:val="20"/>
                <w:szCs w:val="20"/>
              </w:rPr>
              <w:t>1</w:t>
            </w:r>
            <w:r w:rsidRPr="00B007E7">
              <w:rPr>
                <w:rFonts w:ascii="Times New Roman" w:eastAsia="Times New Roman" w:hAnsi="Times New Roman" w:cs="Times New Roman"/>
                <w:sz w:val="20"/>
                <w:szCs w:val="20"/>
              </w:rPr>
              <w:t>)</w:t>
            </w:r>
          </w:p>
        </w:tc>
        <w:tc>
          <w:tcPr>
            <w:tcW w:w="1363" w:type="dxa"/>
            <w:vAlign w:val="bottom"/>
          </w:tcPr>
          <w:p w14:paraId="0C04CCCF" w14:textId="77777777" w:rsidR="00E37ECB" w:rsidRPr="00B007E7" w:rsidRDefault="00E37ECB" w:rsidP="00560FBA">
            <w:pPr>
              <w:rPr>
                <w:rFonts w:ascii="Times New Roman" w:hAnsi="Times New Roman" w:cs="Times New Roman"/>
                <w:b/>
                <w:sz w:val="20"/>
                <w:szCs w:val="20"/>
              </w:rPr>
            </w:pPr>
          </w:p>
        </w:tc>
      </w:tr>
      <w:tr w:rsidR="00E37ECB" w14:paraId="7F9BCCBE" w14:textId="77777777" w:rsidTr="00560FBA">
        <w:trPr>
          <w:trHeight w:val="230"/>
        </w:trPr>
        <w:tc>
          <w:tcPr>
            <w:tcW w:w="1594" w:type="dxa"/>
            <w:tcBorders>
              <w:right w:val="single" w:sz="12" w:space="0" w:color="auto"/>
            </w:tcBorders>
            <w:vAlign w:val="bottom"/>
          </w:tcPr>
          <w:p w14:paraId="252908FD" w14:textId="77777777" w:rsidR="00E37ECB"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r w:rsidRPr="00B007E7">
              <w:rPr>
                <w:rFonts w:ascii="Times New Roman" w:eastAsia="Times New Roman" w:hAnsi="Times New Roman" w:cs="Times New Roman"/>
                <w:sz w:val="20"/>
                <w:szCs w:val="20"/>
              </w:rPr>
              <w:t>Secured/(total debt)</w:t>
            </w:r>
          </w:p>
        </w:tc>
        <w:tc>
          <w:tcPr>
            <w:tcW w:w="1363" w:type="dxa"/>
            <w:tcBorders>
              <w:left w:val="single" w:sz="12" w:space="0" w:color="auto"/>
            </w:tcBorders>
            <w:vAlign w:val="bottom"/>
          </w:tcPr>
          <w:p w14:paraId="324A932D"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71FCE0D7"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0D4A7A7D"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7D49D3EA" w14:textId="77777777" w:rsidR="00E37ECB" w:rsidRPr="00B007E7" w:rsidRDefault="00E37ECB" w:rsidP="00560FBA">
            <w:pPr>
              <w:rPr>
                <w:rFonts w:ascii="Times New Roman" w:eastAsia="Times New Roman" w:hAnsi="Times New Roman" w:cs="Times New Roman"/>
                <w:sz w:val="20"/>
                <w:szCs w:val="20"/>
              </w:rPr>
            </w:pPr>
          </w:p>
        </w:tc>
        <w:tc>
          <w:tcPr>
            <w:tcW w:w="1363" w:type="dxa"/>
            <w:vAlign w:val="bottom"/>
          </w:tcPr>
          <w:p w14:paraId="1453B54A"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6A5EA655"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220**</w:t>
            </w:r>
          </w:p>
          <w:p w14:paraId="4C1FEB89"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04</w:t>
            </w:r>
            <w:r w:rsidRPr="00B007E7">
              <w:rPr>
                <w:rFonts w:ascii="Times New Roman" w:eastAsia="Times New Roman" w:hAnsi="Times New Roman" w:cs="Times New Roman"/>
                <w:sz w:val="20"/>
                <w:szCs w:val="20"/>
              </w:rPr>
              <w:t>)</w:t>
            </w:r>
          </w:p>
        </w:tc>
      </w:tr>
      <w:tr w:rsidR="00E37ECB" w14:paraId="2059259C" w14:textId="77777777" w:rsidTr="00560FBA">
        <w:trPr>
          <w:trHeight w:val="230"/>
        </w:trPr>
        <w:tc>
          <w:tcPr>
            <w:tcW w:w="1594" w:type="dxa"/>
            <w:vMerge w:val="restart"/>
            <w:tcBorders>
              <w:right w:val="single" w:sz="12" w:space="0" w:color="auto"/>
            </w:tcBorders>
            <w:vAlign w:val="bottom"/>
          </w:tcPr>
          <w:p w14:paraId="170A9D65" w14:textId="77777777" w:rsidR="00E37ECB" w:rsidRPr="00B007E7"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r w:rsidRPr="00B007E7">
              <w:rPr>
                <w:rFonts w:ascii="Times New Roman" w:eastAsia="Times New Roman" w:hAnsi="Times New Roman" w:cs="Times New Roman"/>
                <w:sz w:val="20"/>
                <w:szCs w:val="20"/>
              </w:rPr>
              <w:t>Priority debt/income</w:t>
            </w:r>
          </w:p>
        </w:tc>
        <w:tc>
          <w:tcPr>
            <w:tcW w:w="1363" w:type="dxa"/>
            <w:vMerge w:val="restart"/>
            <w:tcBorders>
              <w:left w:val="single" w:sz="12" w:space="0" w:color="auto"/>
            </w:tcBorders>
            <w:vAlign w:val="bottom"/>
          </w:tcPr>
          <w:p w14:paraId="0D44F5A6" w14:textId="77777777" w:rsidR="00E37ECB" w:rsidRPr="00B007E7" w:rsidRDefault="00E37ECB" w:rsidP="00560FBA">
            <w:pPr>
              <w:rPr>
                <w:rFonts w:ascii="Times New Roman" w:hAnsi="Times New Roman" w:cs="Times New Roman"/>
                <w:b/>
                <w:sz w:val="20"/>
                <w:szCs w:val="20"/>
              </w:rPr>
            </w:pPr>
          </w:p>
        </w:tc>
        <w:tc>
          <w:tcPr>
            <w:tcW w:w="1363" w:type="dxa"/>
            <w:vMerge w:val="restart"/>
            <w:vAlign w:val="bottom"/>
          </w:tcPr>
          <w:p w14:paraId="29909F7F" w14:textId="77777777" w:rsidR="00E37ECB" w:rsidRPr="00B007E7" w:rsidRDefault="00E37ECB" w:rsidP="00560FBA">
            <w:pPr>
              <w:rPr>
                <w:rFonts w:ascii="Times New Roman" w:hAnsi="Times New Roman" w:cs="Times New Roman"/>
                <w:b/>
                <w:sz w:val="20"/>
                <w:szCs w:val="20"/>
              </w:rPr>
            </w:pPr>
          </w:p>
        </w:tc>
        <w:tc>
          <w:tcPr>
            <w:tcW w:w="1363" w:type="dxa"/>
            <w:vMerge w:val="restart"/>
            <w:vAlign w:val="bottom"/>
          </w:tcPr>
          <w:p w14:paraId="2C439BD6" w14:textId="77777777" w:rsidR="00E37ECB" w:rsidRPr="00B007E7" w:rsidRDefault="00E37ECB" w:rsidP="00560FBA">
            <w:pPr>
              <w:rPr>
                <w:rFonts w:ascii="Times New Roman" w:hAnsi="Times New Roman" w:cs="Times New Roman"/>
                <w:b/>
                <w:sz w:val="20"/>
                <w:szCs w:val="20"/>
              </w:rPr>
            </w:pPr>
          </w:p>
        </w:tc>
        <w:tc>
          <w:tcPr>
            <w:tcW w:w="1363" w:type="dxa"/>
            <w:vMerge w:val="restart"/>
            <w:vAlign w:val="bottom"/>
          </w:tcPr>
          <w:p w14:paraId="38BE2C45"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w:t>
            </w:r>
            <w:r>
              <w:rPr>
                <w:rFonts w:ascii="Times New Roman" w:eastAsia="Times New Roman" w:hAnsi="Times New Roman" w:cs="Times New Roman"/>
                <w:sz w:val="20"/>
                <w:szCs w:val="20"/>
              </w:rPr>
              <w:t>1.37</w:t>
            </w:r>
            <w:r w:rsidRPr="00B007E7">
              <w:rPr>
                <w:rFonts w:ascii="Times New Roman" w:eastAsia="Times New Roman" w:hAnsi="Times New Roman" w:cs="Times New Roman"/>
                <w:sz w:val="20"/>
                <w:szCs w:val="20"/>
              </w:rPr>
              <w:t>e-0</w:t>
            </w:r>
            <w:r>
              <w:rPr>
                <w:rFonts w:ascii="Times New Roman" w:eastAsia="Times New Roman" w:hAnsi="Times New Roman" w:cs="Times New Roman"/>
                <w:sz w:val="20"/>
                <w:szCs w:val="20"/>
              </w:rPr>
              <w:t>6</w:t>
            </w:r>
          </w:p>
          <w:p w14:paraId="72B53080"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68</w:t>
            </w:r>
            <w:r w:rsidRPr="00B007E7">
              <w:rPr>
                <w:rFonts w:ascii="Times New Roman" w:eastAsia="Times New Roman" w:hAnsi="Times New Roman" w:cs="Times New Roman"/>
                <w:sz w:val="20"/>
                <w:szCs w:val="20"/>
              </w:rPr>
              <w:t>)</w:t>
            </w:r>
          </w:p>
        </w:tc>
        <w:tc>
          <w:tcPr>
            <w:tcW w:w="1363" w:type="dxa"/>
            <w:vMerge w:val="restart"/>
            <w:vAlign w:val="bottom"/>
          </w:tcPr>
          <w:p w14:paraId="2C128BBF" w14:textId="77777777" w:rsidR="00E37ECB" w:rsidRPr="00B007E7" w:rsidRDefault="00E37ECB" w:rsidP="00560FBA">
            <w:pPr>
              <w:rPr>
                <w:rFonts w:ascii="Times New Roman" w:hAnsi="Times New Roman" w:cs="Times New Roman"/>
                <w:b/>
                <w:sz w:val="20"/>
                <w:szCs w:val="20"/>
              </w:rPr>
            </w:pPr>
          </w:p>
        </w:tc>
        <w:tc>
          <w:tcPr>
            <w:tcW w:w="1363" w:type="dxa"/>
            <w:vMerge w:val="restart"/>
            <w:vAlign w:val="bottom"/>
          </w:tcPr>
          <w:p w14:paraId="5E87F1EE" w14:textId="77777777" w:rsidR="00E37ECB" w:rsidRPr="00B007E7" w:rsidRDefault="00E37ECB" w:rsidP="00560FBA">
            <w:pPr>
              <w:rPr>
                <w:rFonts w:ascii="Times New Roman" w:hAnsi="Times New Roman" w:cs="Times New Roman"/>
                <w:b/>
                <w:sz w:val="20"/>
                <w:szCs w:val="20"/>
              </w:rPr>
            </w:pPr>
          </w:p>
        </w:tc>
      </w:tr>
      <w:tr w:rsidR="00E37ECB" w14:paraId="7C0A4AF3" w14:textId="77777777" w:rsidTr="00560FBA">
        <w:trPr>
          <w:trHeight w:val="230"/>
        </w:trPr>
        <w:tc>
          <w:tcPr>
            <w:tcW w:w="1594" w:type="dxa"/>
            <w:vMerge/>
            <w:tcBorders>
              <w:right w:val="single" w:sz="12" w:space="0" w:color="auto"/>
            </w:tcBorders>
            <w:vAlign w:val="bottom"/>
          </w:tcPr>
          <w:p w14:paraId="1704859A" w14:textId="77777777" w:rsidR="00E37ECB" w:rsidRPr="00B007E7" w:rsidRDefault="00E37ECB" w:rsidP="00560FBA">
            <w:pPr>
              <w:rPr>
                <w:rFonts w:ascii="Times New Roman" w:eastAsia="Times New Roman" w:hAnsi="Times New Roman" w:cs="Times New Roman"/>
                <w:sz w:val="20"/>
                <w:szCs w:val="20"/>
              </w:rPr>
            </w:pPr>
          </w:p>
        </w:tc>
        <w:tc>
          <w:tcPr>
            <w:tcW w:w="1363" w:type="dxa"/>
            <w:vMerge/>
            <w:tcBorders>
              <w:left w:val="single" w:sz="12" w:space="0" w:color="auto"/>
            </w:tcBorders>
            <w:vAlign w:val="bottom"/>
          </w:tcPr>
          <w:p w14:paraId="238613B4" w14:textId="77777777" w:rsidR="00E37ECB" w:rsidRPr="00B007E7" w:rsidRDefault="00E37ECB" w:rsidP="00560FBA">
            <w:pPr>
              <w:rPr>
                <w:rFonts w:ascii="Times New Roman" w:hAnsi="Times New Roman" w:cs="Times New Roman"/>
                <w:b/>
                <w:sz w:val="20"/>
                <w:szCs w:val="20"/>
              </w:rPr>
            </w:pPr>
          </w:p>
        </w:tc>
        <w:tc>
          <w:tcPr>
            <w:tcW w:w="1363" w:type="dxa"/>
            <w:vMerge/>
            <w:vAlign w:val="bottom"/>
          </w:tcPr>
          <w:p w14:paraId="69AEA10D" w14:textId="77777777" w:rsidR="00E37ECB" w:rsidRPr="00B007E7" w:rsidRDefault="00E37ECB" w:rsidP="00560FBA">
            <w:pPr>
              <w:rPr>
                <w:rFonts w:ascii="Times New Roman" w:hAnsi="Times New Roman" w:cs="Times New Roman"/>
                <w:b/>
                <w:sz w:val="20"/>
                <w:szCs w:val="20"/>
              </w:rPr>
            </w:pPr>
          </w:p>
        </w:tc>
        <w:tc>
          <w:tcPr>
            <w:tcW w:w="1363" w:type="dxa"/>
            <w:vMerge/>
            <w:vAlign w:val="bottom"/>
          </w:tcPr>
          <w:p w14:paraId="6B65668E" w14:textId="77777777" w:rsidR="00E37ECB" w:rsidRPr="00B007E7" w:rsidRDefault="00E37ECB" w:rsidP="00560FBA">
            <w:pPr>
              <w:rPr>
                <w:rFonts w:ascii="Times New Roman" w:hAnsi="Times New Roman" w:cs="Times New Roman"/>
                <w:b/>
                <w:sz w:val="20"/>
                <w:szCs w:val="20"/>
              </w:rPr>
            </w:pPr>
          </w:p>
        </w:tc>
        <w:tc>
          <w:tcPr>
            <w:tcW w:w="1363" w:type="dxa"/>
            <w:vMerge/>
            <w:vAlign w:val="bottom"/>
          </w:tcPr>
          <w:p w14:paraId="2C1C58F0" w14:textId="77777777" w:rsidR="00E37ECB" w:rsidRPr="00B007E7" w:rsidRDefault="00E37ECB" w:rsidP="00560FBA">
            <w:pPr>
              <w:rPr>
                <w:rFonts w:ascii="Times New Roman" w:hAnsi="Times New Roman" w:cs="Times New Roman"/>
                <w:b/>
                <w:sz w:val="20"/>
                <w:szCs w:val="20"/>
              </w:rPr>
            </w:pPr>
          </w:p>
        </w:tc>
        <w:tc>
          <w:tcPr>
            <w:tcW w:w="1363" w:type="dxa"/>
            <w:vMerge/>
            <w:vAlign w:val="bottom"/>
          </w:tcPr>
          <w:p w14:paraId="568CB2B2" w14:textId="77777777" w:rsidR="00E37ECB" w:rsidRPr="00B007E7" w:rsidRDefault="00E37ECB" w:rsidP="00560FBA">
            <w:pPr>
              <w:rPr>
                <w:rFonts w:ascii="Times New Roman" w:hAnsi="Times New Roman" w:cs="Times New Roman"/>
                <w:b/>
                <w:sz w:val="20"/>
                <w:szCs w:val="20"/>
              </w:rPr>
            </w:pPr>
          </w:p>
        </w:tc>
        <w:tc>
          <w:tcPr>
            <w:tcW w:w="1363" w:type="dxa"/>
            <w:vMerge/>
            <w:vAlign w:val="bottom"/>
          </w:tcPr>
          <w:p w14:paraId="6EB049C0" w14:textId="77777777" w:rsidR="00E37ECB" w:rsidRPr="00B007E7" w:rsidRDefault="00E37ECB" w:rsidP="00560FBA">
            <w:pPr>
              <w:rPr>
                <w:rFonts w:ascii="Times New Roman" w:hAnsi="Times New Roman" w:cs="Times New Roman"/>
                <w:b/>
                <w:sz w:val="20"/>
                <w:szCs w:val="20"/>
              </w:rPr>
            </w:pPr>
          </w:p>
        </w:tc>
      </w:tr>
      <w:tr w:rsidR="00E37ECB" w14:paraId="7570A6D1" w14:textId="77777777" w:rsidTr="00560FBA">
        <w:trPr>
          <w:trHeight w:val="230"/>
        </w:trPr>
        <w:tc>
          <w:tcPr>
            <w:tcW w:w="1594" w:type="dxa"/>
            <w:vMerge w:val="restart"/>
            <w:tcBorders>
              <w:right w:val="single" w:sz="12" w:space="0" w:color="auto"/>
            </w:tcBorders>
            <w:vAlign w:val="bottom"/>
          </w:tcPr>
          <w:p w14:paraId="31EA4463" w14:textId="77777777" w:rsidR="00E37ECB" w:rsidRPr="00B007E7"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w:t>
            </w:r>
            <w:r w:rsidRPr="00B007E7">
              <w:rPr>
                <w:rFonts w:ascii="Times New Roman" w:eastAsia="Times New Roman" w:hAnsi="Times New Roman" w:cs="Times New Roman"/>
                <w:sz w:val="20"/>
                <w:szCs w:val="20"/>
              </w:rPr>
              <w:t>Priority debt/income&gt;12</w:t>
            </w:r>
          </w:p>
        </w:tc>
        <w:tc>
          <w:tcPr>
            <w:tcW w:w="1363" w:type="dxa"/>
            <w:vMerge w:val="restart"/>
            <w:tcBorders>
              <w:left w:val="single" w:sz="12" w:space="0" w:color="auto"/>
            </w:tcBorders>
            <w:vAlign w:val="bottom"/>
          </w:tcPr>
          <w:p w14:paraId="034E6A67" w14:textId="77777777" w:rsidR="00E37ECB" w:rsidRPr="00B007E7" w:rsidRDefault="00E37ECB" w:rsidP="00560FBA">
            <w:pPr>
              <w:rPr>
                <w:rFonts w:ascii="Times New Roman" w:hAnsi="Times New Roman" w:cs="Times New Roman"/>
                <w:b/>
                <w:sz w:val="20"/>
                <w:szCs w:val="20"/>
              </w:rPr>
            </w:pPr>
          </w:p>
        </w:tc>
        <w:tc>
          <w:tcPr>
            <w:tcW w:w="1363" w:type="dxa"/>
            <w:vMerge w:val="restart"/>
            <w:vAlign w:val="bottom"/>
          </w:tcPr>
          <w:p w14:paraId="72549C20" w14:textId="77777777" w:rsidR="00E37ECB" w:rsidRPr="00B007E7" w:rsidRDefault="00E37ECB" w:rsidP="00560FBA">
            <w:pPr>
              <w:rPr>
                <w:rFonts w:ascii="Times New Roman" w:hAnsi="Times New Roman" w:cs="Times New Roman"/>
                <w:b/>
                <w:sz w:val="20"/>
                <w:szCs w:val="20"/>
              </w:rPr>
            </w:pPr>
          </w:p>
        </w:tc>
        <w:tc>
          <w:tcPr>
            <w:tcW w:w="1363" w:type="dxa"/>
            <w:vMerge w:val="restart"/>
            <w:vAlign w:val="bottom"/>
          </w:tcPr>
          <w:p w14:paraId="32F665FF"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w:t>
            </w:r>
            <w:r>
              <w:rPr>
                <w:rFonts w:ascii="Times New Roman" w:eastAsia="Times New Roman" w:hAnsi="Times New Roman" w:cs="Times New Roman"/>
                <w:sz w:val="20"/>
                <w:szCs w:val="20"/>
              </w:rPr>
              <w:t>38</w:t>
            </w:r>
          </w:p>
          <w:p w14:paraId="31B3C779"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17</w:t>
            </w:r>
            <w:r w:rsidRPr="00B007E7">
              <w:rPr>
                <w:rFonts w:ascii="Times New Roman" w:eastAsia="Times New Roman" w:hAnsi="Times New Roman" w:cs="Times New Roman"/>
                <w:sz w:val="20"/>
                <w:szCs w:val="20"/>
              </w:rPr>
              <w:t>)</w:t>
            </w:r>
          </w:p>
        </w:tc>
        <w:tc>
          <w:tcPr>
            <w:tcW w:w="1363" w:type="dxa"/>
            <w:vMerge w:val="restart"/>
            <w:vAlign w:val="bottom"/>
          </w:tcPr>
          <w:p w14:paraId="58F82CA5" w14:textId="77777777" w:rsidR="00E37ECB" w:rsidRPr="00B007E7" w:rsidRDefault="00E37ECB" w:rsidP="00560FBA">
            <w:pPr>
              <w:rPr>
                <w:rFonts w:ascii="Times New Roman" w:hAnsi="Times New Roman" w:cs="Times New Roman"/>
                <w:b/>
                <w:sz w:val="20"/>
                <w:szCs w:val="20"/>
              </w:rPr>
            </w:pPr>
          </w:p>
        </w:tc>
        <w:tc>
          <w:tcPr>
            <w:tcW w:w="1363" w:type="dxa"/>
            <w:vMerge w:val="restart"/>
            <w:vAlign w:val="bottom"/>
          </w:tcPr>
          <w:p w14:paraId="43D59EEB" w14:textId="77777777" w:rsidR="00E37ECB" w:rsidRPr="00B007E7" w:rsidRDefault="00E37ECB" w:rsidP="00560FBA">
            <w:pPr>
              <w:rPr>
                <w:rFonts w:ascii="Times New Roman" w:hAnsi="Times New Roman" w:cs="Times New Roman"/>
                <w:b/>
                <w:sz w:val="20"/>
                <w:szCs w:val="20"/>
              </w:rPr>
            </w:pPr>
          </w:p>
        </w:tc>
        <w:tc>
          <w:tcPr>
            <w:tcW w:w="1363" w:type="dxa"/>
            <w:vMerge w:val="restart"/>
            <w:vAlign w:val="bottom"/>
          </w:tcPr>
          <w:p w14:paraId="753E6334" w14:textId="77777777" w:rsidR="00E37ECB" w:rsidRPr="00B007E7" w:rsidRDefault="00E37ECB" w:rsidP="00560FBA">
            <w:pPr>
              <w:rPr>
                <w:rFonts w:ascii="Times New Roman" w:hAnsi="Times New Roman" w:cs="Times New Roman"/>
                <w:b/>
                <w:sz w:val="20"/>
                <w:szCs w:val="20"/>
              </w:rPr>
            </w:pPr>
          </w:p>
        </w:tc>
      </w:tr>
      <w:tr w:rsidR="00E37ECB" w14:paraId="28CE50DB" w14:textId="77777777" w:rsidTr="00560FBA">
        <w:trPr>
          <w:trHeight w:val="230"/>
        </w:trPr>
        <w:tc>
          <w:tcPr>
            <w:tcW w:w="1594" w:type="dxa"/>
            <w:vMerge/>
            <w:tcBorders>
              <w:right w:val="single" w:sz="12" w:space="0" w:color="auto"/>
            </w:tcBorders>
            <w:vAlign w:val="bottom"/>
          </w:tcPr>
          <w:p w14:paraId="7DBC9389" w14:textId="77777777" w:rsidR="00E37ECB" w:rsidRPr="00B007E7" w:rsidRDefault="00E37ECB" w:rsidP="00560FBA">
            <w:pPr>
              <w:rPr>
                <w:rFonts w:ascii="Times New Roman" w:eastAsia="Times New Roman" w:hAnsi="Times New Roman" w:cs="Times New Roman"/>
                <w:sz w:val="20"/>
                <w:szCs w:val="20"/>
              </w:rPr>
            </w:pPr>
          </w:p>
        </w:tc>
        <w:tc>
          <w:tcPr>
            <w:tcW w:w="1363" w:type="dxa"/>
            <w:vMerge/>
            <w:tcBorders>
              <w:left w:val="single" w:sz="12" w:space="0" w:color="auto"/>
            </w:tcBorders>
            <w:vAlign w:val="bottom"/>
          </w:tcPr>
          <w:p w14:paraId="4674F976" w14:textId="77777777" w:rsidR="00E37ECB" w:rsidRPr="00B007E7" w:rsidRDefault="00E37ECB" w:rsidP="00560FBA">
            <w:pPr>
              <w:rPr>
                <w:rFonts w:ascii="Times New Roman" w:hAnsi="Times New Roman" w:cs="Times New Roman"/>
                <w:b/>
                <w:sz w:val="20"/>
                <w:szCs w:val="20"/>
              </w:rPr>
            </w:pPr>
          </w:p>
        </w:tc>
        <w:tc>
          <w:tcPr>
            <w:tcW w:w="1363" w:type="dxa"/>
            <w:vMerge/>
            <w:vAlign w:val="bottom"/>
          </w:tcPr>
          <w:p w14:paraId="1093061A" w14:textId="77777777" w:rsidR="00E37ECB" w:rsidRPr="00B007E7" w:rsidRDefault="00E37ECB" w:rsidP="00560FBA">
            <w:pPr>
              <w:rPr>
                <w:rFonts w:ascii="Times New Roman" w:hAnsi="Times New Roman" w:cs="Times New Roman"/>
                <w:b/>
                <w:sz w:val="20"/>
                <w:szCs w:val="20"/>
              </w:rPr>
            </w:pPr>
          </w:p>
        </w:tc>
        <w:tc>
          <w:tcPr>
            <w:tcW w:w="1363" w:type="dxa"/>
            <w:vMerge/>
            <w:vAlign w:val="bottom"/>
          </w:tcPr>
          <w:p w14:paraId="735DCBF0" w14:textId="77777777" w:rsidR="00E37ECB" w:rsidRPr="00B007E7" w:rsidRDefault="00E37ECB" w:rsidP="00560FBA">
            <w:pPr>
              <w:rPr>
                <w:rFonts w:ascii="Times New Roman" w:hAnsi="Times New Roman" w:cs="Times New Roman"/>
                <w:b/>
                <w:sz w:val="20"/>
                <w:szCs w:val="20"/>
              </w:rPr>
            </w:pPr>
          </w:p>
        </w:tc>
        <w:tc>
          <w:tcPr>
            <w:tcW w:w="1363" w:type="dxa"/>
            <w:vMerge/>
            <w:vAlign w:val="bottom"/>
          </w:tcPr>
          <w:p w14:paraId="7065B4BD" w14:textId="77777777" w:rsidR="00E37ECB" w:rsidRPr="00B007E7" w:rsidRDefault="00E37ECB" w:rsidP="00560FBA">
            <w:pPr>
              <w:rPr>
                <w:rFonts w:ascii="Times New Roman" w:hAnsi="Times New Roman" w:cs="Times New Roman"/>
                <w:b/>
                <w:sz w:val="20"/>
                <w:szCs w:val="20"/>
              </w:rPr>
            </w:pPr>
          </w:p>
        </w:tc>
        <w:tc>
          <w:tcPr>
            <w:tcW w:w="1363" w:type="dxa"/>
            <w:vMerge/>
            <w:vAlign w:val="bottom"/>
          </w:tcPr>
          <w:p w14:paraId="08D3AEEC" w14:textId="77777777" w:rsidR="00E37ECB" w:rsidRPr="00B007E7" w:rsidRDefault="00E37ECB" w:rsidP="00560FBA">
            <w:pPr>
              <w:rPr>
                <w:rFonts w:ascii="Times New Roman" w:hAnsi="Times New Roman" w:cs="Times New Roman"/>
                <w:b/>
                <w:sz w:val="20"/>
                <w:szCs w:val="20"/>
              </w:rPr>
            </w:pPr>
          </w:p>
        </w:tc>
        <w:tc>
          <w:tcPr>
            <w:tcW w:w="1363" w:type="dxa"/>
            <w:vMerge/>
            <w:vAlign w:val="bottom"/>
          </w:tcPr>
          <w:p w14:paraId="3BEA5BBE" w14:textId="77777777" w:rsidR="00E37ECB" w:rsidRPr="00B007E7" w:rsidRDefault="00E37ECB" w:rsidP="00560FBA">
            <w:pPr>
              <w:rPr>
                <w:rFonts w:ascii="Times New Roman" w:hAnsi="Times New Roman" w:cs="Times New Roman"/>
                <w:b/>
                <w:sz w:val="20"/>
                <w:szCs w:val="20"/>
              </w:rPr>
            </w:pPr>
          </w:p>
        </w:tc>
      </w:tr>
      <w:tr w:rsidR="00E37ECB" w14:paraId="2BA455DF" w14:textId="77777777" w:rsidTr="00560FBA">
        <w:trPr>
          <w:trHeight w:val="230"/>
        </w:trPr>
        <w:tc>
          <w:tcPr>
            <w:tcW w:w="1594" w:type="dxa"/>
            <w:vMerge w:val="restart"/>
            <w:tcBorders>
              <w:right w:val="single" w:sz="12" w:space="0" w:color="auto"/>
            </w:tcBorders>
            <w:vAlign w:val="bottom"/>
          </w:tcPr>
          <w:p w14:paraId="0E00AA51" w14:textId="77777777" w:rsidR="00E37ECB" w:rsidRPr="00B007E7"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 </w:t>
            </w:r>
            <w:r w:rsidRPr="00B007E7">
              <w:rPr>
                <w:rFonts w:ascii="Times New Roman" w:eastAsia="Times New Roman" w:hAnsi="Times New Roman" w:cs="Times New Roman"/>
                <w:sz w:val="20"/>
                <w:szCs w:val="20"/>
              </w:rPr>
              <w:t>Income/expenses</w:t>
            </w:r>
          </w:p>
        </w:tc>
        <w:tc>
          <w:tcPr>
            <w:tcW w:w="1363" w:type="dxa"/>
            <w:vMerge w:val="restart"/>
            <w:tcBorders>
              <w:left w:val="single" w:sz="12" w:space="0" w:color="auto"/>
            </w:tcBorders>
            <w:vAlign w:val="bottom"/>
          </w:tcPr>
          <w:p w14:paraId="4A92A736" w14:textId="77777777" w:rsidR="00E37ECB" w:rsidRPr="00B007E7" w:rsidRDefault="00E37ECB" w:rsidP="00560FBA">
            <w:pPr>
              <w:rPr>
                <w:rFonts w:ascii="Times New Roman" w:hAnsi="Times New Roman" w:cs="Times New Roman"/>
                <w:b/>
                <w:sz w:val="20"/>
                <w:szCs w:val="20"/>
              </w:rPr>
            </w:pPr>
          </w:p>
        </w:tc>
        <w:tc>
          <w:tcPr>
            <w:tcW w:w="1363" w:type="dxa"/>
            <w:vMerge w:val="restart"/>
            <w:vAlign w:val="bottom"/>
          </w:tcPr>
          <w:p w14:paraId="7725AEE3" w14:textId="77777777" w:rsidR="00E37ECB" w:rsidRPr="00B007E7" w:rsidRDefault="00E37ECB" w:rsidP="00560FBA">
            <w:pPr>
              <w:rPr>
                <w:rFonts w:ascii="Times New Roman" w:hAnsi="Times New Roman" w:cs="Times New Roman"/>
                <w:b/>
                <w:sz w:val="20"/>
                <w:szCs w:val="20"/>
              </w:rPr>
            </w:pPr>
          </w:p>
        </w:tc>
        <w:tc>
          <w:tcPr>
            <w:tcW w:w="1363" w:type="dxa"/>
            <w:vMerge w:val="restart"/>
            <w:vAlign w:val="bottom"/>
          </w:tcPr>
          <w:p w14:paraId="7BB3265C" w14:textId="77777777" w:rsidR="00E37ECB" w:rsidRPr="00B007E7" w:rsidRDefault="00E37ECB" w:rsidP="00560FBA">
            <w:pPr>
              <w:rPr>
                <w:rFonts w:ascii="Times New Roman" w:hAnsi="Times New Roman" w:cs="Times New Roman"/>
                <w:b/>
                <w:sz w:val="20"/>
                <w:szCs w:val="20"/>
              </w:rPr>
            </w:pPr>
          </w:p>
        </w:tc>
        <w:tc>
          <w:tcPr>
            <w:tcW w:w="1363" w:type="dxa"/>
            <w:vMerge w:val="restart"/>
            <w:vAlign w:val="bottom"/>
          </w:tcPr>
          <w:p w14:paraId="22D386D8"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23</w:t>
            </w:r>
          </w:p>
          <w:p w14:paraId="27E8C3D8"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63</w:t>
            </w:r>
            <w:r w:rsidRPr="00B007E7">
              <w:rPr>
                <w:rFonts w:ascii="Times New Roman" w:eastAsia="Times New Roman" w:hAnsi="Times New Roman" w:cs="Times New Roman"/>
                <w:sz w:val="20"/>
                <w:szCs w:val="20"/>
              </w:rPr>
              <w:t>)</w:t>
            </w:r>
          </w:p>
        </w:tc>
        <w:tc>
          <w:tcPr>
            <w:tcW w:w="1363" w:type="dxa"/>
            <w:vMerge w:val="restart"/>
            <w:vAlign w:val="bottom"/>
          </w:tcPr>
          <w:p w14:paraId="27ADF1DD" w14:textId="77777777" w:rsidR="00E37ECB" w:rsidRPr="00B007E7" w:rsidRDefault="00E37ECB" w:rsidP="00560FBA">
            <w:pPr>
              <w:rPr>
                <w:rFonts w:ascii="Times New Roman" w:hAnsi="Times New Roman" w:cs="Times New Roman"/>
                <w:b/>
                <w:sz w:val="20"/>
                <w:szCs w:val="20"/>
              </w:rPr>
            </w:pPr>
          </w:p>
        </w:tc>
        <w:tc>
          <w:tcPr>
            <w:tcW w:w="1363" w:type="dxa"/>
            <w:vMerge w:val="restart"/>
            <w:vAlign w:val="bottom"/>
          </w:tcPr>
          <w:p w14:paraId="57246E32" w14:textId="77777777" w:rsidR="00E37ECB" w:rsidRPr="00B007E7" w:rsidRDefault="00E37ECB" w:rsidP="00560FBA">
            <w:pPr>
              <w:rPr>
                <w:rFonts w:ascii="Times New Roman" w:hAnsi="Times New Roman" w:cs="Times New Roman"/>
                <w:b/>
                <w:sz w:val="20"/>
                <w:szCs w:val="20"/>
              </w:rPr>
            </w:pPr>
          </w:p>
        </w:tc>
      </w:tr>
      <w:tr w:rsidR="00E37ECB" w14:paraId="2BEA55B8" w14:textId="77777777" w:rsidTr="00560FBA">
        <w:trPr>
          <w:trHeight w:val="230"/>
        </w:trPr>
        <w:tc>
          <w:tcPr>
            <w:tcW w:w="1594" w:type="dxa"/>
            <w:vMerge/>
            <w:tcBorders>
              <w:right w:val="single" w:sz="12" w:space="0" w:color="auto"/>
            </w:tcBorders>
            <w:vAlign w:val="bottom"/>
          </w:tcPr>
          <w:p w14:paraId="5A7F2074" w14:textId="77777777" w:rsidR="00E37ECB" w:rsidRPr="00B007E7" w:rsidRDefault="00E37ECB" w:rsidP="00560FBA">
            <w:pPr>
              <w:rPr>
                <w:rFonts w:ascii="Times New Roman" w:eastAsia="Times New Roman" w:hAnsi="Times New Roman" w:cs="Times New Roman"/>
                <w:sz w:val="20"/>
                <w:szCs w:val="20"/>
              </w:rPr>
            </w:pPr>
          </w:p>
        </w:tc>
        <w:tc>
          <w:tcPr>
            <w:tcW w:w="1363" w:type="dxa"/>
            <w:vMerge/>
            <w:tcBorders>
              <w:left w:val="single" w:sz="12" w:space="0" w:color="auto"/>
            </w:tcBorders>
            <w:vAlign w:val="bottom"/>
          </w:tcPr>
          <w:p w14:paraId="5A0CF72D" w14:textId="77777777" w:rsidR="00E37ECB" w:rsidRPr="00B007E7" w:rsidRDefault="00E37ECB" w:rsidP="00560FBA">
            <w:pPr>
              <w:rPr>
                <w:rFonts w:ascii="Times New Roman" w:hAnsi="Times New Roman" w:cs="Times New Roman"/>
                <w:b/>
                <w:sz w:val="20"/>
                <w:szCs w:val="20"/>
              </w:rPr>
            </w:pPr>
          </w:p>
        </w:tc>
        <w:tc>
          <w:tcPr>
            <w:tcW w:w="1363" w:type="dxa"/>
            <w:vMerge/>
            <w:vAlign w:val="bottom"/>
          </w:tcPr>
          <w:p w14:paraId="3E736EE9" w14:textId="77777777" w:rsidR="00E37ECB" w:rsidRPr="00B007E7" w:rsidRDefault="00E37ECB" w:rsidP="00560FBA">
            <w:pPr>
              <w:rPr>
                <w:rFonts w:ascii="Times New Roman" w:hAnsi="Times New Roman" w:cs="Times New Roman"/>
                <w:b/>
                <w:sz w:val="20"/>
                <w:szCs w:val="20"/>
              </w:rPr>
            </w:pPr>
          </w:p>
        </w:tc>
        <w:tc>
          <w:tcPr>
            <w:tcW w:w="1363" w:type="dxa"/>
            <w:vMerge/>
            <w:vAlign w:val="bottom"/>
          </w:tcPr>
          <w:p w14:paraId="6D72BA42" w14:textId="77777777" w:rsidR="00E37ECB" w:rsidRPr="00B007E7" w:rsidRDefault="00E37ECB" w:rsidP="00560FBA">
            <w:pPr>
              <w:rPr>
                <w:rFonts w:ascii="Times New Roman" w:hAnsi="Times New Roman" w:cs="Times New Roman"/>
                <w:b/>
                <w:sz w:val="20"/>
                <w:szCs w:val="20"/>
              </w:rPr>
            </w:pPr>
          </w:p>
        </w:tc>
        <w:tc>
          <w:tcPr>
            <w:tcW w:w="1363" w:type="dxa"/>
            <w:vMerge/>
            <w:vAlign w:val="bottom"/>
          </w:tcPr>
          <w:p w14:paraId="6560591B" w14:textId="77777777" w:rsidR="00E37ECB" w:rsidRPr="00B007E7" w:rsidRDefault="00E37ECB" w:rsidP="00560FBA">
            <w:pPr>
              <w:rPr>
                <w:rFonts w:ascii="Times New Roman" w:hAnsi="Times New Roman" w:cs="Times New Roman"/>
                <w:b/>
                <w:sz w:val="20"/>
                <w:szCs w:val="20"/>
              </w:rPr>
            </w:pPr>
          </w:p>
        </w:tc>
        <w:tc>
          <w:tcPr>
            <w:tcW w:w="1363" w:type="dxa"/>
            <w:vMerge/>
            <w:vAlign w:val="bottom"/>
          </w:tcPr>
          <w:p w14:paraId="3C4746A3" w14:textId="77777777" w:rsidR="00E37ECB" w:rsidRPr="00B007E7" w:rsidRDefault="00E37ECB" w:rsidP="00560FBA">
            <w:pPr>
              <w:rPr>
                <w:rFonts w:ascii="Times New Roman" w:hAnsi="Times New Roman" w:cs="Times New Roman"/>
                <w:b/>
                <w:sz w:val="20"/>
                <w:szCs w:val="20"/>
              </w:rPr>
            </w:pPr>
          </w:p>
        </w:tc>
        <w:tc>
          <w:tcPr>
            <w:tcW w:w="1363" w:type="dxa"/>
            <w:vMerge/>
            <w:vAlign w:val="bottom"/>
          </w:tcPr>
          <w:p w14:paraId="156DAF4A" w14:textId="77777777" w:rsidR="00E37ECB" w:rsidRPr="00B007E7" w:rsidRDefault="00E37ECB" w:rsidP="00560FBA">
            <w:pPr>
              <w:rPr>
                <w:rFonts w:ascii="Times New Roman" w:hAnsi="Times New Roman" w:cs="Times New Roman"/>
                <w:b/>
                <w:sz w:val="20"/>
                <w:szCs w:val="20"/>
              </w:rPr>
            </w:pPr>
          </w:p>
        </w:tc>
      </w:tr>
      <w:tr w:rsidR="00E37ECB" w14:paraId="015D121C" w14:textId="77777777" w:rsidTr="00560FBA">
        <w:trPr>
          <w:trHeight w:val="230"/>
        </w:trPr>
        <w:tc>
          <w:tcPr>
            <w:tcW w:w="1594" w:type="dxa"/>
            <w:vMerge w:val="restart"/>
            <w:tcBorders>
              <w:right w:val="single" w:sz="12" w:space="0" w:color="auto"/>
            </w:tcBorders>
            <w:vAlign w:val="bottom"/>
          </w:tcPr>
          <w:p w14:paraId="57E73149" w14:textId="77777777" w:rsidR="00E37ECB" w:rsidRPr="00B007E7"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r w:rsidRPr="00B007E7">
              <w:rPr>
                <w:rFonts w:ascii="Times New Roman" w:eastAsia="Times New Roman" w:hAnsi="Times New Roman" w:cs="Times New Roman"/>
                <w:sz w:val="20"/>
                <w:szCs w:val="20"/>
              </w:rPr>
              <w:t>Log of (income+1)</w:t>
            </w:r>
          </w:p>
        </w:tc>
        <w:tc>
          <w:tcPr>
            <w:tcW w:w="1363" w:type="dxa"/>
            <w:vMerge w:val="restart"/>
            <w:tcBorders>
              <w:left w:val="single" w:sz="12" w:space="0" w:color="auto"/>
            </w:tcBorders>
            <w:vAlign w:val="bottom"/>
          </w:tcPr>
          <w:p w14:paraId="5B5A9542" w14:textId="77777777" w:rsidR="00E37ECB" w:rsidRPr="00B007E7" w:rsidRDefault="00E37ECB" w:rsidP="00560FBA">
            <w:pPr>
              <w:rPr>
                <w:rFonts w:ascii="Times New Roman" w:hAnsi="Times New Roman" w:cs="Times New Roman"/>
                <w:b/>
                <w:sz w:val="20"/>
                <w:szCs w:val="20"/>
              </w:rPr>
            </w:pPr>
          </w:p>
        </w:tc>
        <w:tc>
          <w:tcPr>
            <w:tcW w:w="1363" w:type="dxa"/>
            <w:vMerge w:val="restart"/>
            <w:vAlign w:val="bottom"/>
          </w:tcPr>
          <w:p w14:paraId="3D1CF9B7" w14:textId="77777777" w:rsidR="00E37ECB" w:rsidRPr="00B007E7" w:rsidRDefault="00E37ECB" w:rsidP="00560FBA">
            <w:pPr>
              <w:rPr>
                <w:rFonts w:ascii="Times New Roman" w:hAnsi="Times New Roman" w:cs="Times New Roman"/>
                <w:b/>
                <w:sz w:val="20"/>
                <w:szCs w:val="20"/>
              </w:rPr>
            </w:pPr>
          </w:p>
        </w:tc>
        <w:tc>
          <w:tcPr>
            <w:tcW w:w="1363" w:type="dxa"/>
            <w:vMerge w:val="restart"/>
            <w:vAlign w:val="bottom"/>
          </w:tcPr>
          <w:p w14:paraId="1BA4BB2C" w14:textId="77777777" w:rsidR="00E37ECB" w:rsidRPr="00B007E7" w:rsidRDefault="00E37ECB" w:rsidP="00560FBA">
            <w:pPr>
              <w:rPr>
                <w:rFonts w:ascii="Times New Roman" w:hAnsi="Times New Roman" w:cs="Times New Roman"/>
                <w:b/>
                <w:sz w:val="20"/>
                <w:szCs w:val="20"/>
              </w:rPr>
            </w:pPr>
          </w:p>
        </w:tc>
        <w:tc>
          <w:tcPr>
            <w:tcW w:w="1363" w:type="dxa"/>
            <w:vMerge w:val="restart"/>
            <w:vAlign w:val="bottom"/>
          </w:tcPr>
          <w:p w14:paraId="19AD4AB9" w14:textId="77777777" w:rsidR="00E37ECB" w:rsidRPr="00B007E7" w:rsidRDefault="00E37ECB" w:rsidP="00560FBA">
            <w:pPr>
              <w:rPr>
                <w:rFonts w:ascii="Times New Roman" w:hAnsi="Times New Roman" w:cs="Times New Roman"/>
                <w:b/>
                <w:sz w:val="20"/>
                <w:szCs w:val="20"/>
              </w:rPr>
            </w:pPr>
          </w:p>
        </w:tc>
        <w:tc>
          <w:tcPr>
            <w:tcW w:w="1363" w:type="dxa"/>
            <w:vMerge w:val="restart"/>
            <w:vAlign w:val="bottom"/>
          </w:tcPr>
          <w:p w14:paraId="2818567A" w14:textId="77777777" w:rsidR="00E37ECB" w:rsidRPr="00B007E7" w:rsidRDefault="00E37ECB" w:rsidP="00560FBA">
            <w:pPr>
              <w:rPr>
                <w:rFonts w:ascii="Times New Roman" w:hAnsi="Times New Roman" w:cs="Times New Roman"/>
                <w:b/>
                <w:sz w:val="20"/>
                <w:szCs w:val="20"/>
              </w:rPr>
            </w:pPr>
          </w:p>
        </w:tc>
        <w:tc>
          <w:tcPr>
            <w:tcW w:w="1363" w:type="dxa"/>
            <w:vMerge w:val="restart"/>
            <w:vAlign w:val="bottom"/>
          </w:tcPr>
          <w:p w14:paraId="48BA53CC" w14:textId="77777777" w:rsidR="00E37ECB" w:rsidRPr="00B007E7" w:rsidRDefault="00E37ECB" w:rsidP="00560FBA">
            <w:pPr>
              <w:rPr>
                <w:rFonts w:ascii="Times New Roman" w:hAnsi="Times New Roman" w:cs="Times New Roman"/>
                <w:b/>
                <w:sz w:val="20"/>
                <w:szCs w:val="20"/>
              </w:rPr>
            </w:pPr>
            <w:r>
              <w:rPr>
                <w:rFonts w:ascii="Times New Roman" w:eastAsia="Times New Roman" w:hAnsi="Times New Roman" w:cs="Times New Roman"/>
                <w:sz w:val="20"/>
                <w:szCs w:val="20"/>
              </w:rPr>
              <w:t>-0.004</w:t>
            </w:r>
          </w:p>
          <w:p w14:paraId="2F2D8BE8"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84</w:t>
            </w:r>
            <w:r w:rsidRPr="00B007E7">
              <w:rPr>
                <w:rFonts w:ascii="Times New Roman" w:eastAsia="Times New Roman" w:hAnsi="Times New Roman" w:cs="Times New Roman"/>
                <w:sz w:val="20"/>
                <w:szCs w:val="20"/>
              </w:rPr>
              <w:t>)</w:t>
            </w:r>
          </w:p>
        </w:tc>
      </w:tr>
      <w:tr w:rsidR="00E37ECB" w14:paraId="062B8423" w14:textId="77777777" w:rsidTr="00560FBA">
        <w:trPr>
          <w:trHeight w:val="230"/>
        </w:trPr>
        <w:tc>
          <w:tcPr>
            <w:tcW w:w="1594" w:type="dxa"/>
            <w:vMerge/>
            <w:tcBorders>
              <w:right w:val="single" w:sz="12" w:space="0" w:color="auto"/>
            </w:tcBorders>
            <w:vAlign w:val="bottom"/>
          </w:tcPr>
          <w:p w14:paraId="6A8C72F1" w14:textId="77777777" w:rsidR="00E37ECB" w:rsidRPr="00B007E7" w:rsidRDefault="00E37ECB" w:rsidP="00560FBA">
            <w:pPr>
              <w:rPr>
                <w:rFonts w:ascii="Times New Roman" w:eastAsia="Times New Roman" w:hAnsi="Times New Roman" w:cs="Times New Roman"/>
                <w:sz w:val="20"/>
                <w:szCs w:val="20"/>
              </w:rPr>
            </w:pPr>
          </w:p>
        </w:tc>
        <w:tc>
          <w:tcPr>
            <w:tcW w:w="1363" w:type="dxa"/>
            <w:vMerge/>
            <w:tcBorders>
              <w:left w:val="single" w:sz="12" w:space="0" w:color="auto"/>
            </w:tcBorders>
            <w:vAlign w:val="bottom"/>
          </w:tcPr>
          <w:p w14:paraId="29227F4A" w14:textId="77777777" w:rsidR="00E37ECB" w:rsidRPr="00B007E7" w:rsidRDefault="00E37ECB" w:rsidP="00560FBA">
            <w:pPr>
              <w:rPr>
                <w:rFonts w:ascii="Times New Roman" w:hAnsi="Times New Roman" w:cs="Times New Roman"/>
                <w:b/>
                <w:sz w:val="20"/>
                <w:szCs w:val="20"/>
              </w:rPr>
            </w:pPr>
          </w:p>
        </w:tc>
        <w:tc>
          <w:tcPr>
            <w:tcW w:w="1363" w:type="dxa"/>
            <w:vMerge/>
            <w:vAlign w:val="bottom"/>
          </w:tcPr>
          <w:p w14:paraId="2B7A02DD" w14:textId="77777777" w:rsidR="00E37ECB" w:rsidRPr="00B007E7" w:rsidRDefault="00E37ECB" w:rsidP="00560FBA">
            <w:pPr>
              <w:rPr>
                <w:rFonts w:ascii="Times New Roman" w:hAnsi="Times New Roman" w:cs="Times New Roman"/>
                <w:b/>
                <w:sz w:val="20"/>
                <w:szCs w:val="20"/>
              </w:rPr>
            </w:pPr>
          </w:p>
        </w:tc>
        <w:tc>
          <w:tcPr>
            <w:tcW w:w="1363" w:type="dxa"/>
            <w:vMerge/>
            <w:vAlign w:val="bottom"/>
          </w:tcPr>
          <w:p w14:paraId="02CCAEFB" w14:textId="77777777" w:rsidR="00E37ECB" w:rsidRPr="00B007E7" w:rsidRDefault="00E37ECB" w:rsidP="00560FBA">
            <w:pPr>
              <w:rPr>
                <w:rFonts w:ascii="Times New Roman" w:hAnsi="Times New Roman" w:cs="Times New Roman"/>
                <w:b/>
                <w:sz w:val="20"/>
                <w:szCs w:val="20"/>
              </w:rPr>
            </w:pPr>
          </w:p>
        </w:tc>
        <w:tc>
          <w:tcPr>
            <w:tcW w:w="1363" w:type="dxa"/>
            <w:vMerge/>
            <w:vAlign w:val="bottom"/>
          </w:tcPr>
          <w:p w14:paraId="01618CBC" w14:textId="77777777" w:rsidR="00E37ECB" w:rsidRPr="00B007E7" w:rsidRDefault="00E37ECB" w:rsidP="00560FBA">
            <w:pPr>
              <w:rPr>
                <w:rFonts w:ascii="Times New Roman" w:hAnsi="Times New Roman" w:cs="Times New Roman"/>
                <w:b/>
                <w:sz w:val="20"/>
                <w:szCs w:val="20"/>
              </w:rPr>
            </w:pPr>
          </w:p>
        </w:tc>
        <w:tc>
          <w:tcPr>
            <w:tcW w:w="1363" w:type="dxa"/>
            <w:vMerge/>
            <w:vAlign w:val="bottom"/>
          </w:tcPr>
          <w:p w14:paraId="1660A899" w14:textId="77777777" w:rsidR="00E37ECB" w:rsidRPr="00B007E7" w:rsidRDefault="00E37ECB" w:rsidP="00560FBA">
            <w:pPr>
              <w:rPr>
                <w:rFonts w:ascii="Times New Roman" w:hAnsi="Times New Roman" w:cs="Times New Roman"/>
                <w:b/>
                <w:sz w:val="20"/>
                <w:szCs w:val="20"/>
              </w:rPr>
            </w:pPr>
          </w:p>
        </w:tc>
        <w:tc>
          <w:tcPr>
            <w:tcW w:w="1363" w:type="dxa"/>
            <w:vMerge/>
            <w:vAlign w:val="bottom"/>
          </w:tcPr>
          <w:p w14:paraId="1530A4B6" w14:textId="77777777" w:rsidR="00E37ECB" w:rsidRPr="00B007E7" w:rsidRDefault="00E37ECB" w:rsidP="00560FBA">
            <w:pPr>
              <w:rPr>
                <w:rFonts w:ascii="Times New Roman" w:hAnsi="Times New Roman" w:cs="Times New Roman"/>
                <w:b/>
                <w:sz w:val="20"/>
                <w:szCs w:val="20"/>
              </w:rPr>
            </w:pPr>
          </w:p>
        </w:tc>
      </w:tr>
      <w:tr w:rsidR="00E37ECB" w14:paraId="3C9C50EA" w14:textId="77777777" w:rsidTr="00560FBA">
        <w:trPr>
          <w:trHeight w:val="470"/>
        </w:trPr>
        <w:tc>
          <w:tcPr>
            <w:tcW w:w="1594" w:type="dxa"/>
            <w:tcBorders>
              <w:right w:val="single" w:sz="12" w:space="0" w:color="auto"/>
            </w:tcBorders>
            <w:vAlign w:val="bottom"/>
          </w:tcPr>
          <w:p w14:paraId="4E78EA38" w14:textId="77777777" w:rsidR="00E37ECB" w:rsidRPr="00B007E7"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 </w:t>
            </w:r>
            <w:r w:rsidRPr="00B007E7">
              <w:rPr>
                <w:rFonts w:ascii="Times New Roman" w:eastAsia="Times New Roman" w:hAnsi="Times New Roman" w:cs="Times New Roman"/>
                <w:sz w:val="20"/>
                <w:szCs w:val="20"/>
              </w:rPr>
              <w:t>More than 3 parcels</w:t>
            </w:r>
          </w:p>
        </w:tc>
        <w:tc>
          <w:tcPr>
            <w:tcW w:w="1363" w:type="dxa"/>
            <w:tcBorders>
              <w:left w:val="single" w:sz="12" w:space="0" w:color="auto"/>
            </w:tcBorders>
            <w:vAlign w:val="bottom"/>
          </w:tcPr>
          <w:p w14:paraId="0FBE3886"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0F8B31FE"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6A09916C"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w:t>
            </w:r>
            <w:r>
              <w:rPr>
                <w:rFonts w:ascii="Times New Roman" w:eastAsia="Times New Roman" w:hAnsi="Times New Roman" w:cs="Times New Roman"/>
                <w:sz w:val="20"/>
                <w:szCs w:val="20"/>
              </w:rPr>
              <w:t>11</w:t>
            </w:r>
          </w:p>
          <w:p w14:paraId="0C1CC643"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12</w:t>
            </w:r>
            <w:r w:rsidRPr="00B007E7">
              <w:rPr>
                <w:rFonts w:ascii="Times New Roman" w:eastAsia="Times New Roman" w:hAnsi="Times New Roman" w:cs="Times New Roman"/>
                <w:sz w:val="20"/>
                <w:szCs w:val="20"/>
              </w:rPr>
              <w:t>)</w:t>
            </w:r>
          </w:p>
        </w:tc>
        <w:tc>
          <w:tcPr>
            <w:tcW w:w="1363" w:type="dxa"/>
            <w:vAlign w:val="bottom"/>
          </w:tcPr>
          <w:p w14:paraId="46EEACA4"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4D61E12D"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3F084DC5" w14:textId="77777777" w:rsidR="00E37ECB" w:rsidRPr="00B007E7" w:rsidRDefault="00E37ECB" w:rsidP="00560FBA">
            <w:pPr>
              <w:rPr>
                <w:rFonts w:ascii="Times New Roman" w:hAnsi="Times New Roman" w:cs="Times New Roman"/>
                <w:b/>
                <w:sz w:val="20"/>
                <w:szCs w:val="20"/>
              </w:rPr>
            </w:pPr>
          </w:p>
        </w:tc>
      </w:tr>
      <w:tr w:rsidR="00E37ECB" w14:paraId="72122C0C" w14:textId="77777777" w:rsidTr="00560FBA">
        <w:trPr>
          <w:trHeight w:val="470"/>
        </w:trPr>
        <w:tc>
          <w:tcPr>
            <w:tcW w:w="1594" w:type="dxa"/>
            <w:tcBorders>
              <w:right w:val="single" w:sz="12" w:space="0" w:color="auto"/>
            </w:tcBorders>
            <w:vAlign w:val="bottom"/>
          </w:tcPr>
          <w:p w14:paraId="53D8EC63" w14:textId="77777777" w:rsidR="00E37ECB" w:rsidRPr="00B007E7"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r w:rsidRPr="00B007E7">
              <w:rPr>
                <w:rFonts w:ascii="Times New Roman" w:eastAsia="Times New Roman" w:hAnsi="Times New Roman" w:cs="Times New Roman"/>
                <w:sz w:val="20"/>
                <w:szCs w:val="20"/>
              </w:rPr>
              <w:t>Log of (liabilities)</w:t>
            </w:r>
          </w:p>
        </w:tc>
        <w:tc>
          <w:tcPr>
            <w:tcW w:w="1363" w:type="dxa"/>
            <w:tcBorders>
              <w:left w:val="single" w:sz="12" w:space="0" w:color="auto"/>
            </w:tcBorders>
            <w:vAlign w:val="bottom"/>
          </w:tcPr>
          <w:p w14:paraId="43F16177"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1E34E15B"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6DB632B4"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01C40AA5"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87</w:t>
            </w:r>
            <w:r w:rsidRPr="00B007E7">
              <w:rPr>
                <w:rFonts w:ascii="Times New Roman" w:eastAsia="Times New Roman" w:hAnsi="Times New Roman" w:cs="Times New Roman"/>
                <w:sz w:val="20"/>
                <w:szCs w:val="20"/>
              </w:rPr>
              <w:t>**</w:t>
            </w:r>
          </w:p>
          <w:p w14:paraId="58D91B1B"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(0.01)</w:t>
            </w:r>
          </w:p>
        </w:tc>
        <w:tc>
          <w:tcPr>
            <w:tcW w:w="1363" w:type="dxa"/>
            <w:vAlign w:val="bottom"/>
          </w:tcPr>
          <w:p w14:paraId="1BF1B95F"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236144D6"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69</w:t>
            </w:r>
            <w:r w:rsidRPr="00B007E7">
              <w:rPr>
                <w:rFonts w:ascii="Times New Roman" w:eastAsia="Times New Roman" w:hAnsi="Times New Roman" w:cs="Times New Roman"/>
                <w:sz w:val="20"/>
                <w:szCs w:val="20"/>
              </w:rPr>
              <w:t>**</w:t>
            </w:r>
          </w:p>
          <w:p w14:paraId="659A789E"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3</w:t>
            </w:r>
            <w:r w:rsidRPr="00B007E7">
              <w:rPr>
                <w:rFonts w:ascii="Times New Roman" w:eastAsia="Times New Roman" w:hAnsi="Times New Roman" w:cs="Times New Roman"/>
                <w:sz w:val="20"/>
                <w:szCs w:val="20"/>
              </w:rPr>
              <w:t>)</w:t>
            </w:r>
          </w:p>
        </w:tc>
      </w:tr>
      <w:tr w:rsidR="00E37ECB" w14:paraId="3CC40FAE" w14:textId="77777777" w:rsidTr="00560FBA">
        <w:trPr>
          <w:trHeight w:val="470"/>
        </w:trPr>
        <w:tc>
          <w:tcPr>
            <w:tcW w:w="1594" w:type="dxa"/>
            <w:tcBorders>
              <w:bottom w:val="single" w:sz="4" w:space="0" w:color="auto"/>
              <w:right w:val="single" w:sz="12" w:space="0" w:color="auto"/>
            </w:tcBorders>
            <w:vAlign w:val="bottom"/>
          </w:tcPr>
          <w:p w14:paraId="3E30C2B8" w14:textId="77777777" w:rsidR="00E37ECB" w:rsidRPr="00B007E7"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w:t>
            </w:r>
            <w:r w:rsidRPr="00B007E7">
              <w:rPr>
                <w:rFonts w:ascii="Times New Roman" w:eastAsia="Times New Roman" w:hAnsi="Times New Roman" w:cs="Times New Roman"/>
                <w:sz w:val="20"/>
                <w:szCs w:val="20"/>
              </w:rPr>
              <w:t>Log of (assets+1)</w:t>
            </w:r>
          </w:p>
        </w:tc>
        <w:tc>
          <w:tcPr>
            <w:tcW w:w="1363" w:type="dxa"/>
            <w:tcBorders>
              <w:left w:val="single" w:sz="12" w:space="0" w:color="auto"/>
              <w:bottom w:val="single" w:sz="4" w:space="0" w:color="auto"/>
            </w:tcBorders>
            <w:vAlign w:val="bottom"/>
          </w:tcPr>
          <w:p w14:paraId="6FAAD825" w14:textId="77777777" w:rsidR="00E37ECB" w:rsidRPr="00B007E7" w:rsidRDefault="00E37ECB" w:rsidP="00560FBA">
            <w:pPr>
              <w:rPr>
                <w:rFonts w:ascii="Times New Roman" w:hAnsi="Times New Roman" w:cs="Times New Roman"/>
                <w:b/>
                <w:sz w:val="20"/>
                <w:szCs w:val="20"/>
              </w:rPr>
            </w:pPr>
          </w:p>
        </w:tc>
        <w:tc>
          <w:tcPr>
            <w:tcW w:w="1363" w:type="dxa"/>
            <w:tcBorders>
              <w:bottom w:val="single" w:sz="4" w:space="0" w:color="auto"/>
            </w:tcBorders>
            <w:vAlign w:val="bottom"/>
          </w:tcPr>
          <w:p w14:paraId="0832F257" w14:textId="77777777" w:rsidR="00E37ECB" w:rsidRPr="00B007E7" w:rsidRDefault="00E37ECB" w:rsidP="00560FBA">
            <w:pPr>
              <w:rPr>
                <w:rFonts w:ascii="Times New Roman" w:hAnsi="Times New Roman" w:cs="Times New Roman"/>
                <w:b/>
                <w:sz w:val="20"/>
                <w:szCs w:val="20"/>
              </w:rPr>
            </w:pPr>
          </w:p>
        </w:tc>
        <w:tc>
          <w:tcPr>
            <w:tcW w:w="1363" w:type="dxa"/>
            <w:tcBorders>
              <w:bottom w:val="single" w:sz="4" w:space="0" w:color="auto"/>
            </w:tcBorders>
            <w:vAlign w:val="bottom"/>
          </w:tcPr>
          <w:p w14:paraId="2587A07D"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-0.00</w:t>
            </w:r>
            <w:r>
              <w:rPr>
                <w:rFonts w:ascii="Times New Roman" w:eastAsia="Times New Roman" w:hAnsi="Times New Roman" w:cs="Times New Roman"/>
                <w:sz w:val="20"/>
                <w:szCs w:val="20"/>
              </w:rPr>
              <w:t>9</w:t>
            </w:r>
          </w:p>
          <w:p w14:paraId="5F24ADAE"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66</w:t>
            </w:r>
            <w:r w:rsidRPr="00B007E7">
              <w:rPr>
                <w:rFonts w:ascii="Times New Roman" w:eastAsia="Times New Roman" w:hAnsi="Times New Roman" w:cs="Times New Roman"/>
                <w:sz w:val="20"/>
                <w:szCs w:val="20"/>
              </w:rPr>
              <w:t>)</w:t>
            </w:r>
          </w:p>
        </w:tc>
        <w:tc>
          <w:tcPr>
            <w:tcW w:w="1363" w:type="dxa"/>
            <w:tcBorders>
              <w:bottom w:val="single" w:sz="4" w:space="0" w:color="auto"/>
            </w:tcBorders>
            <w:vAlign w:val="bottom"/>
          </w:tcPr>
          <w:p w14:paraId="1D27D6FC" w14:textId="77777777" w:rsidR="00E37ECB" w:rsidRPr="00B007E7" w:rsidRDefault="00E37ECB" w:rsidP="00560FBA">
            <w:pPr>
              <w:rPr>
                <w:rFonts w:ascii="Times New Roman" w:hAnsi="Times New Roman" w:cs="Times New Roman"/>
                <w:b/>
                <w:sz w:val="20"/>
                <w:szCs w:val="20"/>
              </w:rPr>
            </w:pPr>
          </w:p>
        </w:tc>
        <w:tc>
          <w:tcPr>
            <w:tcW w:w="1363" w:type="dxa"/>
            <w:tcBorders>
              <w:bottom w:val="single" w:sz="4" w:space="0" w:color="auto"/>
            </w:tcBorders>
            <w:vAlign w:val="bottom"/>
          </w:tcPr>
          <w:p w14:paraId="1C6F552B" w14:textId="77777777" w:rsidR="00E37ECB" w:rsidRPr="00B007E7" w:rsidRDefault="00E37ECB" w:rsidP="00560FBA">
            <w:pPr>
              <w:rPr>
                <w:rFonts w:ascii="Times New Roman" w:hAnsi="Times New Roman" w:cs="Times New Roman"/>
                <w:b/>
                <w:sz w:val="20"/>
                <w:szCs w:val="20"/>
              </w:rPr>
            </w:pPr>
          </w:p>
        </w:tc>
        <w:tc>
          <w:tcPr>
            <w:tcW w:w="1363" w:type="dxa"/>
            <w:tcBorders>
              <w:bottom w:val="single" w:sz="4" w:space="0" w:color="auto"/>
            </w:tcBorders>
            <w:vAlign w:val="bottom"/>
          </w:tcPr>
          <w:p w14:paraId="7623215E" w14:textId="77777777" w:rsidR="00E37ECB" w:rsidRPr="00B007E7" w:rsidRDefault="00E37ECB" w:rsidP="00560FBA">
            <w:pPr>
              <w:rPr>
                <w:rFonts w:ascii="Times New Roman" w:hAnsi="Times New Roman" w:cs="Times New Roman"/>
                <w:b/>
                <w:sz w:val="20"/>
                <w:szCs w:val="20"/>
              </w:rPr>
            </w:pPr>
          </w:p>
        </w:tc>
      </w:tr>
      <w:tr w:rsidR="00E37ECB" w14:paraId="7B5EDFEB" w14:textId="77777777" w:rsidTr="00560FBA">
        <w:trPr>
          <w:trHeight w:val="700"/>
        </w:trPr>
        <w:tc>
          <w:tcPr>
            <w:tcW w:w="1594" w:type="dxa"/>
            <w:tcBorders>
              <w:bottom w:val="single" w:sz="4" w:space="0" w:color="auto"/>
              <w:right w:val="single" w:sz="12" w:space="0" w:color="auto"/>
            </w:tcBorders>
            <w:vAlign w:val="bottom"/>
          </w:tcPr>
          <w:p w14:paraId="489A5BDB" w14:textId="77777777" w:rsidR="00E37ECB" w:rsidRPr="00B007E7"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w:t>
            </w:r>
            <w:r w:rsidRPr="00B007E7">
              <w:rPr>
                <w:rFonts w:ascii="Times New Roman" w:eastAsia="Times New Roman" w:hAnsi="Times New Roman" w:cs="Times New Roman"/>
                <w:sz w:val="20"/>
                <w:szCs w:val="20"/>
              </w:rPr>
              <w:t>Under chapter 13 debt limit</w:t>
            </w:r>
          </w:p>
        </w:tc>
        <w:tc>
          <w:tcPr>
            <w:tcW w:w="1363" w:type="dxa"/>
            <w:tcBorders>
              <w:left w:val="single" w:sz="12" w:space="0" w:color="auto"/>
              <w:bottom w:val="single" w:sz="4" w:space="0" w:color="auto"/>
            </w:tcBorders>
            <w:vAlign w:val="bottom"/>
          </w:tcPr>
          <w:p w14:paraId="64C2ABA3" w14:textId="77777777" w:rsidR="00E37ECB" w:rsidRPr="00B007E7" w:rsidRDefault="00E37ECB" w:rsidP="00560FBA">
            <w:pPr>
              <w:rPr>
                <w:rFonts w:ascii="Times New Roman" w:hAnsi="Times New Roman" w:cs="Times New Roman"/>
                <w:b/>
                <w:sz w:val="20"/>
                <w:szCs w:val="20"/>
              </w:rPr>
            </w:pPr>
          </w:p>
        </w:tc>
        <w:tc>
          <w:tcPr>
            <w:tcW w:w="1363" w:type="dxa"/>
            <w:tcBorders>
              <w:bottom w:val="single" w:sz="4" w:space="0" w:color="auto"/>
            </w:tcBorders>
            <w:vAlign w:val="bottom"/>
          </w:tcPr>
          <w:p w14:paraId="1B3F6635" w14:textId="77777777" w:rsidR="00E37ECB" w:rsidRPr="00B007E7" w:rsidRDefault="00E37ECB" w:rsidP="00560FBA">
            <w:pPr>
              <w:rPr>
                <w:rFonts w:ascii="Times New Roman" w:hAnsi="Times New Roman" w:cs="Times New Roman"/>
                <w:b/>
                <w:sz w:val="20"/>
                <w:szCs w:val="20"/>
              </w:rPr>
            </w:pPr>
          </w:p>
        </w:tc>
        <w:tc>
          <w:tcPr>
            <w:tcW w:w="1363" w:type="dxa"/>
            <w:tcBorders>
              <w:bottom w:val="single" w:sz="4" w:space="0" w:color="auto"/>
            </w:tcBorders>
            <w:vAlign w:val="bottom"/>
          </w:tcPr>
          <w:p w14:paraId="6A40B87F" w14:textId="77777777" w:rsidR="00E37ECB" w:rsidRPr="00B007E7" w:rsidRDefault="00E37ECB" w:rsidP="00560FBA">
            <w:pPr>
              <w:rPr>
                <w:rFonts w:ascii="Times New Roman" w:hAnsi="Times New Roman" w:cs="Times New Roman"/>
                <w:b/>
                <w:sz w:val="20"/>
                <w:szCs w:val="20"/>
              </w:rPr>
            </w:pPr>
          </w:p>
        </w:tc>
        <w:tc>
          <w:tcPr>
            <w:tcW w:w="1363" w:type="dxa"/>
            <w:tcBorders>
              <w:bottom w:val="single" w:sz="4" w:space="0" w:color="auto"/>
            </w:tcBorders>
            <w:vAlign w:val="bottom"/>
          </w:tcPr>
          <w:p w14:paraId="4FF2D7A6" w14:textId="77777777" w:rsidR="00E37ECB" w:rsidRPr="00B007E7" w:rsidRDefault="00E37ECB" w:rsidP="00560FBA">
            <w:pPr>
              <w:rPr>
                <w:rFonts w:ascii="Times New Roman" w:hAnsi="Times New Roman" w:cs="Times New Roman"/>
                <w:b/>
                <w:sz w:val="20"/>
                <w:szCs w:val="20"/>
              </w:rPr>
            </w:pPr>
          </w:p>
        </w:tc>
        <w:tc>
          <w:tcPr>
            <w:tcW w:w="1363" w:type="dxa"/>
            <w:tcBorders>
              <w:bottom w:val="single" w:sz="4" w:space="0" w:color="auto"/>
            </w:tcBorders>
            <w:vAlign w:val="bottom"/>
          </w:tcPr>
          <w:p w14:paraId="3247CA48"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0.08</w:t>
            </w:r>
            <w:r>
              <w:rPr>
                <w:rFonts w:ascii="Times New Roman" w:eastAsia="Times New Roman" w:hAnsi="Times New Roman" w:cs="Times New Roman"/>
                <w:sz w:val="20"/>
                <w:szCs w:val="20"/>
              </w:rPr>
              <w:t>95</w:t>
            </w:r>
          </w:p>
          <w:p w14:paraId="0727F0DF"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28</w:t>
            </w:r>
            <w:r w:rsidRPr="00B007E7">
              <w:rPr>
                <w:rFonts w:ascii="Times New Roman" w:eastAsia="Times New Roman" w:hAnsi="Times New Roman" w:cs="Times New Roman"/>
                <w:sz w:val="20"/>
                <w:szCs w:val="20"/>
              </w:rPr>
              <w:t>)</w:t>
            </w:r>
          </w:p>
        </w:tc>
        <w:tc>
          <w:tcPr>
            <w:tcW w:w="1363" w:type="dxa"/>
            <w:tcBorders>
              <w:bottom w:val="single" w:sz="4" w:space="0" w:color="auto"/>
            </w:tcBorders>
            <w:vAlign w:val="bottom"/>
          </w:tcPr>
          <w:p w14:paraId="22503DC8" w14:textId="77777777" w:rsidR="00E37ECB" w:rsidRPr="00B007E7" w:rsidRDefault="00E37ECB" w:rsidP="00560FBA">
            <w:pPr>
              <w:rPr>
                <w:rFonts w:ascii="Times New Roman" w:hAnsi="Times New Roman" w:cs="Times New Roman"/>
                <w:b/>
                <w:sz w:val="20"/>
                <w:szCs w:val="20"/>
              </w:rPr>
            </w:pPr>
          </w:p>
        </w:tc>
      </w:tr>
      <w:tr w:rsidR="00E37ECB" w14:paraId="76D29BA5" w14:textId="77777777" w:rsidTr="00560FBA">
        <w:trPr>
          <w:trHeight w:val="470"/>
        </w:trPr>
        <w:tc>
          <w:tcPr>
            <w:tcW w:w="1594" w:type="dxa"/>
            <w:tcBorders>
              <w:right w:val="single" w:sz="12" w:space="0" w:color="auto"/>
            </w:tcBorders>
            <w:vAlign w:val="bottom"/>
          </w:tcPr>
          <w:p w14:paraId="01C13868" w14:textId="77777777" w:rsidR="00E37ECB" w:rsidRPr="00B007E7"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(23) </w:t>
            </w:r>
            <w:r w:rsidRPr="00B007E7">
              <w:rPr>
                <w:rFonts w:ascii="Times New Roman" w:eastAsia="Times New Roman" w:hAnsi="Times New Roman" w:cs="Times New Roman"/>
                <w:sz w:val="20"/>
                <w:szCs w:val="20"/>
              </w:rPr>
              <w:t>Broad circuit</w:t>
            </w:r>
          </w:p>
        </w:tc>
        <w:tc>
          <w:tcPr>
            <w:tcW w:w="1363" w:type="dxa"/>
            <w:tcBorders>
              <w:left w:val="single" w:sz="12" w:space="0" w:color="auto"/>
            </w:tcBorders>
            <w:vAlign w:val="bottom"/>
          </w:tcPr>
          <w:p w14:paraId="6C9D8EF9"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7382D234"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20</w:t>
            </w:r>
          </w:p>
          <w:p w14:paraId="7CC70D72"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84</w:t>
            </w:r>
            <w:r w:rsidRPr="00B007E7">
              <w:rPr>
                <w:rFonts w:ascii="Times New Roman" w:eastAsia="Times New Roman" w:hAnsi="Times New Roman" w:cs="Times New Roman"/>
                <w:sz w:val="20"/>
                <w:szCs w:val="20"/>
              </w:rPr>
              <w:t>)</w:t>
            </w:r>
          </w:p>
        </w:tc>
        <w:tc>
          <w:tcPr>
            <w:tcW w:w="1363" w:type="dxa"/>
            <w:vAlign w:val="bottom"/>
          </w:tcPr>
          <w:p w14:paraId="7B5BD8A7"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40</w:t>
            </w:r>
          </w:p>
          <w:p w14:paraId="0D9383D2"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73</w:t>
            </w:r>
            <w:r w:rsidRPr="00B007E7">
              <w:rPr>
                <w:rFonts w:ascii="Times New Roman" w:eastAsia="Times New Roman" w:hAnsi="Times New Roman" w:cs="Times New Roman"/>
                <w:sz w:val="20"/>
                <w:szCs w:val="20"/>
              </w:rPr>
              <w:t>)</w:t>
            </w:r>
          </w:p>
        </w:tc>
        <w:tc>
          <w:tcPr>
            <w:tcW w:w="1363" w:type="dxa"/>
            <w:vAlign w:val="bottom"/>
          </w:tcPr>
          <w:p w14:paraId="6F34BA38" w14:textId="77777777" w:rsidR="00E37ECB" w:rsidRPr="00B007E7" w:rsidRDefault="00E37ECB" w:rsidP="00560FBA">
            <w:pPr>
              <w:rPr>
                <w:rFonts w:ascii="Times New Roman" w:hAnsi="Times New Roman" w:cs="Times New Roman"/>
                <w:b/>
                <w:sz w:val="20"/>
                <w:szCs w:val="20"/>
              </w:rPr>
            </w:pPr>
            <w:r>
              <w:rPr>
                <w:rFonts w:ascii="Times New Roman" w:eastAsia="Times New Roman" w:hAnsi="Times New Roman" w:cs="Times New Roman"/>
                <w:sz w:val="20"/>
                <w:szCs w:val="20"/>
              </w:rPr>
              <w:t>.015</w:t>
            </w:r>
          </w:p>
          <w:p w14:paraId="54D8F99E"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90</w:t>
            </w:r>
            <w:r w:rsidRPr="00B007E7">
              <w:rPr>
                <w:rFonts w:ascii="Times New Roman" w:eastAsia="Times New Roman" w:hAnsi="Times New Roman" w:cs="Times New Roman"/>
                <w:sz w:val="20"/>
                <w:szCs w:val="20"/>
              </w:rPr>
              <w:t>)</w:t>
            </w:r>
          </w:p>
        </w:tc>
        <w:tc>
          <w:tcPr>
            <w:tcW w:w="1363" w:type="dxa"/>
            <w:vAlign w:val="bottom"/>
          </w:tcPr>
          <w:p w14:paraId="22ED053B"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156</w:t>
            </w:r>
          </w:p>
          <w:p w14:paraId="79EE724F"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89</w:t>
            </w:r>
            <w:r w:rsidRPr="00B007E7">
              <w:rPr>
                <w:rFonts w:ascii="Times New Roman" w:eastAsia="Times New Roman" w:hAnsi="Times New Roman" w:cs="Times New Roman"/>
                <w:sz w:val="20"/>
                <w:szCs w:val="20"/>
              </w:rPr>
              <w:t>)</w:t>
            </w:r>
          </w:p>
        </w:tc>
        <w:tc>
          <w:tcPr>
            <w:tcW w:w="1363" w:type="dxa"/>
            <w:vAlign w:val="bottom"/>
          </w:tcPr>
          <w:p w14:paraId="4BA444A6"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293</w:t>
            </w:r>
          </w:p>
          <w:p w14:paraId="77EA6932"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80</w:t>
            </w:r>
            <w:r w:rsidRPr="00B007E7">
              <w:rPr>
                <w:rFonts w:ascii="Times New Roman" w:eastAsia="Times New Roman" w:hAnsi="Times New Roman" w:cs="Times New Roman"/>
                <w:sz w:val="20"/>
                <w:szCs w:val="20"/>
              </w:rPr>
              <w:t>)</w:t>
            </w:r>
          </w:p>
        </w:tc>
      </w:tr>
      <w:tr w:rsidR="00E37ECB" w14:paraId="10385BF3" w14:textId="77777777" w:rsidTr="00560FBA">
        <w:trPr>
          <w:trHeight w:val="470"/>
        </w:trPr>
        <w:tc>
          <w:tcPr>
            <w:tcW w:w="1594" w:type="dxa"/>
            <w:tcBorders>
              <w:right w:val="single" w:sz="12" w:space="0" w:color="auto"/>
            </w:tcBorders>
            <w:vAlign w:val="bottom"/>
          </w:tcPr>
          <w:p w14:paraId="08AA0C25" w14:textId="77777777" w:rsidR="00E37ECB" w:rsidRPr="00B007E7"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w:t>
            </w:r>
            <w:r w:rsidRPr="00B007E7">
              <w:rPr>
                <w:rFonts w:ascii="Times New Roman" w:eastAsia="Times New Roman" w:hAnsi="Times New Roman" w:cs="Times New Roman"/>
                <w:sz w:val="20"/>
                <w:szCs w:val="20"/>
              </w:rPr>
              <w:t>Narrow circuit</w:t>
            </w:r>
          </w:p>
        </w:tc>
        <w:tc>
          <w:tcPr>
            <w:tcW w:w="1363" w:type="dxa"/>
            <w:tcBorders>
              <w:left w:val="single" w:sz="12" w:space="0" w:color="auto"/>
            </w:tcBorders>
            <w:vAlign w:val="bottom"/>
          </w:tcPr>
          <w:p w14:paraId="7EA09D03"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72B4776B"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-0.3</w:t>
            </w:r>
            <w:r>
              <w:rPr>
                <w:rFonts w:ascii="Times New Roman" w:eastAsia="Times New Roman" w:hAnsi="Times New Roman" w:cs="Times New Roman"/>
                <w:sz w:val="20"/>
                <w:szCs w:val="20"/>
              </w:rPr>
              <w:t>08</w:t>
            </w:r>
            <w:r w:rsidRPr="00B007E7">
              <w:rPr>
                <w:rFonts w:ascii="Times New Roman" w:eastAsia="Times New Roman" w:hAnsi="Times New Roman" w:cs="Times New Roman"/>
                <w:sz w:val="20"/>
                <w:szCs w:val="20"/>
              </w:rPr>
              <w:t>***</w:t>
            </w:r>
          </w:p>
          <w:p w14:paraId="1056437A"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2</w:t>
            </w:r>
            <w:r w:rsidRPr="00B007E7">
              <w:rPr>
                <w:rFonts w:ascii="Times New Roman" w:eastAsia="Times New Roman" w:hAnsi="Times New Roman" w:cs="Times New Roman"/>
                <w:sz w:val="20"/>
                <w:szCs w:val="20"/>
              </w:rPr>
              <w:t>)</w:t>
            </w:r>
          </w:p>
        </w:tc>
        <w:tc>
          <w:tcPr>
            <w:tcW w:w="1363" w:type="dxa"/>
            <w:vAlign w:val="bottom"/>
          </w:tcPr>
          <w:p w14:paraId="58675FAF"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340</w:t>
            </w:r>
            <w:r w:rsidRPr="00B007E7">
              <w:rPr>
                <w:rFonts w:ascii="Times New Roman" w:eastAsia="Times New Roman" w:hAnsi="Times New Roman" w:cs="Times New Roman"/>
                <w:sz w:val="20"/>
                <w:szCs w:val="20"/>
              </w:rPr>
              <w:t>**</w:t>
            </w:r>
          </w:p>
          <w:p w14:paraId="10CE978A"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2</w:t>
            </w:r>
            <w:r w:rsidRPr="00B007E7">
              <w:rPr>
                <w:rFonts w:ascii="Times New Roman" w:eastAsia="Times New Roman" w:hAnsi="Times New Roman" w:cs="Times New Roman"/>
                <w:sz w:val="20"/>
                <w:szCs w:val="20"/>
              </w:rPr>
              <w:t>)</w:t>
            </w:r>
          </w:p>
        </w:tc>
        <w:tc>
          <w:tcPr>
            <w:tcW w:w="1363" w:type="dxa"/>
            <w:vAlign w:val="bottom"/>
          </w:tcPr>
          <w:p w14:paraId="6098503D"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-0.3</w:t>
            </w:r>
            <w:r>
              <w:rPr>
                <w:rFonts w:ascii="Times New Roman" w:eastAsia="Times New Roman" w:hAnsi="Times New Roman" w:cs="Times New Roman"/>
                <w:sz w:val="20"/>
                <w:szCs w:val="20"/>
              </w:rPr>
              <w:t>23</w:t>
            </w:r>
            <w:r w:rsidRPr="00B007E7">
              <w:rPr>
                <w:rFonts w:ascii="Times New Roman" w:eastAsia="Times New Roman" w:hAnsi="Times New Roman" w:cs="Times New Roman"/>
                <w:sz w:val="20"/>
                <w:szCs w:val="20"/>
              </w:rPr>
              <w:t>**</w:t>
            </w:r>
          </w:p>
          <w:p w14:paraId="4E4B1C76"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3</w:t>
            </w:r>
            <w:r w:rsidRPr="00B007E7">
              <w:rPr>
                <w:rFonts w:ascii="Times New Roman" w:eastAsia="Times New Roman" w:hAnsi="Times New Roman" w:cs="Times New Roman"/>
                <w:sz w:val="20"/>
                <w:szCs w:val="20"/>
              </w:rPr>
              <w:t>)</w:t>
            </w:r>
          </w:p>
        </w:tc>
        <w:tc>
          <w:tcPr>
            <w:tcW w:w="1363" w:type="dxa"/>
            <w:vAlign w:val="bottom"/>
          </w:tcPr>
          <w:p w14:paraId="328FAEB7"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-0.3</w:t>
            </w:r>
            <w:r>
              <w:rPr>
                <w:rFonts w:ascii="Times New Roman" w:eastAsia="Times New Roman" w:hAnsi="Times New Roman" w:cs="Times New Roman"/>
                <w:sz w:val="20"/>
                <w:szCs w:val="20"/>
              </w:rPr>
              <w:t>02</w:t>
            </w:r>
            <w:r w:rsidRPr="00B007E7">
              <w:rPr>
                <w:rFonts w:ascii="Times New Roman" w:eastAsia="Times New Roman" w:hAnsi="Times New Roman" w:cs="Times New Roman"/>
                <w:sz w:val="20"/>
                <w:szCs w:val="20"/>
              </w:rPr>
              <w:t>**</w:t>
            </w:r>
          </w:p>
          <w:p w14:paraId="4D2E5FC5"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4</w:t>
            </w:r>
            <w:r w:rsidRPr="00B007E7">
              <w:rPr>
                <w:rFonts w:ascii="Times New Roman" w:eastAsia="Times New Roman" w:hAnsi="Times New Roman" w:cs="Times New Roman"/>
                <w:sz w:val="20"/>
                <w:szCs w:val="20"/>
              </w:rPr>
              <w:t>)</w:t>
            </w:r>
          </w:p>
        </w:tc>
        <w:tc>
          <w:tcPr>
            <w:tcW w:w="1363" w:type="dxa"/>
            <w:vAlign w:val="bottom"/>
          </w:tcPr>
          <w:p w14:paraId="071CF8BD"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-0.3</w:t>
            </w:r>
            <w:r>
              <w:rPr>
                <w:rFonts w:ascii="Times New Roman" w:eastAsia="Times New Roman" w:hAnsi="Times New Roman" w:cs="Times New Roman"/>
                <w:sz w:val="20"/>
                <w:szCs w:val="20"/>
              </w:rPr>
              <w:t>29</w:t>
            </w:r>
            <w:r w:rsidRPr="00B007E7">
              <w:rPr>
                <w:rFonts w:ascii="Times New Roman" w:eastAsia="Times New Roman" w:hAnsi="Times New Roman" w:cs="Times New Roman"/>
                <w:sz w:val="20"/>
                <w:szCs w:val="20"/>
              </w:rPr>
              <w:t>**</w:t>
            </w:r>
          </w:p>
          <w:p w14:paraId="7D7F1AE9"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2</w:t>
            </w:r>
            <w:r w:rsidRPr="00B007E7">
              <w:rPr>
                <w:rFonts w:ascii="Times New Roman" w:eastAsia="Times New Roman" w:hAnsi="Times New Roman" w:cs="Times New Roman"/>
                <w:sz w:val="20"/>
                <w:szCs w:val="20"/>
              </w:rPr>
              <w:t>)</w:t>
            </w:r>
          </w:p>
        </w:tc>
      </w:tr>
      <w:tr w:rsidR="00E37ECB" w14:paraId="6BE6D2B9" w14:textId="77777777" w:rsidTr="00560FBA">
        <w:trPr>
          <w:trHeight w:val="470"/>
        </w:trPr>
        <w:tc>
          <w:tcPr>
            <w:tcW w:w="1594" w:type="dxa"/>
            <w:tcBorders>
              <w:right w:val="single" w:sz="12" w:space="0" w:color="auto"/>
            </w:tcBorders>
            <w:vAlign w:val="bottom"/>
          </w:tcPr>
          <w:p w14:paraId="5D2C4421" w14:textId="77777777" w:rsidR="00E37ECB" w:rsidRPr="00B007E7"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(25) </w:t>
            </w:r>
            <w:r w:rsidRPr="00B007E7">
              <w:rPr>
                <w:rFonts w:ascii="Times New Roman" w:eastAsia="Times New Roman" w:hAnsi="Times New Roman" w:cs="Times New Roman"/>
                <w:sz w:val="20"/>
                <w:szCs w:val="20"/>
              </w:rPr>
              <w:t>Broad</w:t>
            </w:r>
          </w:p>
        </w:tc>
        <w:tc>
          <w:tcPr>
            <w:tcW w:w="1363" w:type="dxa"/>
            <w:tcBorders>
              <w:left w:val="single" w:sz="12" w:space="0" w:color="auto"/>
            </w:tcBorders>
            <w:vAlign w:val="bottom"/>
          </w:tcPr>
          <w:p w14:paraId="063E9170" w14:textId="77777777" w:rsidR="00E37ECB" w:rsidRPr="00B007E7" w:rsidRDefault="00E37ECB" w:rsidP="00560FBA">
            <w:pPr>
              <w:rPr>
                <w:rFonts w:ascii="Times New Roman" w:hAnsi="Times New Roman" w:cs="Times New Roman"/>
                <w:b/>
                <w:sz w:val="20"/>
                <w:szCs w:val="20"/>
              </w:rPr>
            </w:pPr>
            <w:r>
              <w:rPr>
                <w:rFonts w:ascii="Times New Roman" w:eastAsia="Times New Roman" w:hAnsi="Times New Roman" w:cs="Times New Roman"/>
                <w:sz w:val="20"/>
                <w:szCs w:val="20"/>
              </w:rPr>
              <w:t>0.054</w:t>
            </w:r>
          </w:p>
          <w:p w14:paraId="295E3B4C"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60</w:t>
            </w:r>
            <w:r w:rsidRPr="00B007E7">
              <w:rPr>
                <w:rFonts w:ascii="Times New Roman" w:eastAsia="Times New Roman" w:hAnsi="Times New Roman" w:cs="Times New Roman"/>
                <w:sz w:val="20"/>
                <w:szCs w:val="20"/>
              </w:rPr>
              <w:t>)</w:t>
            </w:r>
          </w:p>
        </w:tc>
        <w:tc>
          <w:tcPr>
            <w:tcW w:w="1363" w:type="dxa"/>
            <w:vAlign w:val="bottom"/>
          </w:tcPr>
          <w:p w14:paraId="1F15A2A3"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1C0CFA65"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38EEAA7E"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370F6749"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64FA283F" w14:textId="77777777" w:rsidR="00E37ECB" w:rsidRPr="00B007E7" w:rsidRDefault="00E37ECB" w:rsidP="00560FBA">
            <w:pPr>
              <w:rPr>
                <w:rFonts w:ascii="Times New Roman" w:hAnsi="Times New Roman" w:cs="Times New Roman"/>
                <w:b/>
                <w:sz w:val="20"/>
                <w:szCs w:val="20"/>
              </w:rPr>
            </w:pPr>
          </w:p>
        </w:tc>
      </w:tr>
      <w:tr w:rsidR="00E37ECB" w14:paraId="048F0ED9" w14:textId="77777777" w:rsidTr="00560FBA">
        <w:trPr>
          <w:trHeight w:val="470"/>
        </w:trPr>
        <w:tc>
          <w:tcPr>
            <w:tcW w:w="1594" w:type="dxa"/>
            <w:tcBorders>
              <w:right w:val="single" w:sz="12" w:space="0" w:color="auto"/>
            </w:tcBorders>
            <w:vAlign w:val="bottom"/>
          </w:tcPr>
          <w:p w14:paraId="112EFB3F" w14:textId="77777777" w:rsidR="00E37ECB" w:rsidRPr="00B007E7"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(26) </w:t>
            </w:r>
            <w:r w:rsidRPr="00B007E7">
              <w:rPr>
                <w:rFonts w:ascii="Times New Roman" w:eastAsia="Times New Roman" w:hAnsi="Times New Roman" w:cs="Times New Roman"/>
                <w:sz w:val="20"/>
                <w:szCs w:val="20"/>
              </w:rPr>
              <w:t>Narrow</w:t>
            </w:r>
          </w:p>
        </w:tc>
        <w:tc>
          <w:tcPr>
            <w:tcW w:w="1363" w:type="dxa"/>
            <w:tcBorders>
              <w:left w:val="single" w:sz="12" w:space="0" w:color="auto"/>
            </w:tcBorders>
            <w:vAlign w:val="bottom"/>
          </w:tcPr>
          <w:p w14:paraId="52695310"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w:t>
            </w:r>
            <w:r>
              <w:rPr>
                <w:rFonts w:ascii="Times New Roman" w:eastAsia="Times New Roman" w:hAnsi="Times New Roman" w:cs="Times New Roman"/>
                <w:sz w:val="20"/>
                <w:szCs w:val="20"/>
              </w:rPr>
              <w:t>23</w:t>
            </w:r>
          </w:p>
          <w:p w14:paraId="2DA468FA"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r w:rsidRPr="00B007E7">
              <w:rPr>
                <w:rFonts w:ascii="Times New Roman" w:eastAsia="Times New Roman" w:hAnsi="Times New Roman" w:cs="Times New Roman"/>
                <w:sz w:val="20"/>
                <w:szCs w:val="20"/>
              </w:rPr>
              <w:t>)</w:t>
            </w:r>
          </w:p>
        </w:tc>
        <w:tc>
          <w:tcPr>
            <w:tcW w:w="1363" w:type="dxa"/>
            <w:vAlign w:val="bottom"/>
          </w:tcPr>
          <w:p w14:paraId="175C0255"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3FD2439B"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00786B27"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26B3627A" w14:textId="77777777" w:rsidR="00E37ECB" w:rsidRPr="00B007E7" w:rsidRDefault="00E37ECB" w:rsidP="00560FBA">
            <w:pPr>
              <w:rPr>
                <w:rFonts w:ascii="Times New Roman" w:hAnsi="Times New Roman" w:cs="Times New Roman"/>
                <w:b/>
                <w:sz w:val="20"/>
                <w:szCs w:val="20"/>
              </w:rPr>
            </w:pPr>
          </w:p>
        </w:tc>
        <w:tc>
          <w:tcPr>
            <w:tcW w:w="1363" w:type="dxa"/>
            <w:vAlign w:val="bottom"/>
          </w:tcPr>
          <w:p w14:paraId="4AD5BBB6" w14:textId="77777777" w:rsidR="00E37ECB" w:rsidRPr="00B007E7" w:rsidRDefault="00E37ECB" w:rsidP="00560FBA">
            <w:pPr>
              <w:rPr>
                <w:rFonts w:ascii="Times New Roman" w:hAnsi="Times New Roman" w:cs="Times New Roman"/>
                <w:b/>
                <w:sz w:val="20"/>
                <w:szCs w:val="20"/>
              </w:rPr>
            </w:pPr>
          </w:p>
        </w:tc>
      </w:tr>
      <w:tr w:rsidR="00E37ECB" w14:paraId="20E64153" w14:textId="77777777" w:rsidTr="00560FBA">
        <w:trPr>
          <w:trHeight w:val="470"/>
        </w:trPr>
        <w:tc>
          <w:tcPr>
            <w:tcW w:w="1594" w:type="dxa"/>
            <w:tcBorders>
              <w:bottom w:val="single" w:sz="4" w:space="0" w:color="auto"/>
              <w:right w:val="single" w:sz="12" w:space="0" w:color="auto"/>
            </w:tcBorders>
            <w:vAlign w:val="bottom"/>
          </w:tcPr>
          <w:p w14:paraId="7F394ED4" w14:textId="77777777" w:rsidR="00E37ECB" w:rsidRPr="00B007E7"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(27) </w:t>
            </w:r>
            <w:r w:rsidRPr="00B007E7">
              <w:rPr>
                <w:rFonts w:ascii="Times New Roman" w:eastAsia="Times New Roman" w:hAnsi="Times New Roman" w:cs="Times New Roman"/>
                <w:sz w:val="20"/>
                <w:szCs w:val="20"/>
              </w:rPr>
              <w:t>Constant</w:t>
            </w:r>
          </w:p>
        </w:tc>
        <w:tc>
          <w:tcPr>
            <w:tcW w:w="1363" w:type="dxa"/>
            <w:tcBorders>
              <w:left w:val="single" w:sz="12" w:space="0" w:color="auto"/>
              <w:bottom w:val="single" w:sz="4" w:space="0" w:color="auto"/>
            </w:tcBorders>
            <w:vAlign w:val="bottom"/>
          </w:tcPr>
          <w:p w14:paraId="54921D77"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0.4</w:t>
            </w:r>
            <w:r>
              <w:rPr>
                <w:rFonts w:ascii="Times New Roman" w:eastAsia="Times New Roman" w:hAnsi="Times New Roman" w:cs="Times New Roman"/>
                <w:sz w:val="20"/>
                <w:szCs w:val="20"/>
              </w:rPr>
              <w:t>68</w:t>
            </w:r>
            <w:r w:rsidRPr="00B007E7">
              <w:rPr>
                <w:rFonts w:ascii="Times New Roman" w:eastAsia="Times New Roman" w:hAnsi="Times New Roman" w:cs="Times New Roman"/>
                <w:sz w:val="20"/>
                <w:szCs w:val="20"/>
              </w:rPr>
              <w:t>***</w:t>
            </w:r>
          </w:p>
          <w:p w14:paraId="04814137"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w:t>
            </w:r>
            <w:r>
              <w:rPr>
                <w:rFonts w:ascii="Times New Roman" w:eastAsia="Times New Roman" w:hAnsi="Times New Roman" w:cs="Times New Roman"/>
                <w:sz w:val="20"/>
                <w:szCs w:val="20"/>
              </w:rPr>
              <w:t>0.00</w:t>
            </w:r>
            <w:r w:rsidRPr="00B007E7">
              <w:rPr>
                <w:rFonts w:ascii="Times New Roman" w:eastAsia="Times New Roman" w:hAnsi="Times New Roman" w:cs="Times New Roman"/>
                <w:sz w:val="20"/>
                <w:szCs w:val="20"/>
              </w:rPr>
              <w:t>)</w:t>
            </w:r>
          </w:p>
        </w:tc>
        <w:tc>
          <w:tcPr>
            <w:tcW w:w="1363" w:type="dxa"/>
            <w:tcBorders>
              <w:bottom w:val="single" w:sz="4" w:space="0" w:color="auto"/>
            </w:tcBorders>
            <w:vAlign w:val="bottom"/>
          </w:tcPr>
          <w:p w14:paraId="6DAF8C6E"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0.4</w:t>
            </w:r>
            <w:r>
              <w:rPr>
                <w:rFonts w:ascii="Times New Roman" w:eastAsia="Times New Roman" w:hAnsi="Times New Roman" w:cs="Times New Roman"/>
                <w:sz w:val="20"/>
                <w:szCs w:val="20"/>
              </w:rPr>
              <w:t>58</w:t>
            </w:r>
            <w:r w:rsidRPr="00B007E7">
              <w:rPr>
                <w:rFonts w:ascii="Times New Roman" w:eastAsia="Times New Roman" w:hAnsi="Times New Roman" w:cs="Times New Roman"/>
                <w:sz w:val="20"/>
                <w:szCs w:val="20"/>
              </w:rPr>
              <w:t>***</w:t>
            </w:r>
          </w:p>
          <w:p w14:paraId="02AB53AC"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w:t>
            </w:r>
            <w:r>
              <w:rPr>
                <w:rFonts w:ascii="Times New Roman" w:eastAsia="Times New Roman" w:hAnsi="Times New Roman" w:cs="Times New Roman"/>
                <w:sz w:val="20"/>
                <w:szCs w:val="20"/>
              </w:rPr>
              <w:t>0.00</w:t>
            </w:r>
            <w:r w:rsidRPr="00B007E7">
              <w:rPr>
                <w:rFonts w:ascii="Times New Roman" w:eastAsia="Times New Roman" w:hAnsi="Times New Roman" w:cs="Times New Roman"/>
                <w:sz w:val="20"/>
                <w:szCs w:val="20"/>
              </w:rPr>
              <w:t>)</w:t>
            </w:r>
          </w:p>
        </w:tc>
        <w:tc>
          <w:tcPr>
            <w:tcW w:w="1363" w:type="dxa"/>
            <w:tcBorders>
              <w:bottom w:val="single" w:sz="4" w:space="0" w:color="auto"/>
            </w:tcBorders>
            <w:vAlign w:val="bottom"/>
          </w:tcPr>
          <w:p w14:paraId="01B59CC5" w14:textId="77777777" w:rsidR="00E37ECB" w:rsidRPr="00B007E7" w:rsidRDefault="00E37ECB" w:rsidP="00560FBA">
            <w:pPr>
              <w:rPr>
                <w:rFonts w:ascii="Times New Roman" w:eastAsia="Times New Roman" w:hAnsi="Times New Roman" w:cs="Times New Roman"/>
                <w:sz w:val="20"/>
                <w:szCs w:val="20"/>
              </w:rPr>
            </w:pPr>
            <w:r>
              <w:rPr>
                <w:rFonts w:ascii="Times New Roman" w:eastAsia="Times New Roman" w:hAnsi="Times New Roman" w:cs="Times New Roman"/>
                <w:sz w:val="20"/>
                <w:szCs w:val="20"/>
              </w:rPr>
              <w:t>0.595</w:t>
            </w:r>
            <w:r w:rsidRPr="00B007E7">
              <w:rPr>
                <w:rFonts w:ascii="Times New Roman" w:eastAsia="Times New Roman" w:hAnsi="Times New Roman" w:cs="Times New Roman"/>
                <w:sz w:val="20"/>
                <w:szCs w:val="20"/>
              </w:rPr>
              <w:t>***</w:t>
            </w:r>
          </w:p>
          <w:p w14:paraId="2F4BD649"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(0.00)</w:t>
            </w:r>
          </w:p>
        </w:tc>
        <w:tc>
          <w:tcPr>
            <w:tcW w:w="1363" w:type="dxa"/>
            <w:tcBorders>
              <w:bottom w:val="single" w:sz="4" w:space="0" w:color="auto"/>
            </w:tcBorders>
            <w:vAlign w:val="bottom"/>
          </w:tcPr>
          <w:p w14:paraId="0B687926"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1.</w:t>
            </w:r>
            <w:r>
              <w:rPr>
                <w:rFonts w:ascii="Times New Roman" w:eastAsia="Times New Roman" w:hAnsi="Times New Roman" w:cs="Times New Roman"/>
                <w:sz w:val="20"/>
                <w:szCs w:val="20"/>
              </w:rPr>
              <w:t>33</w:t>
            </w:r>
            <w:r w:rsidRPr="00B007E7">
              <w:rPr>
                <w:rFonts w:ascii="Times New Roman" w:eastAsia="Times New Roman" w:hAnsi="Times New Roman" w:cs="Times New Roman"/>
                <w:sz w:val="20"/>
                <w:szCs w:val="20"/>
              </w:rPr>
              <w:t>**</w:t>
            </w:r>
          </w:p>
          <w:p w14:paraId="41FC4F57"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(0.01)</w:t>
            </w:r>
          </w:p>
        </w:tc>
        <w:tc>
          <w:tcPr>
            <w:tcW w:w="1363" w:type="dxa"/>
            <w:tcBorders>
              <w:bottom w:val="single" w:sz="4" w:space="0" w:color="auto"/>
            </w:tcBorders>
            <w:vAlign w:val="bottom"/>
          </w:tcPr>
          <w:p w14:paraId="077CA0B7"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0.3</w:t>
            </w:r>
            <w:r>
              <w:rPr>
                <w:rFonts w:ascii="Times New Roman" w:eastAsia="Times New Roman" w:hAnsi="Times New Roman" w:cs="Times New Roman"/>
                <w:sz w:val="20"/>
                <w:szCs w:val="20"/>
              </w:rPr>
              <w:t>09</w:t>
            </w:r>
            <w:r w:rsidRPr="00B007E7">
              <w:rPr>
                <w:rFonts w:ascii="Times New Roman" w:eastAsia="Times New Roman" w:hAnsi="Times New Roman" w:cs="Times New Roman"/>
                <w:sz w:val="20"/>
                <w:szCs w:val="20"/>
              </w:rPr>
              <w:t>**</w:t>
            </w:r>
          </w:p>
          <w:p w14:paraId="532E335E"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2</w:t>
            </w:r>
            <w:r w:rsidRPr="00B007E7">
              <w:rPr>
                <w:rFonts w:ascii="Times New Roman" w:eastAsia="Times New Roman" w:hAnsi="Times New Roman" w:cs="Times New Roman"/>
                <w:sz w:val="20"/>
                <w:szCs w:val="20"/>
              </w:rPr>
              <w:t>)</w:t>
            </w:r>
          </w:p>
        </w:tc>
        <w:tc>
          <w:tcPr>
            <w:tcW w:w="1363" w:type="dxa"/>
            <w:tcBorders>
              <w:bottom w:val="single" w:sz="4" w:space="0" w:color="auto"/>
            </w:tcBorders>
            <w:vAlign w:val="bottom"/>
          </w:tcPr>
          <w:p w14:paraId="2E758167"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1.</w:t>
            </w:r>
            <w:r>
              <w:rPr>
                <w:rFonts w:ascii="Times New Roman" w:eastAsia="Times New Roman" w:hAnsi="Times New Roman" w:cs="Times New Roman"/>
                <w:sz w:val="20"/>
                <w:szCs w:val="20"/>
              </w:rPr>
              <w:t>356</w:t>
            </w:r>
            <w:r w:rsidRPr="00B007E7">
              <w:rPr>
                <w:rFonts w:ascii="Times New Roman" w:eastAsia="Times New Roman" w:hAnsi="Times New Roman" w:cs="Times New Roman"/>
                <w:sz w:val="20"/>
                <w:szCs w:val="20"/>
              </w:rPr>
              <w:t>***</w:t>
            </w:r>
          </w:p>
          <w:p w14:paraId="6CF2279A"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(0.0</w:t>
            </w:r>
            <w:r>
              <w:rPr>
                <w:rFonts w:ascii="Times New Roman" w:eastAsia="Times New Roman" w:hAnsi="Times New Roman" w:cs="Times New Roman"/>
                <w:sz w:val="20"/>
                <w:szCs w:val="20"/>
              </w:rPr>
              <w:t>1</w:t>
            </w:r>
            <w:r w:rsidRPr="00B007E7">
              <w:rPr>
                <w:rFonts w:ascii="Times New Roman" w:eastAsia="Times New Roman" w:hAnsi="Times New Roman" w:cs="Times New Roman"/>
                <w:sz w:val="20"/>
                <w:szCs w:val="20"/>
              </w:rPr>
              <w:t>)</w:t>
            </w:r>
          </w:p>
        </w:tc>
      </w:tr>
      <w:tr w:rsidR="00E37ECB" w14:paraId="2641DF9B" w14:textId="77777777" w:rsidTr="00560FBA">
        <w:tc>
          <w:tcPr>
            <w:tcW w:w="1594" w:type="dxa"/>
            <w:tcBorders>
              <w:top w:val="single" w:sz="18" w:space="0" w:color="auto"/>
              <w:right w:val="single" w:sz="12" w:space="0" w:color="auto"/>
            </w:tcBorders>
            <w:vAlign w:val="bottom"/>
          </w:tcPr>
          <w:p w14:paraId="3C64C2BA"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Observations</w:t>
            </w:r>
          </w:p>
        </w:tc>
        <w:tc>
          <w:tcPr>
            <w:tcW w:w="1363" w:type="dxa"/>
            <w:tcBorders>
              <w:top w:val="single" w:sz="18" w:space="0" w:color="auto"/>
              <w:left w:val="single" w:sz="12" w:space="0" w:color="auto"/>
            </w:tcBorders>
            <w:vAlign w:val="bottom"/>
          </w:tcPr>
          <w:p w14:paraId="008F2E8B"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214</w:t>
            </w:r>
          </w:p>
        </w:tc>
        <w:tc>
          <w:tcPr>
            <w:tcW w:w="1363" w:type="dxa"/>
            <w:tcBorders>
              <w:top w:val="single" w:sz="18" w:space="0" w:color="auto"/>
            </w:tcBorders>
            <w:vAlign w:val="bottom"/>
          </w:tcPr>
          <w:p w14:paraId="0FF93D3A"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214</w:t>
            </w:r>
          </w:p>
        </w:tc>
        <w:tc>
          <w:tcPr>
            <w:tcW w:w="1363" w:type="dxa"/>
            <w:tcBorders>
              <w:top w:val="single" w:sz="18" w:space="0" w:color="auto"/>
            </w:tcBorders>
            <w:vAlign w:val="bottom"/>
          </w:tcPr>
          <w:p w14:paraId="67AE8C6C"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1</w:t>
            </w:r>
            <w:r>
              <w:rPr>
                <w:rFonts w:ascii="Times New Roman" w:eastAsia="Times New Roman" w:hAnsi="Times New Roman" w:cs="Times New Roman"/>
                <w:sz w:val="20"/>
                <w:szCs w:val="20"/>
              </w:rPr>
              <w:t>96</w:t>
            </w:r>
          </w:p>
        </w:tc>
        <w:tc>
          <w:tcPr>
            <w:tcW w:w="1363" w:type="dxa"/>
            <w:tcBorders>
              <w:top w:val="single" w:sz="18" w:space="0" w:color="auto"/>
            </w:tcBorders>
            <w:vAlign w:val="bottom"/>
          </w:tcPr>
          <w:p w14:paraId="2E4DF2F9"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17</w:t>
            </w:r>
            <w:r>
              <w:rPr>
                <w:rFonts w:ascii="Times New Roman" w:eastAsia="Times New Roman" w:hAnsi="Times New Roman" w:cs="Times New Roman"/>
                <w:sz w:val="20"/>
                <w:szCs w:val="20"/>
              </w:rPr>
              <w:t>5</w:t>
            </w:r>
          </w:p>
        </w:tc>
        <w:tc>
          <w:tcPr>
            <w:tcW w:w="1363" w:type="dxa"/>
            <w:tcBorders>
              <w:top w:val="single" w:sz="18" w:space="0" w:color="auto"/>
            </w:tcBorders>
            <w:vAlign w:val="bottom"/>
          </w:tcPr>
          <w:p w14:paraId="7F6F139E"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182</w:t>
            </w:r>
          </w:p>
        </w:tc>
        <w:tc>
          <w:tcPr>
            <w:tcW w:w="1363" w:type="dxa"/>
            <w:tcBorders>
              <w:top w:val="single" w:sz="18" w:space="0" w:color="auto"/>
            </w:tcBorders>
            <w:vAlign w:val="bottom"/>
          </w:tcPr>
          <w:p w14:paraId="63509A71"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1</w:t>
            </w:r>
            <w:r>
              <w:rPr>
                <w:rFonts w:ascii="Times New Roman" w:eastAsia="Times New Roman" w:hAnsi="Times New Roman" w:cs="Times New Roman"/>
                <w:sz w:val="20"/>
                <w:szCs w:val="20"/>
              </w:rPr>
              <w:t>96</w:t>
            </w:r>
          </w:p>
        </w:tc>
      </w:tr>
      <w:tr w:rsidR="00E37ECB" w14:paraId="2D71D6F5" w14:textId="77777777" w:rsidTr="00560FBA">
        <w:tc>
          <w:tcPr>
            <w:tcW w:w="1594" w:type="dxa"/>
            <w:tcBorders>
              <w:right w:val="single" w:sz="12" w:space="0" w:color="auto"/>
            </w:tcBorders>
            <w:vAlign w:val="bottom"/>
          </w:tcPr>
          <w:p w14:paraId="482C0F21" w14:textId="77777777" w:rsidR="00E37ECB" w:rsidRPr="00B007E7" w:rsidRDefault="00E37ECB" w:rsidP="00560FBA">
            <w:pPr>
              <w:rPr>
                <w:rFonts w:ascii="Times New Roman" w:eastAsia="Times New Roman" w:hAnsi="Times New Roman" w:cs="Times New Roman"/>
                <w:sz w:val="20"/>
                <w:szCs w:val="20"/>
              </w:rPr>
            </w:pPr>
            <w:r w:rsidRPr="00B007E7">
              <w:rPr>
                <w:rFonts w:ascii="Times New Roman" w:eastAsia="Times New Roman" w:hAnsi="Times New Roman" w:cs="Times New Roman"/>
                <w:sz w:val="20"/>
                <w:szCs w:val="20"/>
              </w:rPr>
              <w:t>R-squared</w:t>
            </w:r>
          </w:p>
        </w:tc>
        <w:tc>
          <w:tcPr>
            <w:tcW w:w="1363" w:type="dxa"/>
            <w:tcBorders>
              <w:left w:val="single" w:sz="12" w:space="0" w:color="auto"/>
            </w:tcBorders>
            <w:vAlign w:val="bottom"/>
          </w:tcPr>
          <w:p w14:paraId="5D4D4C50"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0.13</w:t>
            </w:r>
            <w:r>
              <w:rPr>
                <w:rFonts w:ascii="Times New Roman" w:eastAsia="Times New Roman" w:hAnsi="Times New Roman" w:cs="Times New Roman"/>
                <w:sz w:val="20"/>
                <w:szCs w:val="20"/>
              </w:rPr>
              <w:t>5</w:t>
            </w:r>
          </w:p>
        </w:tc>
        <w:tc>
          <w:tcPr>
            <w:tcW w:w="1363" w:type="dxa"/>
            <w:vAlign w:val="bottom"/>
          </w:tcPr>
          <w:p w14:paraId="79758568"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0.14</w:t>
            </w:r>
            <w:r>
              <w:rPr>
                <w:rFonts w:ascii="Times New Roman" w:eastAsia="Times New Roman" w:hAnsi="Times New Roman" w:cs="Times New Roman"/>
                <w:sz w:val="20"/>
                <w:szCs w:val="20"/>
              </w:rPr>
              <w:t>1</w:t>
            </w:r>
          </w:p>
        </w:tc>
        <w:tc>
          <w:tcPr>
            <w:tcW w:w="1363" w:type="dxa"/>
            <w:vAlign w:val="bottom"/>
          </w:tcPr>
          <w:p w14:paraId="2C8BD9A6"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w:t>
            </w:r>
            <w:r>
              <w:rPr>
                <w:rFonts w:ascii="Times New Roman" w:eastAsia="Times New Roman" w:hAnsi="Times New Roman" w:cs="Times New Roman"/>
                <w:sz w:val="20"/>
                <w:szCs w:val="20"/>
              </w:rPr>
              <w:t>46</w:t>
            </w:r>
          </w:p>
        </w:tc>
        <w:tc>
          <w:tcPr>
            <w:tcW w:w="1363" w:type="dxa"/>
            <w:vAlign w:val="bottom"/>
          </w:tcPr>
          <w:p w14:paraId="0C297A51"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0.19</w:t>
            </w:r>
            <w:r>
              <w:rPr>
                <w:rFonts w:ascii="Times New Roman" w:eastAsia="Times New Roman" w:hAnsi="Times New Roman" w:cs="Times New Roman"/>
                <w:sz w:val="20"/>
                <w:szCs w:val="20"/>
              </w:rPr>
              <w:t>2</w:t>
            </w:r>
          </w:p>
        </w:tc>
        <w:tc>
          <w:tcPr>
            <w:tcW w:w="1363" w:type="dxa"/>
            <w:vAlign w:val="bottom"/>
          </w:tcPr>
          <w:p w14:paraId="2E463411"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w:t>
            </w:r>
            <w:r>
              <w:rPr>
                <w:rFonts w:ascii="Times New Roman" w:eastAsia="Times New Roman" w:hAnsi="Times New Roman" w:cs="Times New Roman"/>
                <w:sz w:val="20"/>
                <w:szCs w:val="20"/>
              </w:rPr>
              <w:t>55</w:t>
            </w:r>
          </w:p>
        </w:tc>
        <w:tc>
          <w:tcPr>
            <w:tcW w:w="1363" w:type="dxa"/>
            <w:vAlign w:val="bottom"/>
          </w:tcPr>
          <w:p w14:paraId="56484452" w14:textId="77777777" w:rsidR="00E37ECB" w:rsidRPr="00B007E7" w:rsidRDefault="00E37ECB" w:rsidP="00560FBA">
            <w:pPr>
              <w:rPr>
                <w:rFonts w:ascii="Times New Roman" w:hAnsi="Times New Roman" w:cs="Times New Roman"/>
                <w:b/>
                <w:sz w:val="20"/>
                <w:szCs w:val="20"/>
              </w:rPr>
            </w:pPr>
            <w:r w:rsidRPr="00B007E7">
              <w:rPr>
                <w:rFonts w:ascii="Times New Roman" w:eastAsia="Times New Roman" w:hAnsi="Times New Roman" w:cs="Times New Roman"/>
                <w:sz w:val="20"/>
                <w:szCs w:val="20"/>
              </w:rPr>
              <w:t>0.18</w:t>
            </w:r>
            <w:r>
              <w:rPr>
                <w:rFonts w:ascii="Times New Roman" w:eastAsia="Times New Roman" w:hAnsi="Times New Roman" w:cs="Times New Roman"/>
                <w:sz w:val="20"/>
                <w:szCs w:val="20"/>
              </w:rPr>
              <w:t>0</w:t>
            </w:r>
          </w:p>
        </w:tc>
      </w:tr>
    </w:tbl>
    <w:p w14:paraId="03502E54" w14:textId="77777777" w:rsidR="00E37ECB" w:rsidRDefault="00E37ECB" w:rsidP="00E37ECB">
      <w:pPr>
        <w:spacing w:line="480" w:lineRule="auto"/>
        <w:rPr>
          <w:rFonts w:ascii="Times New Roman" w:eastAsia="Times New Roman" w:hAnsi="Times New Roman" w:cs="Times New Roman"/>
          <w:sz w:val="22"/>
        </w:rPr>
      </w:pPr>
      <w:r w:rsidRPr="005F7FD9">
        <w:rPr>
          <w:rFonts w:ascii="Times New Roman" w:eastAsia="Times New Roman" w:hAnsi="Times New Roman" w:cs="Times New Roman"/>
          <w:sz w:val="22"/>
        </w:rPr>
        <w:t>*** p&lt;0.01, ** p&lt;0.05, * p&lt;0.1</w:t>
      </w:r>
    </w:p>
    <w:p w14:paraId="04A31568" w14:textId="695708C5" w:rsidR="00181D98" w:rsidRDefault="00181D98" w:rsidP="00FC38D9">
      <w:pPr>
        <w:spacing w:line="480" w:lineRule="auto"/>
        <w:ind w:firstLine="720"/>
        <w:rPr>
          <w:rFonts w:ascii="Times New Roman" w:hAnsi="Times New Roman" w:cs="Times New Roman"/>
        </w:rPr>
      </w:pPr>
      <w:r>
        <w:rPr>
          <w:rFonts w:ascii="Times New Roman" w:hAnsi="Times New Roman" w:cs="Times New Roman"/>
        </w:rPr>
        <w:t>Table 50 provides a lot of data,</w:t>
      </w:r>
      <w:r w:rsidR="001E4D03">
        <w:rPr>
          <w:rFonts w:ascii="Times New Roman" w:hAnsi="Times New Roman" w:cs="Times New Roman"/>
        </w:rPr>
        <w:t xml:space="preserve"> and</w:t>
      </w:r>
      <w:r>
        <w:rPr>
          <w:rFonts w:ascii="Times New Roman" w:hAnsi="Times New Roman" w:cs="Times New Roman"/>
        </w:rPr>
        <w:t xml:space="preserve"> a few observations are in order. First, e</w:t>
      </w:r>
      <w:r w:rsidR="00FC38D9" w:rsidRPr="00B912DC">
        <w:rPr>
          <w:rFonts w:ascii="Times New Roman" w:hAnsi="Times New Roman" w:cs="Times New Roman"/>
        </w:rPr>
        <w:t xml:space="preserve">ven after controlling for other factors in this small data set, whether a case was filed jointly and whether it was filed in 2010 both appear to be valuable in predicting whether the case will succeed. </w:t>
      </w:r>
      <w:r>
        <w:rPr>
          <w:rFonts w:ascii="Times New Roman" w:hAnsi="Times New Roman" w:cs="Times New Roman"/>
          <w:i/>
        </w:rPr>
        <w:t xml:space="preserve">See </w:t>
      </w:r>
      <w:r>
        <w:rPr>
          <w:rFonts w:ascii="Times New Roman" w:hAnsi="Times New Roman" w:cs="Times New Roman"/>
        </w:rPr>
        <w:t>Table 50, Rows (1) and (</w:t>
      </w:r>
      <w:r w:rsidR="007152B7">
        <w:rPr>
          <w:rFonts w:ascii="Times New Roman" w:hAnsi="Times New Roman" w:cs="Times New Roman"/>
        </w:rPr>
        <w:t>2</w:t>
      </w:r>
      <w:r>
        <w:rPr>
          <w:rFonts w:ascii="Times New Roman" w:hAnsi="Times New Roman" w:cs="Times New Roman"/>
        </w:rPr>
        <w:t xml:space="preserve">). </w:t>
      </w:r>
      <w:r w:rsidR="00A701CC">
        <w:rPr>
          <w:rFonts w:ascii="Times New Roman" w:hAnsi="Times New Roman" w:cs="Times New Roman"/>
        </w:rPr>
        <w:t>Second, w</w:t>
      </w:r>
      <w:r w:rsidR="00FC38D9" w:rsidRPr="00B912DC">
        <w:rPr>
          <w:rFonts w:ascii="Times New Roman" w:hAnsi="Times New Roman" w:cs="Times New Roman"/>
        </w:rPr>
        <w:t>hether a case is a “no</w:t>
      </w:r>
      <w:r w:rsidR="00FC38D9">
        <w:rPr>
          <w:rFonts w:ascii="Times New Roman" w:hAnsi="Times New Roman" w:cs="Times New Roman"/>
        </w:rPr>
        <w:t>-</w:t>
      </w:r>
      <w:r w:rsidR="00FC38D9" w:rsidRPr="00B912DC">
        <w:rPr>
          <w:rFonts w:ascii="Times New Roman" w:hAnsi="Times New Roman" w:cs="Times New Roman"/>
        </w:rPr>
        <w:t xml:space="preserve">asset” case is also useful information as the relevant coefficient is large and statistically significant in many specifications. </w:t>
      </w:r>
      <w:r>
        <w:rPr>
          <w:rFonts w:ascii="Times New Roman" w:hAnsi="Times New Roman" w:cs="Times New Roman"/>
          <w:i/>
        </w:rPr>
        <w:t xml:space="preserve">See </w:t>
      </w:r>
      <w:r>
        <w:rPr>
          <w:rFonts w:ascii="Times New Roman" w:hAnsi="Times New Roman" w:cs="Times New Roman"/>
        </w:rPr>
        <w:t>Table 50, Row (</w:t>
      </w:r>
      <w:r w:rsidR="007152B7">
        <w:rPr>
          <w:rFonts w:ascii="Times New Roman" w:hAnsi="Times New Roman" w:cs="Times New Roman"/>
        </w:rPr>
        <w:t>3</w:t>
      </w:r>
      <w:r>
        <w:rPr>
          <w:rFonts w:ascii="Times New Roman" w:hAnsi="Times New Roman" w:cs="Times New Roman"/>
        </w:rPr>
        <w:t xml:space="preserve">). </w:t>
      </w:r>
    </w:p>
    <w:p w14:paraId="54C64B4E" w14:textId="2A1ABE1E" w:rsidR="00FC38D9" w:rsidRPr="00B912DC" w:rsidRDefault="00A701CC" w:rsidP="00FC38D9">
      <w:pPr>
        <w:spacing w:line="480" w:lineRule="auto"/>
        <w:ind w:firstLine="720"/>
        <w:rPr>
          <w:rFonts w:ascii="Times New Roman" w:hAnsi="Times New Roman" w:cs="Times New Roman"/>
        </w:rPr>
      </w:pPr>
      <w:r>
        <w:rPr>
          <w:rFonts w:ascii="Times New Roman" w:hAnsi="Times New Roman" w:cs="Times New Roman"/>
        </w:rPr>
        <w:t>Third, b</w:t>
      </w:r>
      <w:r w:rsidR="00FC38D9" w:rsidRPr="00B912DC">
        <w:rPr>
          <w:rFonts w:ascii="Times New Roman" w:hAnsi="Times New Roman" w:cs="Times New Roman"/>
        </w:rPr>
        <w:t>y co</w:t>
      </w:r>
      <w:r w:rsidR="00181D98">
        <w:rPr>
          <w:rFonts w:ascii="Times New Roman" w:hAnsi="Times New Roman" w:cs="Times New Roman"/>
        </w:rPr>
        <w:t>mparison,</w:t>
      </w:r>
      <w:r w:rsidR="00FC38D9" w:rsidRPr="00B912DC">
        <w:rPr>
          <w:rFonts w:ascii="Times New Roman" w:hAnsi="Times New Roman" w:cs="Times New Roman"/>
        </w:rPr>
        <w:t xml:space="preserve"> the coefficient on whether a case was converted into chapter 11 is statistically insignificant and varies sharply depending on the other variables included. </w:t>
      </w:r>
      <w:r w:rsidR="00181D98">
        <w:rPr>
          <w:rFonts w:ascii="Times New Roman" w:hAnsi="Times New Roman" w:cs="Times New Roman"/>
          <w:i/>
        </w:rPr>
        <w:t xml:space="preserve">See </w:t>
      </w:r>
      <w:r w:rsidR="00181D98">
        <w:rPr>
          <w:rFonts w:ascii="Times New Roman" w:hAnsi="Times New Roman" w:cs="Times New Roman"/>
        </w:rPr>
        <w:t>Table 50, Row (</w:t>
      </w:r>
      <w:r w:rsidR="007152B7">
        <w:rPr>
          <w:rFonts w:ascii="Times New Roman" w:hAnsi="Times New Roman" w:cs="Times New Roman"/>
        </w:rPr>
        <w:t>4</w:t>
      </w:r>
      <w:r w:rsidR="00181D98">
        <w:rPr>
          <w:rFonts w:ascii="Times New Roman" w:hAnsi="Times New Roman" w:cs="Times New Roman"/>
        </w:rPr>
        <w:t xml:space="preserve">). </w:t>
      </w:r>
      <w:r w:rsidR="00FC38D9" w:rsidRPr="00B912DC">
        <w:rPr>
          <w:rFonts w:ascii="Times New Roman" w:hAnsi="Times New Roman" w:cs="Times New Roman"/>
        </w:rPr>
        <w:t>One reason is that inclusion of some variables requir</w:t>
      </w:r>
      <w:r w:rsidR="00FC38D9">
        <w:rPr>
          <w:rFonts w:ascii="Times New Roman" w:hAnsi="Times New Roman" w:cs="Times New Roman"/>
        </w:rPr>
        <w:t>e</w:t>
      </w:r>
      <w:r w:rsidR="00B11B30">
        <w:rPr>
          <w:rFonts w:ascii="Times New Roman" w:hAnsi="Times New Roman" w:cs="Times New Roman"/>
        </w:rPr>
        <w:t>d</w:t>
      </w:r>
      <w:r w:rsidR="00FC38D9">
        <w:rPr>
          <w:rFonts w:ascii="Times New Roman" w:hAnsi="Times New Roman" w:cs="Times New Roman"/>
        </w:rPr>
        <w:t xml:space="preserve"> dropping several obs</w:t>
      </w:r>
      <w:r w:rsidR="00FC38D9" w:rsidRPr="00B912DC">
        <w:rPr>
          <w:rFonts w:ascii="Times New Roman" w:hAnsi="Times New Roman" w:cs="Times New Roman"/>
        </w:rPr>
        <w:t>er</w:t>
      </w:r>
      <w:r w:rsidR="00FC38D9">
        <w:rPr>
          <w:rFonts w:ascii="Times New Roman" w:hAnsi="Times New Roman" w:cs="Times New Roman"/>
        </w:rPr>
        <w:t>v</w:t>
      </w:r>
      <w:r w:rsidR="00FC38D9" w:rsidRPr="00B912DC">
        <w:rPr>
          <w:rFonts w:ascii="Times New Roman" w:hAnsi="Times New Roman" w:cs="Times New Roman"/>
        </w:rPr>
        <w:t xml:space="preserve">ations for which the relevant data </w:t>
      </w:r>
      <w:r w:rsidR="00B11B30">
        <w:rPr>
          <w:rFonts w:ascii="Times New Roman" w:hAnsi="Times New Roman" w:cs="Times New Roman"/>
        </w:rPr>
        <w:t>w</w:t>
      </w:r>
      <w:r w:rsidR="00181D98">
        <w:rPr>
          <w:rFonts w:ascii="Times New Roman" w:hAnsi="Times New Roman" w:cs="Times New Roman"/>
        </w:rPr>
        <w:t>ere</w:t>
      </w:r>
      <w:r w:rsidR="00FC38D9" w:rsidRPr="00B912DC">
        <w:rPr>
          <w:rFonts w:ascii="Times New Roman" w:hAnsi="Times New Roman" w:cs="Times New Roman"/>
        </w:rPr>
        <w:t xml:space="preserve"> missing. </w:t>
      </w:r>
      <w:r>
        <w:rPr>
          <w:rFonts w:ascii="Times New Roman" w:hAnsi="Times New Roman" w:cs="Times New Roman"/>
        </w:rPr>
        <w:t>Fourth, t</w:t>
      </w:r>
      <w:r w:rsidR="00FC38D9" w:rsidRPr="00B912DC">
        <w:rPr>
          <w:rFonts w:ascii="Times New Roman" w:hAnsi="Times New Roman" w:cs="Times New Roman"/>
        </w:rPr>
        <w:t>he coefficients on the business</w:t>
      </w:r>
      <w:r>
        <w:rPr>
          <w:rFonts w:ascii="Times New Roman" w:hAnsi="Times New Roman" w:cs="Times New Roman"/>
        </w:rPr>
        <w:t>-</w:t>
      </w:r>
      <w:r w:rsidR="00FC38D9" w:rsidRPr="00B912DC">
        <w:rPr>
          <w:rFonts w:ascii="Times New Roman" w:hAnsi="Times New Roman" w:cs="Times New Roman"/>
        </w:rPr>
        <w:t>term</w:t>
      </w:r>
      <w:r>
        <w:rPr>
          <w:rFonts w:ascii="Times New Roman" w:hAnsi="Times New Roman" w:cs="Times New Roman"/>
        </w:rPr>
        <w:t xml:space="preserve"> variables, </w:t>
      </w:r>
      <w:r>
        <w:rPr>
          <w:rFonts w:ascii="Times New Roman" w:hAnsi="Times New Roman" w:cs="Times New Roman"/>
          <w:i/>
        </w:rPr>
        <w:t xml:space="preserve">see </w:t>
      </w:r>
      <w:r>
        <w:rPr>
          <w:rFonts w:ascii="Times New Roman" w:hAnsi="Times New Roman" w:cs="Times New Roman"/>
        </w:rPr>
        <w:t>Rows (</w:t>
      </w:r>
      <w:r w:rsidR="007152B7">
        <w:rPr>
          <w:rFonts w:ascii="Times New Roman" w:hAnsi="Times New Roman" w:cs="Times New Roman"/>
        </w:rPr>
        <w:t>5</w:t>
      </w:r>
      <w:r>
        <w:rPr>
          <w:rFonts w:ascii="Times New Roman" w:hAnsi="Times New Roman" w:cs="Times New Roman"/>
        </w:rPr>
        <w:t>)-(</w:t>
      </w:r>
      <w:r w:rsidR="007152B7">
        <w:rPr>
          <w:rFonts w:ascii="Times New Roman" w:hAnsi="Times New Roman" w:cs="Times New Roman"/>
        </w:rPr>
        <w:t>7</w:t>
      </w:r>
      <w:r>
        <w:rPr>
          <w:rFonts w:ascii="Times New Roman" w:hAnsi="Times New Roman" w:cs="Times New Roman"/>
        </w:rPr>
        <w:t>),</w:t>
      </w:r>
      <w:r w:rsidR="00FC38D9" w:rsidRPr="00B912DC">
        <w:rPr>
          <w:rFonts w:ascii="Times New Roman" w:hAnsi="Times New Roman" w:cs="Times New Roman"/>
        </w:rPr>
        <w:t xml:space="preserve"> suggest that business cases are more likely to succeed</w:t>
      </w:r>
      <w:r w:rsidR="00181D98">
        <w:rPr>
          <w:rFonts w:ascii="Times New Roman" w:hAnsi="Times New Roman" w:cs="Times New Roman"/>
        </w:rPr>
        <w:t xml:space="preserve">; however, </w:t>
      </w:r>
      <w:r w:rsidR="00FC38D9" w:rsidRPr="00B912DC">
        <w:rPr>
          <w:rFonts w:ascii="Times New Roman" w:hAnsi="Times New Roman" w:cs="Times New Roman"/>
        </w:rPr>
        <w:t xml:space="preserve">only the coefficient on the small business dummy is statistically significant, and even this </w:t>
      </w:r>
      <w:r w:rsidR="00181D98">
        <w:rPr>
          <w:rFonts w:ascii="Times New Roman" w:hAnsi="Times New Roman" w:cs="Times New Roman"/>
        </w:rPr>
        <w:t xml:space="preserve">coefficient </w:t>
      </w:r>
      <w:r w:rsidR="00FC38D9" w:rsidRPr="00B912DC">
        <w:rPr>
          <w:rFonts w:ascii="Times New Roman" w:hAnsi="Times New Roman" w:cs="Times New Roman"/>
        </w:rPr>
        <w:t xml:space="preserve">is not significant in some omitted specifications. </w:t>
      </w:r>
    </w:p>
    <w:p w14:paraId="5643C102" w14:textId="49466B02" w:rsidR="00FC38D9" w:rsidRPr="00B912DC" w:rsidRDefault="00A701CC" w:rsidP="00FC38D9">
      <w:pPr>
        <w:spacing w:line="480" w:lineRule="auto"/>
        <w:ind w:firstLine="720"/>
        <w:rPr>
          <w:rFonts w:ascii="Times New Roman" w:hAnsi="Times New Roman" w:cs="Times New Roman"/>
        </w:rPr>
      </w:pPr>
      <w:r>
        <w:rPr>
          <w:rFonts w:ascii="Times New Roman" w:hAnsi="Times New Roman" w:cs="Times New Roman"/>
        </w:rPr>
        <w:t>Fifth, o</w:t>
      </w:r>
      <w:r w:rsidR="00FC38D9" w:rsidRPr="00B912DC">
        <w:rPr>
          <w:rFonts w:ascii="Times New Roman" w:hAnsi="Times New Roman" w:cs="Times New Roman"/>
        </w:rPr>
        <w:t>nce again we find that pro se cases are much more likely to fail</w:t>
      </w:r>
      <w:r w:rsidR="00B751F5">
        <w:rPr>
          <w:rFonts w:ascii="Times New Roman" w:hAnsi="Times New Roman" w:cs="Times New Roman"/>
        </w:rPr>
        <w:t>, see Row (8),</w:t>
      </w:r>
      <w:r w:rsidR="00FC38D9" w:rsidRPr="00B912DC">
        <w:rPr>
          <w:rFonts w:ascii="Times New Roman" w:hAnsi="Times New Roman" w:cs="Times New Roman"/>
        </w:rPr>
        <w:t xml:space="preserve"> and that the probability of success increases with the volume of individual chapter 11 cases that the attorney has handled. The coefficient on the log of cases is strongly significant. </w:t>
      </w:r>
      <w:r>
        <w:rPr>
          <w:rFonts w:ascii="Times New Roman" w:hAnsi="Times New Roman" w:cs="Times New Roman"/>
          <w:i/>
        </w:rPr>
        <w:t xml:space="preserve">See </w:t>
      </w:r>
      <w:r>
        <w:rPr>
          <w:rFonts w:ascii="Times New Roman" w:hAnsi="Times New Roman" w:cs="Times New Roman"/>
        </w:rPr>
        <w:t>Table 50, Row (</w:t>
      </w:r>
      <w:r w:rsidR="00B751F5">
        <w:rPr>
          <w:rFonts w:ascii="Times New Roman" w:hAnsi="Times New Roman" w:cs="Times New Roman"/>
        </w:rPr>
        <w:t>9</w:t>
      </w:r>
      <w:r>
        <w:rPr>
          <w:rFonts w:ascii="Times New Roman" w:hAnsi="Times New Roman" w:cs="Times New Roman"/>
        </w:rPr>
        <w:t xml:space="preserve">). </w:t>
      </w:r>
      <w:r w:rsidR="00FC38D9" w:rsidRPr="00B912DC">
        <w:rPr>
          <w:rFonts w:ascii="Times New Roman" w:hAnsi="Times New Roman" w:cs="Times New Roman"/>
        </w:rPr>
        <w:t xml:space="preserve">When we include dummies for each category of attorney (the high experience attorneys are the omitted group), the coefficient for the low volume attorneys is significant </w:t>
      </w:r>
      <w:r w:rsidR="003D64F6">
        <w:rPr>
          <w:rFonts w:ascii="Times New Roman" w:hAnsi="Times New Roman" w:cs="Times New Roman"/>
        </w:rPr>
        <w:t>in just one specification</w:t>
      </w:r>
      <w:r>
        <w:rPr>
          <w:rFonts w:ascii="Times New Roman" w:hAnsi="Times New Roman" w:cs="Times New Roman"/>
        </w:rPr>
        <w:t xml:space="preserve">, </w:t>
      </w:r>
      <w:r>
        <w:rPr>
          <w:rFonts w:ascii="Times New Roman" w:hAnsi="Times New Roman" w:cs="Times New Roman"/>
          <w:i/>
        </w:rPr>
        <w:t xml:space="preserve">see </w:t>
      </w:r>
      <w:r>
        <w:rPr>
          <w:rFonts w:ascii="Times New Roman" w:hAnsi="Times New Roman" w:cs="Times New Roman"/>
        </w:rPr>
        <w:t>Column (B), Row (</w:t>
      </w:r>
      <w:r w:rsidR="00B751F5">
        <w:rPr>
          <w:rFonts w:ascii="Times New Roman" w:hAnsi="Times New Roman" w:cs="Times New Roman"/>
        </w:rPr>
        <w:t>10</w:t>
      </w:r>
      <w:r>
        <w:rPr>
          <w:rFonts w:ascii="Times New Roman" w:hAnsi="Times New Roman" w:cs="Times New Roman"/>
        </w:rPr>
        <w:t xml:space="preserve">), </w:t>
      </w:r>
      <w:r w:rsidR="003D64F6">
        <w:rPr>
          <w:rFonts w:ascii="Times New Roman" w:hAnsi="Times New Roman" w:cs="Times New Roman"/>
        </w:rPr>
        <w:t xml:space="preserve"> and </w:t>
      </w:r>
      <w:r w:rsidR="00FC38D9" w:rsidRPr="00B912DC">
        <w:rPr>
          <w:rFonts w:ascii="Times New Roman" w:hAnsi="Times New Roman" w:cs="Times New Roman"/>
        </w:rPr>
        <w:t xml:space="preserve">the dummy for the moderate attorneys is </w:t>
      </w:r>
      <w:r w:rsidR="003D64F6">
        <w:rPr>
          <w:rFonts w:ascii="Times New Roman" w:hAnsi="Times New Roman" w:cs="Times New Roman"/>
        </w:rPr>
        <w:t>never significant</w:t>
      </w:r>
      <w:r w:rsidR="00FC38D9" w:rsidRPr="00B912DC">
        <w:rPr>
          <w:rFonts w:ascii="Times New Roman" w:hAnsi="Times New Roman" w:cs="Times New Roman"/>
        </w:rPr>
        <w:t>. Still, both take the “correct” sign. Once again, we urge caution in interpreting</w:t>
      </w:r>
      <w:r w:rsidR="00FC38D9">
        <w:rPr>
          <w:rFonts w:ascii="Times New Roman" w:hAnsi="Times New Roman" w:cs="Times New Roman"/>
        </w:rPr>
        <w:t xml:space="preserve"> these results as demonstrating that more experienced attorneys are more effective as we have not fully controlled for the selection effect. That is, we don’t know whether more experienced attorneys are more effective or whether they have better clients.</w:t>
      </w:r>
    </w:p>
    <w:p w14:paraId="0050431F" w14:textId="64C85DC0" w:rsidR="00FC38D9" w:rsidRPr="00B912DC" w:rsidRDefault="00A701CC" w:rsidP="00FC38D9">
      <w:pPr>
        <w:spacing w:line="480" w:lineRule="auto"/>
        <w:ind w:firstLine="720"/>
        <w:rPr>
          <w:rFonts w:ascii="Times New Roman" w:hAnsi="Times New Roman" w:cs="Times New Roman"/>
        </w:rPr>
      </w:pPr>
      <w:r>
        <w:rPr>
          <w:rFonts w:ascii="Times New Roman" w:hAnsi="Times New Roman" w:cs="Times New Roman"/>
        </w:rPr>
        <w:t>Sixth, t</w:t>
      </w:r>
      <w:r w:rsidR="00FC38D9" w:rsidRPr="00B912DC">
        <w:rPr>
          <w:rFonts w:ascii="Times New Roman" w:hAnsi="Times New Roman" w:cs="Times New Roman"/>
        </w:rPr>
        <w:t xml:space="preserve">he coefficient relating to the number of parcels owned by the debtor </w:t>
      </w:r>
      <w:r w:rsidR="00496350">
        <w:rPr>
          <w:rFonts w:ascii="Times New Roman" w:hAnsi="Times New Roman" w:cs="Times New Roman"/>
        </w:rPr>
        <w:t>is</w:t>
      </w:r>
      <w:r w:rsidR="00FC38D9" w:rsidRPr="00B912DC">
        <w:rPr>
          <w:rFonts w:ascii="Times New Roman" w:hAnsi="Times New Roman" w:cs="Times New Roman"/>
        </w:rPr>
        <w:t xml:space="preserve"> strongly significant, suggesting that real estate cases are more likely to succeed. </w:t>
      </w:r>
      <w:r>
        <w:rPr>
          <w:rFonts w:ascii="Times New Roman" w:hAnsi="Times New Roman" w:cs="Times New Roman"/>
          <w:i/>
        </w:rPr>
        <w:t xml:space="preserve">See </w:t>
      </w:r>
      <w:r>
        <w:rPr>
          <w:rFonts w:ascii="Times New Roman" w:hAnsi="Times New Roman" w:cs="Times New Roman"/>
        </w:rPr>
        <w:t>Column (D), Row (1</w:t>
      </w:r>
      <w:r w:rsidR="00B751F5">
        <w:rPr>
          <w:rFonts w:ascii="Times New Roman" w:hAnsi="Times New Roman" w:cs="Times New Roman"/>
        </w:rPr>
        <w:t>2</w:t>
      </w:r>
      <w:r>
        <w:rPr>
          <w:rFonts w:ascii="Times New Roman" w:hAnsi="Times New Roman" w:cs="Times New Roman"/>
        </w:rPr>
        <w:t xml:space="preserve">). </w:t>
      </w:r>
      <w:r w:rsidR="00FC38D9" w:rsidRPr="00B912DC">
        <w:rPr>
          <w:rFonts w:ascii="Times New Roman" w:hAnsi="Times New Roman" w:cs="Times New Roman"/>
        </w:rPr>
        <w:t xml:space="preserve">The coefficients on our other real estate measures take the right sign but are not significant. </w:t>
      </w:r>
      <w:r>
        <w:rPr>
          <w:rFonts w:ascii="Times New Roman" w:hAnsi="Times New Roman" w:cs="Times New Roman"/>
          <w:i/>
        </w:rPr>
        <w:t xml:space="preserve">See </w:t>
      </w:r>
      <w:r>
        <w:rPr>
          <w:rFonts w:ascii="Times New Roman" w:hAnsi="Times New Roman" w:cs="Times New Roman"/>
        </w:rPr>
        <w:t>Column (C), Row (1</w:t>
      </w:r>
      <w:r w:rsidR="00B751F5">
        <w:rPr>
          <w:rFonts w:ascii="Times New Roman" w:hAnsi="Times New Roman" w:cs="Times New Roman"/>
        </w:rPr>
        <w:t>3</w:t>
      </w:r>
      <w:r w:rsidR="00562E26">
        <w:rPr>
          <w:rFonts w:ascii="Times New Roman" w:hAnsi="Times New Roman" w:cs="Times New Roman"/>
        </w:rPr>
        <w:t>) and Column (E</w:t>
      </w:r>
      <w:r>
        <w:rPr>
          <w:rFonts w:ascii="Times New Roman" w:hAnsi="Times New Roman" w:cs="Times New Roman"/>
        </w:rPr>
        <w:t>), Row (1</w:t>
      </w:r>
      <w:r w:rsidR="00B751F5">
        <w:rPr>
          <w:rFonts w:ascii="Times New Roman" w:hAnsi="Times New Roman" w:cs="Times New Roman"/>
        </w:rPr>
        <w:t>4</w:t>
      </w:r>
      <w:r>
        <w:rPr>
          <w:rFonts w:ascii="Times New Roman" w:hAnsi="Times New Roman" w:cs="Times New Roman"/>
        </w:rPr>
        <w:t xml:space="preserve">). </w:t>
      </w:r>
      <w:r w:rsidR="00FC38D9" w:rsidRPr="00B912DC">
        <w:rPr>
          <w:rFonts w:ascii="Times New Roman" w:hAnsi="Times New Roman" w:cs="Times New Roman"/>
        </w:rPr>
        <w:t>As noted above, however, there are significant concerns with these other measures.</w:t>
      </w:r>
      <w:r w:rsidR="00B807A0">
        <w:rPr>
          <w:rStyle w:val="FootnoteReference"/>
          <w:rFonts w:ascii="Times New Roman" w:hAnsi="Times New Roman" w:cs="Times New Roman"/>
        </w:rPr>
        <w:footnoteReference w:id="257"/>
      </w:r>
    </w:p>
    <w:p w14:paraId="222BA420" w14:textId="7CCA8D05" w:rsidR="00FC38D9" w:rsidRPr="00AB3D09"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 xml:space="preserve">Finally, we note that the coefficient on the narrow interpretation of the exception to the APR is negative and strongly significant. </w:t>
      </w:r>
      <w:r w:rsidR="00A701CC">
        <w:rPr>
          <w:rFonts w:ascii="Times New Roman" w:hAnsi="Times New Roman" w:cs="Times New Roman"/>
          <w:i/>
        </w:rPr>
        <w:t xml:space="preserve">See </w:t>
      </w:r>
      <w:r w:rsidR="00A701CC">
        <w:rPr>
          <w:rFonts w:ascii="Times New Roman" w:hAnsi="Times New Roman" w:cs="Times New Roman"/>
        </w:rPr>
        <w:t xml:space="preserve">Table (50), Row (24). </w:t>
      </w:r>
      <w:r w:rsidRPr="00B912DC">
        <w:rPr>
          <w:rFonts w:ascii="Times New Roman" w:hAnsi="Times New Roman" w:cs="Times New Roman"/>
        </w:rPr>
        <w:t>While this is consistent with the view that a less-debtor friendly interpretation will reduce the rate of success, we remind the reader that a cross-sectional regression is especially vulnerable to omitted variable bias.</w:t>
      </w:r>
    </w:p>
    <w:p w14:paraId="7F442B60" w14:textId="77777777" w:rsidR="00FC38D9" w:rsidRPr="00F951E5" w:rsidRDefault="00FC38D9" w:rsidP="00335C21">
      <w:pPr>
        <w:spacing w:line="480" w:lineRule="auto"/>
        <w:rPr>
          <w:rFonts w:ascii="Times New Roman" w:hAnsi="Times New Roman" w:cs="Times New Roman"/>
          <w:i/>
        </w:rPr>
      </w:pPr>
      <w:r w:rsidRPr="00003007">
        <w:rPr>
          <w:rFonts w:ascii="Times New Roman" w:hAnsi="Times New Roman" w:cs="Times New Roman"/>
          <w:i/>
        </w:rPr>
        <w:t>3.</w:t>
      </w:r>
      <w:r>
        <w:rPr>
          <w:rFonts w:ascii="Times New Roman" w:hAnsi="Times New Roman" w:cs="Times New Roman"/>
        </w:rPr>
        <w:tab/>
      </w:r>
      <w:r w:rsidRPr="00F951E5">
        <w:rPr>
          <w:rFonts w:ascii="Times New Roman" w:hAnsi="Times New Roman" w:cs="Times New Roman"/>
          <w:i/>
        </w:rPr>
        <w:t>Direct Evidence of the Impact of the Absolute Priority Rule</w:t>
      </w:r>
    </w:p>
    <w:p w14:paraId="75410299" w14:textId="72A8754B" w:rsidR="00FC38D9" w:rsidRDefault="00DB4EAD" w:rsidP="00A82B81">
      <w:pPr>
        <w:spacing w:line="480" w:lineRule="auto"/>
        <w:ind w:firstLine="720"/>
        <w:rPr>
          <w:rFonts w:ascii="Times New Roman" w:hAnsi="Times New Roman" w:cs="Times New Roman"/>
        </w:rPr>
      </w:pPr>
      <w:r>
        <w:rPr>
          <w:rFonts w:ascii="Times New Roman" w:hAnsi="Times New Roman" w:cs="Times New Roman"/>
        </w:rPr>
        <w:t xml:space="preserve">In </w:t>
      </w:r>
      <w:r w:rsidR="00FC38D9">
        <w:rPr>
          <w:rFonts w:ascii="Times New Roman" w:hAnsi="Times New Roman" w:cs="Times New Roman"/>
        </w:rPr>
        <w:t xml:space="preserve">Sections </w:t>
      </w:r>
      <w:r w:rsidR="00865193">
        <w:rPr>
          <w:rFonts w:ascii="Times New Roman" w:hAnsi="Times New Roman" w:cs="Times New Roman"/>
        </w:rPr>
        <w:t>IV.A.2 and B.2</w:t>
      </w:r>
      <w:r>
        <w:rPr>
          <w:rFonts w:ascii="Times New Roman" w:hAnsi="Times New Roman" w:cs="Times New Roman"/>
        </w:rPr>
        <w:t>, we</w:t>
      </w:r>
      <w:r w:rsidR="00FC38D9">
        <w:rPr>
          <w:rFonts w:ascii="Times New Roman" w:hAnsi="Times New Roman" w:cs="Times New Roman"/>
        </w:rPr>
        <w:t xml:space="preserve"> examined the relationship between the absolute priority rule and success</w:t>
      </w:r>
      <w:r w:rsidR="00B807A0">
        <w:rPr>
          <w:rFonts w:ascii="Times New Roman" w:hAnsi="Times New Roman" w:cs="Times New Roman"/>
        </w:rPr>
        <w:t>,</w:t>
      </w:r>
      <w:r w:rsidR="00FC38D9">
        <w:rPr>
          <w:rFonts w:ascii="Times New Roman" w:hAnsi="Times New Roman" w:cs="Times New Roman"/>
        </w:rPr>
        <w:t xml:space="preserve"> using the tools of a social scientist. </w:t>
      </w:r>
      <w:r w:rsidR="00B807A0">
        <w:rPr>
          <w:rFonts w:ascii="Times New Roman" w:hAnsi="Times New Roman" w:cs="Times New Roman"/>
        </w:rPr>
        <w:t>Here we</w:t>
      </w:r>
      <w:r w:rsidR="00FC38D9">
        <w:rPr>
          <w:rFonts w:ascii="Times New Roman" w:hAnsi="Times New Roman" w:cs="Times New Roman"/>
        </w:rPr>
        <w:t xml:space="preserve"> use tools more familiar to lawyers. More specifically, we looked for absolute priority rule objections in all of the random sample cases in which a plan was filed, and then tried to determine whether the objection affected the outcome of the case.  </w:t>
      </w:r>
    </w:p>
    <w:p w14:paraId="5A0DAA2E" w14:textId="37AFE8D1" w:rsidR="00FC38D9" w:rsidRPr="00B912DC" w:rsidRDefault="00FC38D9" w:rsidP="00496350">
      <w:pPr>
        <w:spacing w:line="480" w:lineRule="auto"/>
        <w:ind w:firstLine="720"/>
        <w:rPr>
          <w:rFonts w:ascii="Times New Roman" w:hAnsi="Times New Roman" w:cs="Times New Roman"/>
        </w:rPr>
      </w:pPr>
      <w:r w:rsidRPr="00B912DC">
        <w:rPr>
          <w:rFonts w:ascii="Times New Roman" w:hAnsi="Times New Roman" w:cs="Times New Roman"/>
        </w:rPr>
        <w:t xml:space="preserve">As Column (A) of Table </w:t>
      </w:r>
      <w:r w:rsidR="00F70034">
        <w:rPr>
          <w:rFonts w:ascii="Times New Roman" w:hAnsi="Times New Roman" w:cs="Times New Roman"/>
        </w:rPr>
        <w:t>5</w:t>
      </w:r>
      <w:r w:rsidR="00DB4EAD">
        <w:rPr>
          <w:rFonts w:ascii="Times New Roman" w:hAnsi="Times New Roman" w:cs="Times New Roman"/>
        </w:rPr>
        <w:t>1</w:t>
      </w:r>
      <w:r w:rsidRPr="00B912DC">
        <w:rPr>
          <w:rFonts w:ascii="Times New Roman" w:hAnsi="Times New Roman" w:cs="Times New Roman"/>
        </w:rPr>
        <w:t xml:space="preserve"> shows, plans were proposed in approximately 60% of the cases </w:t>
      </w:r>
      <w:r>
        <w:rPr>
          <w:rFonts w:ascii="Times New Roman" w:hAnsi="Times New Roman" w:cs="Times New Roman"/>
        </w:rPr>
        <w:t>in the 2010 and 2013 random sample</w:t>
      </w:r>
      <w:r w:rsidR="00B807A0">
        <w:rPr>
          <w:rFonts w:ascii="Times New Roman" w:hAnsi="Times New Roman" w:cs="Times New Roman"/>
        </w:rPr>
        <w:t>s</w:t>
      </w:r>
      <w:r>
        <w:rPr>
          <w:rFonts w:ascii="Times New Roman" w:hAnsi="Times New Roman" w:cs="Times New Roman"/>
        </w:rPr>
        <w:t>.</w:t>
      </w:r>
      <w:r w:rsidRPr="00B912DC">
        <w:rPr>
          <w:rFonts w:ascii="Times New Roman" w:hAnsi="Times New Roman" w:cs="Times New Roman"/>
        </w:rPr>
        <w:t xml:space="preserve"> For each of the cases with a proposed plan, we searched the case docket for objections. We included in Column (B) of Table </w:t>
      </w:r>
      <w:r w:rsidR="00F70034">
        <w:rPr>
          <w:rFonts w:ascii="Times New Roman" w:hAnsi="Times New Roman" w:cs="Times New Roman"/>
        </w:rPr>
        <w:t>5</w:t>
      </w:r>
      <w:r w:rsidR="00DB4EAD">
        <w:rPr>
          <w:rFonts w:ascii="Times New Roman" w:hAnsi="Times New Roman" w:cs="Times New Roman"/>
        </w:rPr>
        <w:t>1</w:t>
      </w:r>
      <w:r w:rsidRPr="00B912DC">
        <w:rPr>
          <w:rFonts w:ascii="Times New Roman" w:hAnsi="Times New Roman" w:cs="Times New Roman"/>
        </w:rPr>
        <w:t xml:space="preserve"> any case in which the substance of the objection rested on absolute priority grounds, even if the objecting party failed to invoke the magic phrase “absolute priority rule” or </w:t>
      </w:r>
      <w:r w:rsidR="00B807A0">
        <w:rPr>
          <w:rFonts w:ascii="Times New Roman" w:hAnsi="Times New Roman" w:cs="Times New Roman"/>
        </w:rPr>
        <w:t xml:space="preserve">to </w:t>
      </w:r>
      <w:r w:rsidR="00B11B30">
        <w:rPr>
          <w:rFonts w:ascii="Times New Roman" w:hAnsi="Times New Roman" w:cs="Times New Roman"/>
        </w:rPr>
        <w:t>cite § </w:t>
      </w:r>
      <w:r w:rsidRPr="00B912DC">
        <w:rPr>
          <w:rFonts w:ascii="Times New Roman" w:hAnsi="Times New Roman" w:cs="Times New Roman"/>
        </w:rPr>
        <w:t>1129(b)(2)(B)(ii).</w:t>
      </w:r>
      <w:r w:rsidRPr="00B912DC">
        <w:rPr>
          <w:rStyle w:val="FootnoteReference"/>
          <w:rFonts w:ascii="Times New Roman" w:hAnsi="Times New Roman" w:cs="Times New Roman"/>
        </w:rPr>
        <w:footnoteReference w:id="258"/>
      </w:r>
      <w:r w:rsidR="00FE4607">
        <w:rPr>
          <w:rFonts w:ascii="Times New Roman" w:hAnsi="Times New Roman" w:cs="Times New Roman"/>
        </w:rPr>
        <w:t xml:space="preserve"> </w:t>
      </w:r>
      <w:r w:rsidRPr="00B912DC">
        <w:rPr>
          <w:rFonts w:ascii="Times New Roman" w:hAnsi="Times New Roman" w:cs="Times New Roman"/>
        </w:rPr>
        <w:t xml:space="preserve">Also included in Column (B) of Table </w:t>
      </w:r>
      <w:r w:rsidR="00F70034">
        <w:rPr>
          <w:rFonts w:ascii="Times New Roman" w:hAnsi="Times New Roman" w:cs="Times New Roman"/>
        </w:rPr>
        <w:t>5</w:t>
      </w:r>
      <w:r w:rsidR="00DB4EAD">
        <w:rPr>
          <w:rFonts w:ascii="Times New Roman" w:hAnsi="Times New Roman" w:cs="Times New Roman"/>
        </w:rPr>
        <w:t>1</w:t>
      </w:r>
      <w:r w:rsidRPr="00B912DC">
        <w:rPr>
          <w:rFonts w:ascii="Times New Roman" w:hAnsi="Times New Roman" w:cs="Times New Roman"/>
        </w:rPr>
        <w:t xml:space="preserve"> are several cases in which a party in interest raised an objection to the plan proponent’s failure to include in the disclosure statement information about the applicability</w:t>
      </w:r>
      <w:r w:rsidR="00B11B30">
        <w:rPr>
          <w:rFonts w:ascii="Times New Roman" w:hAnsi="Times New Roman" w:cs="Times New Roman"/>
        </w:rPr>
        <w:t xml:space="preserve"> of the absolute priority rule.</w:t>
      </w:r>
      <w:bookmarkStart w:id="33" w:name="_Ref333839600"/>
      <w:r w:rsidRPr="00B912DC">
        <w:rPr>
          <w:rStyle w:val="FootnoteReference"/>
          <w:rFonts w:ascii="Times New Roman" w:hAnsi="Times New Roman" w:cs="Times New Roman"/>
        </w:rPr>
        <w:footnoteReference w:id="259"/>
      </w:r>
      <w:bookmarkEnd w:id="33"/>
      <w:r w:rsidRPr="00B912DC">
        <w:rPr>
          <w:rFonts w:ascii="Times New Roman" w:hAnsi="Times New Roman" w:cs="Times New Roman"/>
        </w:rPr>
        <w:t xml:space="preserve"> The vast majority of objections, however, were objections to plan confirmation, not simply objections to inadequate disclosure.  </w:t>
      </w:r>
    </w:p>
    <w:p w14:paraId="594697A0" w14:textId="5EA76AEE" w:rsidR="00FC38D9" w:rsidRPr="00B912DC" w:rsidRDefault="00FC38D9" w:rsidP="00FC38D9">
      <w:pPr>
        <w:pStyle w:val="ListParagraph"/>
        <w:spacing w:line="480" w:lineRule="auto"/>
        <w:ind w:left="0" w:firstLine="360"/>
        <w:rPr>
          <w:rFonts w:ascii="Times New Roman" w:hAnsi="Times New Roman" w:cs="Times New Roman"/>
        </w:rPr>
      </w:pPr>
      <w:r>
        <w:rPr>
          <w:rFonts w:ascii="Times New Roman" w:hAnsi="Times New Roman" w:cs="Times New Roman"/>
        </w:rPr>
        <w:tab/>
      </w:r>
      <w:r w:rsidRPr="00B912DC">
        <w:rPr>
          <w:rFonts w:ascii="Times New Roman" w:hAnsi="Times New Roman" w:cs="Times New Roman"/>
        </w:rPr>
        <w:t xml:space="preserve">We found APR objections in </w:t>
      </w:r>
      <w:r w:rsidR="00D40680">
        <w:rPr>
          <w:rFonts w:ascii="Times New Roman" w:hAnsi="Times New Roman" w:cs="Times New Roman"/>
        </w:rPr>
        <w:t>22</w:t>
      </w:r>
      <w:r w:rsidRPr="00B912DC">
        <w:rPr>
          <w:rFonts w:ascii="Times New Roman" w:hAnsi="Times New Roman" w:cs="Times New Roman"/>
        </w:rPr>
        <w:t>% of the cases in which a plan was proposed.</w:t>
      </w:r>
      <w:r w:rsidR="00D40680">
        <w:rPr>
          <w:rStyle w:val="FootnoteReference"/>
          <w:rFonts w:ascii="Times New Roman" w:hAnsi="Times New Roman" w:cs="Times New Roman"/>
        </w:rPr>
        <w:footnoteReference w:id="260"/>
      </w:r>
      <w:r w:rsidR="00FE4607">
        <w:rPr>
          <w:rFonts w:ascii="Times New Roman" w:hAnsi="Times New Roman" w:cs="Times New Roman"/>
        </w:rPr>
        <w:t xml:space="preserve"> </w:t>
      </w:r>
      <w:r w:rsidRPr="00B912DC">
        <w:rPr>
          <w:rFonts w:ascii="Times New Roman" w:hAnsi="Times New Roman" w:cs="Times New Roman"/>
        </w:rPr>
        <w:t xml:space="preserve">As Column (B) of Table </w:t>
      </w:r>
      <w:r w:rsidR="00F70034">
        <w:rPr>
          <w:rFonts w:ascii="Times New Roman" w:hAnsi="Times New Roman" w:cs="Times New Roman"/>
        </w:rPr>
        <w:t>5</w:t>
      </w:r>
      <w:r w:rsidR="00DB4EAD">
        <w:rPr>
          <w:rFonts w:ascii="Times New Roman" w:hAnsi="Times New Roman" w:cs="Times New Roman"/>
        </w:rPr>
        <w:t>1</w:t>
      </w:r>
      <w:r w:rsidRPr="00B912DC">
        <w:rPr>
          <w:rFonts w:ascii="Times New Roman" w:hAnsi="Times New Roman" w:cs="Times New Roman"/>
        </w:rPr>
        <w:t xml:space="preserve"> shows, the percentage of APR objections increased between 2010 and 2013. In 2010, creditors raised APR objections in </w:t>
      </w:r>
      <w:r w:rsidR="00D40680">
        <w:rPr>
          <w:rFonts w:ascii="Times New Roman" w:hAnsi="Times New Roman" w:cs="Times New Roman"/>
        </w:rPr>
        <w:t xml:space="preserve">approximately </w:t>
      </w:r>
      <w:r>
        <w:rPr>
          <w:rFonts w:ascii="Times New Roman" w:hAnsi="Times New Roman" w:cs="Times New Roman"/>
        </w:rPr>
        <w:t xml:space="preserve">17% of the cases with proposed plans; that figure increased to </w:t>
      </w:r>
      <w:r w:rsidR="00D40680">
        <w:rPr>
          <w:rFonts w:ascii="Times New Roman" w:hAnsi="Times New Roman" w:cs="Times New Roman"/>
        </w:rPr>
        <w:t xml:space="preserve">about </w:t>
      </w:r>
      <w:r>
        <w:rPr>
          <w:rFonts w:ascii="Times New Roman" w:hAnsi="Times New Roman" w:cs="Times New Roman"/>
        </w:rPr>
        <w:t>27% in 2013</w:t>
      </w:r>
      <w:r w:rsidR="000F18D7">
        <w:rPr>
          <w:rFonts w:ascii="Times New Roman" w:hAnsi="Times New Roman" w:cs="Times New Roman"/>
        </w:rPr>
        <w:t>.</w:t>
      </w:r>
      <w:r w:rsidRPr="00B912DC">
        <w:rPr>
          <w:rFonts w:ascii="Times New Roman" w:hAnsi="Times New Roman" w:cs="Times New Roman"/>
        </w:rPr>
        <w:t xml:space="preserve"> </w:t>
      </w:r>
      <w:r>
        <w:rPr>
          <w:rFonts w:ascii="Times New Roman" w:hAnsi="Times New Roman" w:cs="Times New Roman"/>
        </w:rPr>
        <w:t>O</w:t>
      </w:r>
      <w:r w:rsidRPr="00B912DC">
        <w:rPr>
          <w:rFonts w:ascii="Times New Roman" w:hAnsi="Times New Roman" w:cs="Times New Roman"/>
        </w:rPr>
        <w:t>ur sample is small</w:t>
      </w:r>
      <w:r>
        <w:rPr>
          <w:rFonts w:ascii="Times New Roman" w:hAnsi="Times New Roman" w:cs="Times New Roman"/>
        </w:rPr>
        <w:t>, however,</w:t>
      </w:r>
      <w:r w:rsidRPr="00B912DC">
        <w:rPr>
          <w:rFonts w:ascii="Times New Roman" w:hAnsi="Times New Roman" w:cs="Times New Roman"/>
        </w:rPr>
        <w:t xml:space="preserve"> so the difference is not statistically significant (p</w:t>
      </w:r>
      <w:r>
        <w:rPr>
          <w:rFonts w:ascii="Times New Roman" w:hAnsi="Times New Roman" w:cs="Times New Roman"/>
        </w:rPr>
        <w:t xml:space="preserve"> = .17</w:t>
      </w:r>
      <w:r w:rsidRPr="00B912DC">
        <w:rPr>
          <w:rFonts w:ascii="Times New Roman" w:hAnsi="Times New Roman" w:cs="Times New Roman"/>
        </w:rPr>
        <w:t>)</w:t>
      </w:r>
      <w:r>
        <w:rPr>
          <w:rFonts w:ascii="Times New Roman" w:hAnsi="Times New Roman" w:cs="Times New Roman"/>
        </w:rPr>
        <w:t>.</w:t>
      </w:r>
      <w:r w:rsidRPr="00B912DC">
        <w:rPr>
          <w:rFonts w:ascii="Times New Roman" w:hAnsi="Times New Roman" w:cs="Times New Roman"/>
        </w:rPr>
        <w:t xml:space="preserve"> </w:t>
      </w:r>
    </w:p>
    <w:p w14:paraId="0433CB11" w14:textId="2954ADD9" w:rsidR="00FC38D9" w:rsidRPr="00F951E5" w:rsidRDefault="00FC38D9" w:rsidP="00B11B30">
      <w:pPr>
        <w:pStyle w:val="ListParagraph"/>
        <w:keepNext/>
        <w:keepLines/>
        <w:spacing w:line="480" w:lineRule="auto"/>
        <w:ind w:left="0" w:firstLine="360"/>
        <w:jc w:val="center"/>
        <w:rPr>
          <w:rFonts w:ascii="Times New Roman" w:hAnsi="Times New Roman" w:cs="Times New Roman"/>
          <w:b/>
        </w:rPr>
      </w:pPr>
      <w:r w:rsidRPr="00F951E5">
        <w:rPr>
          <w:rFonts w:ascii="Times New Roman" w:hAnsi="Times New Roman" w:cs="Times New Roman"/>
          <w:b/>
        </w:rPr>
        <w:t xml:space="preserve">Table </w:t>
      </w:r>
      <w:r w:rsidR="00D7260E">
        <w:rPr>
          <w:rFonts w:ascii="Times New Roman" w:hAnsi="Times New Roman" w:cs="Times New Roman"/>
          <w:b/>
        </w:rPr>
        <w:t>5</w:t>
      </w:r>
      <w:r w:rsidR="00DB4EAD">
        <w:rPr>
          <w:rFonts w:ascii="Times New Roman" w:hAnsi="Times New Roman" w:cs="Times New Roman"/>
          <w:b/>
        </w:rPr>
        <w:t>1</w:t>
      </w:r>
      <w:r w:rsidRPr="00F951E5">
        <w:rPr>
          <w:rFonts w:ascii="Times New Roman" w:hAnsi="Times New Roman" w:cs="Times New Roman"/>
          <w:b/>
        </w:rPr>
        <w:t>: APR Objections</w:t>
      </w:r>
    </w:p>
    <w:tbl>
      <w:tblPr>
        <w:tblStyle w:val="TableGrid"/>
        <w:tblW w:w="0" w:type="auto"/>
        <w:tblLook w:val="04A0" w:firstRow="1" w:lastRow="0" w:firstColumn="1" w:lastColumn="0" w:noHBand="0" w:noVBand="1"/>
      </w:tblPr>
      <w:tblGrid>
        <w:gridCol w:w="917"/>
        <w:gridCol w:w="1795"/>
        <w:gridCol w:w="1885"/>
        <w:gridCol w:w="1881"/>
        <w:gridCol w:w="2157"/>
      </w:tblGrid>
      <w:tr w:rsidR="00FC38D9" w:rsidRPr="00B912DC" w14:paraId="1B1FD3F4" w14:textId="77777777" w:rsidTr="003140EB">
        <w:trPr>
          <w:trHeight w:val="300"/>
        </w:trPr>
        <w:tc>
          <w:tcPr>
            <w:tcW w:w="918" w:type="dxa"/>
            <w:vMerge w:val="restart"/>
            <w:tcBorders>
              <w:top w:val="nil"/>
              <w:left w:val="nil"/>
              <w:right w:val="single" w:sz="12" w:space="0" w:color="auto"/>
            </w:tcBorders>
          </w:tcPr>
          <w:p w14:paraId="5201FAE8" w14:textId="77777777" w:rsidR="00FC38D9" w:rsidRPr="00B912DC" w:rsidRDefault="00FC38D9" w:rsidP="00B11B30">
            <w:pPr>
              <w:pStyle w:val="ListParagraph"/>
              <w:keepNext/>
              <w:keepLines/>
              <w:ind w:left="0"/>
              <w:jc w:val="center"/>
              <w:rPr>
                <w:rFonts w:ascii="Times New Roman" w:hAnsi="Times New Roman" w:cs="Times New Roman"/>
              </w:rPr>
            </w:pPr>
          </w:p>
        </w:tc>
        <w:tc>
          <w:tcPr>
            <w:tcW w:w="1800" w:type="dxa"/>
            <w:vMerge w:val="restart"/>
            <w:tcBorders>
              <w:top w:val="single" w:sz="12" w:space="0" w:color="auto"/>
              <w:left w:val="single" w:sz="12" w:space="0" w:color="auto"/>
              <w:right w:val="single" w:sz="12" w:space="0" w:color="auto"/>
            </w:tcBorders>
          </w:tcPr>
          <w:p w14:paraId="310364CF" w14:textId="77777777" w:rsidR="00FC38D9" w:rsidRPr="00B912DC" w:rsidRDefault="00FC38D9" w:rsidP="00B11B30">
            <w:pPr>
              <w:pStyle w:val="ListParagraph"/>
              <w:keepNext/>
              <w:keepLines/>
              <w:ind w:left="0"/>
              <w:jc w:val="center"/>
              <w:rPr>
                <w:rFonts w:ascii="Times New Roman" w:hAnsi="Times New Roman" w:cs="Times New Roman"/>
              </w:rPr>
            </w:pPr>
            <w:r w:rsidRPr="00B912DC">
              <w:rPr>
                <w:rFonts w:ascii="Times New Roman" w:hAnsi="Times New Roman" w:cs="Times New Roman"/>
              </w:rPr>
              <w:t>(A)</w:t>
            </w:r>
          </w:p>
          <w:p w14:paraId="6A3F1A76" w14:textId="77777777" w:rsidR="00FC38D9" w:rsidRPr="00B912DC" w:rsidRDefault="00FC38D9" w:rsidP="00B11B30">
            <w:pPr>
              <w:pStyle w:val="ListParagraph"/>
              <w:keepNext/>
              <w:keepLines/>
              <w:ind w:left="0"/>
              <w:jc w:val="center"/>
              <w:rPr>
                <w:rFonts w:ascii="Times New Roman" w:hAnsi="Times New Roman" w:cs="Times New Roman"/>
              </w:rPr>
            </w:pPr>
            <w:r w:rsidRPr="00B912DC">
              <w:rPr>
                <w:rFonts w:ascii="Times New Roman" w:hAnsi="Times New Roman" w:cs="Times New Roman"/>
              </w:rPr>
              <w:t>Plan Proposed</w:t>
            </w:r>
          </w:p>
        </w:tc>
        <w:tc>
          <w:tcPr>
            <w:tcW w:w="1890" w:type="dxa"/>
            <w:vMerge w:val="restart"/>
            <w:tcBorders>
              <w:top w:val="single" w:sz="12" w:space="0" w:color="auto"/>
              <w:left w:val="single" w:sz="12" w:space="0" w:color="auto"/>
              <w:right w:val="single" w:sz="12" w:space="0" w:color="auto"/>
            </w:tcBorders>
          </w:tcPr>
          <w:p w14:paraId="11E702BA" w14:textId="77777777" w:rsidR="00FC38D9" w:rsidRPr="00B912DC" w:rsidRDefault="00FC38D9" w:rsidP="00B11B30">
            <w:pPr>
              <w:pStyle w:val="ListParagraph"/>
              <w:keepNext/>
              <w:keepLines/>
              <w:ind w:left="0"/>
              <w:jc w:val="center"/>
              <w:rPr>
                <w:rFonts w:ascii="Times New Roman" w:hAnsi="Times New Roman" w:cs="Times New Roman"/>
              </w:rPr>
            </w:pPr>
            <w:r w:rsidRPr="00B912DC">
              <w:rPr>
                <w:rFonts w:ascii="Times New Roman" w:hAnsi="Times New Roman" w:cs="Times New Roman"/>
              </w:rPr>
              <w:t>(B)</w:t>
            </w:r>
          </w:p>
          <w:p w14:paraId="66605596" w14:textId="77777777" w:rsidR="00FC38D9" w:rsidRPr="00B912DC" w:rsidRDefault="00FC38D9" w:rsidP="00B11B30">
            <w:pPr>
              <w:pStyle w:val="ListParagraph"/>
              <w:keepNext/>
              <w:keepLines/>
              <w:ind w:left="0"/>
              <w:jc w:val="center"/>
              <w:rPr>
                <w:rFonts w:ascii="Times New Roman" w:hAnsi="Times New Roman" w:cs="Times New Roman"/>
              </w:rPr>
            </w:pPr>
            <w:r w:rsidRPr="00B912DC">
              <w:rPr>
                <w:rFonts w:ascii="Times New Roman" w:hAnsi="Times New Roman" w:cs="Times New Roman"/>
              </w:rPr>
              <w:t>APR Objection</w:t>
            </w:r>
          </w:p>
        </w:tc>
        <w:tc>
          <w:tcPr>
            <w:tcW w:w="4050" w:type="dxa"/>
            <w:gridSpan w:val="2"/>
            <w:tcBorders>
              <w:top w:val="single" w:sz="12" w:space="0" w:color="auto"/>
              <w:left w:val="single" w:sz="12" w:space="0" w:color="auto"/>
            </w:tcBorders>
          </w:tcPr>
          <w:p w14:paraId="18C0484A" w14:textId="77777777" w:rsidR="00FC38D9" w:rsidRPr="00B912DC" w:rsidRDefault="00FC38D9" w:rsidP="00B11B30">
            <w:pPr>
              <w:pStyle w:val="ListParagraph"/>
              <w:keepNext/>
              <w:keepLines/>
              <w:ind w:left="0"/>
              <w:jc w:val="center"/>
              <w:rPr>
                <w:rFonts w:ascii="Times New Roman" w:hAnsi="Times New Roman" w:cs="Times New Roman"/>
              </w:rPr>
            </w:pPr>
            <w:r w:rsidRPr="00B912DC">
              <w:rPr>
                <w:rFonts w:ascii="Times New Roman" w:hAnsi="Times New Roman" w:cs="Times New Roman"/>
              </w:rPr>
              <w:t>(C)</w:t>
            </w:r>
          </w:p>
          <w:p w14:paraId="23A20ED5" w14:textId="77777777" w:rsidR="00FC38D9" w:rsidRPr="00B912DC" w:rsidRDefault="00FC38D9" w:rsidP="00B11B30">
            <w:pPr>
              <w:pStyle w:val="ListParagraph"/>
              <w:keepNext/>
              <w:keepLines/>
              <w:ind w:left="0"/>
              <w:jc w:val="center"/>
              <w:rPr>
                <w:rFonts w:ascii="Times New Roman" w:hAnsi="Times New Roman" w:cs="Times New Roman"/>
              </w:rPr>
            </w:pPr>
            <w:r w:rsidRPr="00B912DC">
              <w:rPr>
                <w:rFonts w:ascii="Times New Roman" w:hAnsi="Times New Roman" w:cs="Times New Roman"/>
              </w:rPr>
              <w:t xml:space="preserve">Plan not confirmed </w:t>
            </w:r>
          </w:p>
        </w:tc>
      </w:tr>
      <w:tr w:rsidR="00FC38D9" w:rsidRPr="00B912DC" w14:paraId="154821BC" w14:textId="77777777" w:rsidTr="003140EB">
        <w:trPr>
          <w:trHeight w:val="214"/>
        </w:trPr>
        <w:tc>
          <w:tcPr>
            <w:tcW w:w="918" w:type="dxa"/>
            <w:vMerge/>
            <w:tcBorders>
              <w:left w:val="nil"/>
              <w:bottom w:val="single" w:sz="12" w:space="0" w:color="auto"/>
              <w:right w:val="single" w:sz="12" w:space="0" w:color="auto"/>
            </w:tcBorders>
          </w:tcPr>
          <w:p w14:paraId="2F12F190" w14:textId="77777777" w:rsidR="00FC38D9" w:rsidRPr="00B912DC" w:rsidRDefault="00FC38D9" w:rsidP="00B11B30">
            <w:pPr>
              <w:pStyle w:val="ListParagraph"/>
              <w:keepNext/>
              <w:keepLines/>
              <w:ind w:left="0"/>
              <w:jc w:val="center"/>
              <w:rPr>
                <w:rFonts w:ascii="Times New Roman" w:hAnsi="Times New Roman" w:cs="Times New Roman"/>
              </w:rPr>
            </w:pPr>
          </w:p>
        </w:tc>
        <w:tc>
          <w:tcPr>
            <w:tcW w:w="1800" w:type="dxa"/>
            <w:vMerge/>
            <w:tcBorders>
              <w:left w:val="single" w:sz="12" w:space="0" w:color="auto"/>
              <w:bottom w:val="single" w:sz="12" w:space="0" w:color="auto"/>
              <w:right w:val="single" w:sz="12" w:space="0" w:color="auto"/>
            </w:tcBorders>
          </w:tcPr>
          <w:p w14:paraId="04C9E474" w14:textId="77777777" w:rsidR="00FC38D9" w:rsidRPr="00B912DC" w:rsidRDefault="00FC38D9" w:rsidP="00B11B30">
            <w:pPr>
              <w:pStyle w:val="ListParagraph"/>
              <w:keepNext/>
              <w:keepLines/>
              <w:ind w:left="0"/>
              <w:jc w:val="center"/>
              <w:rPr>
                <w:rFonts w:ascii="Times New Roman" w:hAnsi="Times New Roman" w:cs="Times New Roman"/>
              </w:rPr>
            </w:pPr>
          </w:p>
        </w:tc>
        <w:tc>
          <w:tcPr>
            <w:tcW w:w="1890" w:type="dxa"/>
            <w:vMerge/>
            <w:tcBorders>
              <w:left w:val="single" w:sz="12" w:space="0" w:color="auto"/>
              <w:bottom w:val="single" w:sz="12" w:space="0" w:color="auto"/>
              <w:right w:val="single" w:sz="12" w:space="0" w:color="auto"/>
            </w:tcBorders>
          </w:tcPr>
          <w:p w14:paraId="504DE006" w14:textId="77777777" w:rsidR="00FC38D9" w:rsidRPr="00B912DC" w:rsidRDefault="00FC38D9" w:rsidP="00B11B30">
            <w:pPr>
              <w:pStyle w:val="ListParagraph"/>
              <w:keepNext/>
              <w:keepLines/>
              <w:ind w:left="0"/>
              <w:jc w:val="center"/>
              <w:rPr>
                <w:rFonts w:ascii="Times New Roman" w:hAnsi="Times New Roman" w:cs="Times New Roman"/>
              </w:rPr>
            </w:pPr>
          </w:p>
        </w:tc>
        <w:tc>
          <w:tcPr>
            <w:tcW w:w="1886" w:type="dxa"/>
            <w:tcBorders>
              <w:top w:val="single" w:sz="12" w:space="0" w:color="auto"/>
              <w:left w:val="single" w:sz="12" w:space="0" w:color="auto"/>
              <w:bottom w:val="single" w:sz="12" w:space="0" w:color="auto"/>
              <w:right w:val="single" w:sz="12" w:space="0" w:color="auto"/>
            </w:tcBorders>
          </w:tcPr>
          <w:p w14:paraId="5698349F" w14:textId="77777777" w:rsidR="00FC38D9" w:rsidRPr="00B912DC" w:rsidRDefault="00FC38D9" w:rsidP="00B11B30">
            <w:pPr>
              <w:pStyle w:val="ListParagraph"/>
              <w:keepNext/>
              <w:keepLines/>
              <w:ind w:left="0"/>
              <w:jc w:val="center"/>
              <w:rPr>
                <w:rFonts w:ascii="Times New Roman" w:hAnsi="Times New Roman" w:cs="Times New Roman"/>
              </w:rPr>
            </w:pPr>
            <w:r w:rsidRPr="00B912DC">
              <w:rPr>
                <w:rFonts w:ascii="Times New Roman" w:hAnsi="Times New Roman" w:cs="Times New Roman"/>
              </w:rPr>
              <w:t>APR Objection</w:t>
            </w:r>
          </w:p>
        </w:tc>
        <w:tc>
          <w:tcPr>
            <w:tcW w:w="2164" w:type="dxa"/>
            <w:tcBorders>
              <w:top w:val="single" w:sz="12" w:space="0" w:color="auto"/>
              <w:left w:val="single" w:sz="12" w:space="0" w:color="auto"/>
              <w:bottom w:val="single" w:sz="12" w:space="0" w:color="auto"/>
            </w:tcBorders>
          </w:tcPr>
          <w:p w14:paraId="2827ADED" w14:textId="77777777" w:rsidR="00FC38D9" w:rsidRPr="00B912DC" w:rsidRDefault="00FC38D9" w:rsidP="00B11B30">
            <w:pPr>
              <w:pStyle w:val="ListParagraph"/>
              <w:keepNext/>
              <w:keepLines/>
              <w:ind w:left="0"/>
              <w:jc w:val="center"/>
              <w:rPr>
                <w:rFonts w:ascii="Times New Roman" w:hAnsi="Times New Roman" w:cs="Times New Roman"/>
              </w:rPr>
            </w:pPr>
            <w:r w:rsidRPr="00B912DC">
              <w:rPr>
                <w:rFonts w:ascii="Times New Roman" w:hAnsi="Times New Roman" w:cs="Times New Roman"/>
              </w:rPr>
              <w:t>No APR Objection</w:t>
            </w:r>
          </w:p>
        </w:tc>
      </w:tr>
      <w:tr w:rsidR="00FC38D9" w:rsidRPr="00B912DC" w14:paraId="2742F9F9" w14:textId="77777777" w:rsidTr="003140EB">
        <w:tc>
          <w:tcPr>
            <w:tcW w:w="918" w:type="dxa"/>
            <w:tcBorders>
              <w:top w:val="single" w:sz="12" w:space="0" w:color="auto"/>
              <w:right w:val="single" w:sz="12" w:space="0" w:color="auto"/>
            </w:tcBorders>
          </w:tcPr>
          <w:p w14:paraId="0B42EB76" w14:textId="77777777" w:rsidR="00FC38D9" w:rsidRPr="00B912DC" w:rsidRDefault="00FC38D9" w:rsidP="00B11B30">
            <w:pPr>
              <w:pStyle w:val="ListParagraph"/>
              <w:keepNext/>
              <w:keepLines/>
              <w:ind w:left="0"/>
              <w:jc w:val="center"/>
              <w:rPr>
                <w:rFonts w:ascii="Times New Roman" w:hAnsi="Times New Roman" w:cs="Times New Roman"/>
              </w:rPr>
            </w:pPr>
            <w:r w:rsidRPr="00B912DC">
              <w:rPr>
                <w:rFonts w:ascii="Times New Roman" w:hAnsi="Times New Roman" w:cs="Times New Roman"/>
              </w:rPr>
              <w:t>2010</w:t>
            </w:r>
          </w:p>
        </w:tc>
        <w:tc>
          <w:tcPr>
            <w:tcW w:w="1800" w:type="dxa"/>
            <w:tcBorders>
              <w:top w:val="single" w:sz="12" w:space="0" w:color="auto"/>
              <w:left w:val="single" w:sz="12" w:space="0" w:color="auto"/>
              <w:right w:val="single" w:sz="12" w:space="0" w:color="auto"/>
            </w:tcBorders>
          </w:tcPr>
          <w:p w14:paraId="214FD041" w14:textId="77777777" w:rsidR="00FC38D9" w:rsidRPr="00B912DC" w:rsidRDefault="00FC38D9" w:rsidP="00B11B30">
            <w:pPr>
              <w:pStyle w:val="ListParagraph"/>
              <w:keepNext/>
              <w:keepLines/>
              <w:ind w:left="0"/>
              <w:jc w:val="center"/>
              <w:rPr>
                <w:rFonts w:ascii="Times New Roman" w:hAnsi="Times New Roman" w:cs="Times New Roman"/>
              </w:rPr>
            </w:pPr>
            <w:r w:rsidRPr="00B912DC">
              <w:rPr>
                <w:rFonts w:ascii="Times New Roman" w:hAnsi="Times New Roman" w:cs="Times New Roman"/>
              </w:rPr>
              <w:t>66/109 = 60.6%</w:t>
            </w:r>
          </w:p>
        </w:tc>
        <w:tc>
          <w:tcPr>
            <w:tcW w:w="1890" w:type="dxa"/>
            <w:tcBorders>
              <w:top w:val="single" w:sz="12" w:space="0" w:color="auto"/>
              <w:left w:val="single" w:sz="12" w:space="0" w:color="auto"/>
              <w:right w:val="single" w:sz="12" w:space="0" w:color="auto"/>
            </w:tcBorders>
          </w:tcPr>
          <w:p w14:paraId="0DF524E8" w14:textId="77777777" w:rsidR="00FC38D9" w:rsidRPr="00B912DC" w:rsidRDefault="00FC38D9" w:rsidP="00B11B30">
            <w:pPr>
              <w:pStyle w:val="ListParagraph"/>
              <w:keepNext/>
              <w:keepLines/>
              <w:ind w:left="0"/>
              <w:jc w:val="center"/>
              <w:rPr>
                <w:rFonts w:ascii="Times New Roman" w:hAnsi="Times New Roman" w:cs="Times New Roman"/>
              </w:rPr>
            </w:pPr>
            <w:r w:rsidRPr="00B912DC">
              <w:rPr>
                <w:rFonts w:ascii="Times New Roman" w:hAnsi="Times New Roman" w:cs="Times New Roman"/>
              </w:rPr>
              <w:t>11/66 = 16.7%</w:t>
            </w:r>
          </w:p>
        </w:tc>
        <w:tc>
          <w:tcPr>
            <w:tcW w:w="1886" w:type="dxa"/>
            <w:tcBorders>
              <w:top w:val="single" w:sz="12" w:space="0" w:color="auto"/>
              <w:left w:val="single" w:sz="12" w:space="0" w:color="auto"/>
              <w:right w:val="single" w:sz="12" w:space="0" w:color="auto"/>
            </w:tcBorders>
          </w:tcPr>
          <w:p w14:paraId="1095A336" w14:textId="77777777" w:rsidR="00FC38D9" w:rsidRPr="00B912DC" w:rsidRDefault="00FC38D9" w:rsidP="00B11B30">
            <w:pPr>
              <w:pStyle w:val="ListParagraph"/>
              <w:keepNext/>
              <w:keepLines/>
              <w:ind w:left="0"/>
              <w:jc w:val="center"/>
              <w:rPr>
                <w:rFonts w:ascii="Times New Roman" w:hAnsi="Times New Roman" w:cs="Times New Roman"/>
              </w:rPr>
            </w:pPr>
            <w:r w:rsidRPr="00B912DC">
              <w:rPr>
                <w:rFonts w:ascii="Times New Roman" w:hAnsi="Times New Roman" w:cs="Times New Roman"/>
              </w:rPr>
              <w:t>5/11 = 45.5%</w:t>
            </w:r>
          </w:p>
        </w:tc>
        <w:tc>
          <w:tcPr>
            <w:tcW w:w="2164" w:type="dxa"/>
            <w:tcBorders>
              <w:top w:val="single" w:sz="12" w:space="0" w:color="auto"/>
              <w:left w:val="single" w:sz="12" w:space="0" w:color="auto"/>
            </w:tcBorders>
          </w:tcPr>
          <w:p w14:paraId="57A31AAB" w14:textId="7FC0566F" w:rsidR="00FC38D9" w:rsidRPr="00B912DC" w:rsidRDefault="00FC38D9" w:rsidP="00B11B30">
            <w:pPr>
              <w:pStyle w:val="ListParagraph"/>
              <w:keepNext/>
              <w:keepLines/>
              <w:ind w:left="0"/>
              <w:jc w:val="center"/>
              <w:rPr>
                <w:rFonts w:ascii="Times New Roman" w:hAnsi="Times New Roman" w:cs="Times New Roman"/>
              </w:rPr>
            </w:pPr>
            <w:r w:rsidRPr="00B912DC">
              <w:rPr>
                <w:rFonts w:ascii="Times New Roman" w:hAnsi="Times New Roman" w:cs="Times New Roman"/>
              </w:rPr>
              <w:t>22/55 = 40</w:t>
            </w:r>
            <w:r w:rsidR="00D40680">
              <w:rPr>
                <w:rFonts w:ascii="Times New Roman" w:hAnsi="Times New Roman" w:cs="Times New Roman"/>
              </w:rPr>
              <w:t>.0</w:t>
            </w:r>
            <w:r w:rsidRPr="00B912DC">
              <w:rPr>
                <w:rFonts w:ascii="Times New Roman" w:hAnsi="Times New Roman" w:cs="Times New Roman"/>
              </w:rPr>
              <w:t>%</w:t>
            </w:r>
          </w:p>
        </w:tc>
      </w:tr>
      <w:tr w:rsidR="00FC38D9" w:rsidRPr="00B912DC" w14:paraId="5650BA31" w14:textId="77777777" w:rsidTr="003140EB">
        <w:tc>
          <w:tcPr>
            <w:tcW w:w="918" w:type="dxa"/>
            <w:tcBorders>
              <w:right w:val="single" w:sz="12" w:space="0" w:color="auto"/>
            </w:tcBorders>
          </w:tcPr>
          <w:p w14:paraId="4F7C95DB" w14:textId="77777777" w:rsidR="00FC38D9" w:rsidRPr="00B912DC" w:rsidRDefault="00FC38D9" w:rsidP="00B11B30">
            <w:pPr>
              <w:pStyle w:val="ListParagraph"/>
              <w:keepNext/>
              <w:keepLines/>
              <w:ind w:left="0"/>
              <w:jc w:val="center"/>
              <w:rPr>
                <w:rFonts w:ascii="Times New Roman" w:hAnsi="Times New Roman" w:cs="Times New Roman"/>
              </w:rPr>
            </w:pPr>
            <w:r w:rsidRPr="00B912DC">
              <w:rPr>
                <w:rFonts w:ascii="Times New Roman" w:hAnsi="Times New Roman" w:cs="Times New Roman"/>
              </w:rPr>
              <w:t>2013</w:t>
            </w:r>
          </w:p>
        </w:tc>
        <w:tc>
          <w:tcPr>
            <w:tcW w:w="1800" w:type="dxa"/>
            <w:tcBorders>
              <w:left w:val="single" w:sz="12" w:space="0" w:color="auto"/>
              <w:right w:val="single" w:sz="12" w:space="0" w:color="auto"/>
            </w:tcBorders>
          </w:tcPr>
          <w:p w14:paraId="798DC893" w14:textId="77777777" w:rsidR="00FC38D9" w:rsidRPr="00B912DC" w:rsidRDefault="00FC38D9" w:rsidP="00B11B30">
            <w:pPr>
              <w:pStyle w:val="ListParagraph"/>
              <w:keepNext/>
              <w:keepLines/>
              <w:ind w:left="0"/>
              <w:jc w:val="center"/>
              <w:rPr>
                <w:rFonts w:ascii="Times New Roman" w:hAnsi="Times New Roman" w:cs="Times New Roman"/>
              </w:rPr>
            </w:pPr>
            <w:r w:rsidRPr="00B912DC">
              <w:rPr>
                <w:rFonts w:ascii="Times New Roman" w:hAnsi="Times New Roman" w:cs="Times New Roman"/>
              </w:rPr>
              <w:t>68/114 = 59.6%</w:t>
            </w:r>
          </w:p>
        </w:tc>
        <w:tc>
          <w:tcPr>
            <w:tcW w:w="1890" w:type="dxa"/>
            <w:tcBorders>
              <w:left w:val="single" w:sz="12" w:space="0" w:color="auto"/>
              <w:right w:val="single" w:sz="12" w:space="0" w:color="auto"/>
            </w:tcBorders>
          </w:tcPr>
          <w:p w14:paraId="4F549D52" w14:textId="77777777" w:rsidR="00FC38D9" w:rsidRPr="00B912DC" w:rsidRDefault="00FC38D9" w:rsidP="00B11B30">
            <w:pPr>
              <w:pStyle w:val="ListParagraph"/>
              <w:keepNext/>
              <w:keepLines/>
              <w:ind w:left="0"/>
              <w:jc w:val="center"/>
              <w:rPr>
                <w:rFonts w:ascii="Times New Roman" w:hAnsi="Times New Roman" w:cs="Times New Roman"/>
              </w:rPr>
            </w:pPr>
            <w:r w:rsidRPr="00B912DC">
              <w:rPr>
                <w:rFonts w:ascii="Times New Roman" w:hAnsi="Times New Roman" w:cs="Times New Roman"/>
              </w:rPr>
              <w:t>18/68 = 26.5%</w:t>
            </w:r>
          </w:p>
        </w:tc>
        <w:tc>
          <w:tcPr>
            <w:tcW w:w="1886" w:type="dxa"/>
            <w:tcBorders>
              <w:left w:val="single" w:sz="12" w:space="0" w:color="auto"/>
              <w:right w:val="single" w:sz="12" w:space="0" w:color="auto"/>
            </w:tcBorders>
          </w:tcPr>
          <w:p w14:paraId="7C243E9C" w14:textId="77777777" w:rsidR="00FC38D9" w:rsidRPr="00B912DC" w:rsidRDefault="00FC38D9" w:rsidP="00B11B30">
            <w:pPr>
              <w:pStyle w:val="ListParagraph"/>
              <w:keepNext/>
              <w:keepLines/>
              <w:ind w:left="0"/>
              <w:jc w:val="center"/>
              <w:rPr>
                <w:rFonts w:ascii="Times New Roman" w:hAnsi="Times New Roman" w:cs="Times New Roman"/>
              </w:rPr>
            </w:pPr>
            <w:r w:rsidRPr="00B912DC">
              <w:rPr>
                <w:rFonts w:ascii="Times New Roman" w:hAnsi="Times New Roman" w:cs="Times New Roman"/>
              </w:rPr>
              <w:t>3/18 = 16.7%</w:t>
            </w:r>
            <w:r w:rsidRPr="00B912DC">
              <w:rPr>
                <w:rStyle w:val="FootnoteReference"/>
                <w:rFonts w:ascii="Times New Roman" w:hAnsi="Times New Roman" w:cs="Times New Roman"/>
              </w:rPr>
              <w:footnoteReference w:id="261"/>
            </w:r>
            <w:r w:rsidRPr="00B912DC">
              <w:rPr>
                <w:rFonts w:ascii="Times New Roman" w:hAnsi="Times New Roman" w:cs="Times New Roman"/>
              </w:rPr>
              <w:t xml:space="preserve"> </w:t>
            </w:r>
          </w:p>
        </w:tc>
        <w:tc>
          <w:tcPr>
            <w:tcW w:w="2164" w:type="dxa"/>
            <w:tcBorders>
              <w:left w:val="single" w:sz="12" w:space="0" w:color="auto"/>
            </w:tcBorders>
          </w:tcPr>
          <w:p w14:paraId="1582CF20" w14:textId="49EEA251" w:rsidR="00FC38D9" w:rsidRPr="00B912DC" w:rsidRDefault="00FC38D9" w:rsidP="000C3A77">
            <w:pPr>
              <w:pStyle w:val="ListParagraph"/>
              <w:keepNext/>
              <w:keepLines/>
              <w:ind w:left="0"/>
              <w:jc w:val="center"/>
              <w:rPr>
                <w:rFonts w:ascii="Times New Roman" w:hAnsi="Times New Roman" w:cs="Times New Roman"/>
              </w:rPr>
            </w:pPr>
            <w:r w:rsidRPr="00B912DC">
              <w:rPr>
                <w:rFonts w:ascii="Times New Roman" w:hAnsi="Times New Roman" w:cs="Times New Roman"/>
              </w:rPr>
              <w:t>1</w:t>
            </w:r>
            <w:r w:rsidR="000C3A77">
              <w:rPr>
                <w:rFonts w:ascii="Times New Roman" w:hAnsi="Times New Roman" w:cs="Times New Roman"/>
              </w:rPr>
              <w:t>5</w:t>
            </w:r>
            <w:r w:rsidRPr="00B912DC">
              <w:rPr>
                <w:rFonts w:ascii="Times New Roman" w:hAnsi="Times New Roman" w:cs="Times New Roman"/>
              </w:rPr>
              <w:t>/50 = 3</w:t>
            </w:r>
            <w:r w:rsidR="000C3A77">
              <w:rPr>
                <w:rFonts w:ascii="Times New Roman" w:hAnsi="Times New Roman" w:cs="Times New Roman"/>
              </w:rPr>
              <w:t>0</w:t>
            </w:r>
            <w:r w:rsidRPr="00B912DC">
              <w:rPr>
                <w:rFonts w:ascii="Times New Roman" w:hAnsi="Times New Roman" w:cs="Times New Roman"/>
              </w:rPr>
              <w:t>.0%</w:t>
            </w:r>
          </w:p>
        </w:tc>
      </w:tr>
    </w:tbl>
    <w:p w14:paraId="7203D326" w14:textId="77777777" w:rsidR="00FC38D9" w:rsidRPr="00B912DC" w:rsidRDefault="00FC38D9" w:rsidP="00FC38D9">
      <w:pPr>
        <w:pStyle w:val="ListParagraph"/>
        <w:spacing w:line="480" w:lineRule="auto"/>
        <w:ind w:left="0" w:firstLine="360"/>
        <w:jc w:val="center"/>
        <w:rPr>
          <w:rFonts w:ascii="Times New Roman" w:hAnsi="Times New Roman" w:cs="Times New Roman"/>
        </w:rPr>
      </w:pPr>
    </w:p>
    <w:p w14:paraId="17C8417B" w14:textId="7CB2361E" w:rsidR="00FC38D9" w:rsidRPr="00B912DC" w:rsidRDefault="00FC38D9" w:rsidP="00FC38D9">
      <w:pPr>
        <w:spacing w:line="480" w:lineRule="auto"/>
        <w:rPr>
          <w:rFonts w:ascii="Times New Roman" w:hAnsi="Times New Roman" w:cs="Times New Roman"/>
        </w:rPr>
      </w:pPr>
      <w:r w:rsidRPr="00B912DC">
        <w:rPr>
          <w:rFonts w:ascii="Times New Roman" w:hAnsi="Times New Roman" w:cs="Times New Roman"/>
        </w:rPr>
        <w:tab/>
        <w:t xml:space="preserve">The more surprising finding is </w:t>
      </w:r>
      <w:r w:rsidR="00B11B30">
        <w:rPr>
          <w:rFonts w:ascii="Times New Roman" w:hAnsi="Times New Roman" w:cs="Times New Roman"/>
        </w:rPr>
        <w:t>the lack of</w:t>
      </w:r>
      <w:r w:rsidRPr="00B912DC">
        <w:rPr>
          <w:rFonts w:ascii="Times New Roman" w:hAnsi="Times New Roman" w:cs="Times New Roman"/>
        </w:rPr>
        <w:t xml:space="preserve"> direct evidence that the APR prevents debtors from confirming plan</w:t>
      </w:r>
      <w:r>
        <w:rPr>
          <w:rFonts w:ascii="Times New Roman" w:hAnsi="Times New Roman" w:cs="Times New Roman"/>
        </w:rPr>
        <w:t>s</w:t>
      </w:r>
      <w:r w:rsidRPr="00B912DC">
        <w:rPr>
          <w:rFonts w:ascii="Times New Roman" w:hAnsi="Times New Roman" w:cs="Times New Roman"/>
        </w:rPr>
        <w:t>.</w:t>
      </w:r>
      <w:r w:rsidR="00D40680">
        <w:rPr>
          <w:rStyle w:val="FootnoteReference"/>
          <w:rFonts w:ascii="Times New Roman" w:hAnsi="Times New Roman" w:cs="Times New Roman"/>
        </w:rPr>
        <w:footnoteReference w:id="262"/>
      </w:r>
      <w:r w:rsidRPr="00B912DC">
        <w:rPr>
          <w:rFonts w:ascii="Times New Roman" w:hAnsi="Times New Roman" w:cs="Times New Roman"/>
        </w:rPr>
        <w:t xml:space="preserve"> In fact, </w:t>
      </w:r>
      <w:r>
        <w:rPr>
          <w:rFonts w:ascii="Times New Roman" w:hAnsi="Times New Roman" w:cs="Times New Roman"/>
        </w:rPr>
        <w:t xml:space="preserve">Column C shows that </w:t>
      </w:r>
      <w:r w:rsidRPr="00B912DC">
        <w:rPr>
          <w:rFonts w:ascii="Times New Roman" w:hAnsi="Times New Roman" w:cs="Times New Roman"/>
        </w:rPr>
        <w:t>cases in which an APR objection was raised failed less often than cases in which a plan was proposed but no objection was raised</w:t>
      </w:r>
      <w:r>
        <w:rPr>
          <w:rFonts w:ascii="Times New Roman" w:hAnsi="Times New Roman" w:cs="Times New Roman"/>
        </w:rPr>
        <w:t xml:space="preserve">. In 2010 and 2013, only </w:t>
      </w:r>
      <w:r w:rsidR="00B11B30">
        <w:rPr>
          <w:rFonts w:ascii="Times New Roman" w:hAnsi="Times New Roman" w:cs="Times New Roman"/>
        </w:rPr>
        <w:t>eight</w:t>
      </w:r>
      <w:r>
        <w:rPr>
          <w:rFonts w:ascii="Times New Roman" w:hAnsi="Times New Roman" w:cs="Times New Roman"/>
        </w:rPr>
        <w:t xml:space="preserve"> of </w:t>
      </w:r>
      <w:r w:rsidR="00B11B30">
        <w:rPr>
          <w:rFonts w:ascii="Times New Roman" w:hAnsi="Times New Roman" w:cs="Times New Roman"/>
        </w:rPr>
        <w:t>twenty-nine</w:t>
      </w:r>
      <w:r>
        <w:rPr>
          <w:rFonts w:ascii="Times New Roman" w:hAnsi="Times New Roman" w:cs="Times New Roman"/>
        </w:rPr>
        <w:t xml:space="preserve"> </w:t>
      </w:r>
      <w:r w:rsidR="00B807A0">
        <w:rPr>
          <w:rFonts w:ascii="Times New Roman" w:hAnsi="Times New Roman" w:cs="Times New Roman"/>
        </w:rPr>
        <w:t xml:space="preserve">cases </w:t>
      </w:r>
      <w:r>
        <w:rPr>
          <w:rFonts w:ascii="Times New Roman" w:hAnsi="Times New Roman" w:cs="Times New Roman"/>
        </w:rPr>
        <w:t>(27.6%) in which an APR objection was raised failed; by comparison, 3</w:t>
      </w:r>
      <w:r w:rsidR="000C3A77">
        <w:rPr>
          <w:rFonts w:ascii="Times New Roman" w:hAnsi="Times New Roman" w:cs="Times New Roman"/>
        </w:rPr>
        <w:t>5</w:t>
      </w:r>
      <w:r>
        <w:rPr>
          <w:rFonts w:ascii="Times New Roman" w:hAnsi="Times New Roman" w:cs="Times New Roman"/>
        </w:rPr>
        <w:t>.2% of cases in which no APR objection was raised failed</w:t>
      </w:r>
      <w:r w:rsidR="00B807A0">
        <w:rPr>
          <w:rFonts w:ascii="Times New Roman" w:hAnsi="Times New Roman" w:cs="Times New Roman"/>
        </w:rPr>
        <w:t>.</w:t>
      </w:r>
      <w:r w:rsidRPr="00B912DC">
        <w:rPr>
          <w:rFonts w:ascii="Times New Roman" w:hAnsi="Times New Roman" w:cs="Times New Roman"/>
        </w:rPr>
        <w:t xml:space="preserve"> Moreover, in only </w:t>
      </w:r>
      <w:r w:rsidR="00B11B30">
        <w:rPr>
          <w:rFonts w:ascii="Times New Roman" w:hAnsi="Times New Roman" w:cs="Times New Roman"/>
        </w:rPr>
        <w:t>one</w:t>
      </w:r>
      <w:r w:rsidRPr="00B912DC">
        <w:rPr>
          <w:rFonts w:ascii="Times New Roman" w:hAnsi="Times New Roman" w:cs="Times New Roman"/>
        </w:rPr>
        <w:t xml:space="preserve"> of the</w:t>
      </w:r>
      <w:r>
        <w:rPr>
          <w:rFonts w:ascii="Times New Roman" w:hAnsi="Times New Roman" w:cs="Times New Roman"/>
        </w:rPr>
        <w:t xml:space="preserve"> </w:t>
      </w:r>
      <w:r w:rsidR="00B11B30">
        <w:rPr>
          <w:rFonts w:ascii="Times New Roman" w:hAnsi="Times New Roman" w:cs="Times New Roman"/>
        </w:rPr>
        <w:t>eight</w:t>
      </w:r>
      <w:r w:rsidRPr="00B912DC">
        <w:rPr>
          <w:rFonts w:ascii="Times New Roman" w:hAnsi="Times New Roman" w:cs="Times New Roman"/>
        </w:rPr>
        <w:t xml:space="preserve"> </w:t>
      </w:r>
      <w:r>
        <w:rPr>
          <w:rFonts w:ascii="Times New Roman" w:hAnsi="Times New Roman" w:cs="Times New Roman"/>
        </w:rPr>
        <w:t xml:space="preserve">failed APR objection </w:t>
      </w:r>
      <w:r w:rsidRPr="00B912DC">
        <w:rPr>
          <w:rFonts w:ascii="Times New Roman" w:hAnsi="Times New Roman" w:cs="Times New Roman"/>
        </w:rPr>
        <w:t>cases did the bankruptcy court definitively identify the absolute priority rule as the reason for plan failure.</w:t>
      </w:r>
      <w:r w:rsidRPr="00B912DC">
        <w:rPr>
          <w:rStyle w:val="FootnoteReference"/>
          <w:rFonts w:ascii="Times New Roman" w:hAnsi="Times New Roman" w:cs="Times New Roman"/>
        </w:rPr>
        <w:footnoteReference w:id="263"/>
      </w:r>
      <w:r w:rsidRPr="00B912DC">
        <w:rPr>
          <w:rFonts w:ascii="Times New Roman" w:hAnsi="Times New Roman" w:cs="Times New Roman"/>
        </w:rPr>
        <w:t xml:space="preserve"> In the other </w:t>
      </w:r>
      <w:r w:rsidR="009B01A6">
        <w:rPr>
          <w:rFonts w:ascii="Times New Roman" w:hAnsi="Times New Roman" w:cs="Times New Roman"/>
        </w:rPr>
        <w:t>seven</w:t>
      </w:r>
      <w:r w:rsidRPr="00B912DC">
        <w:rPr>
          <w:rFonts w:ascii="Times New Roman" w:hAnsi="Times New Roman" w:cs="Times New Roman"/>
        </w:rPr>
        <w:t xml:space="preserve"> cases, the bankruptcy court’s order denying confirmation and/or converting or dismissing the chapter 11 case (1) rested on grounds other than </w:t>
      </w:r>
      <w:r w:rsidR="00B807A0">
        <w:rPr>
          <w:rFonts w:ascii="Times New Roman" w:hAnsi="Times New Roman" w:cs="Times New Roman"/>
        </w:rPr>
        <w:t xml:space="preserve">the </w:t>
      </w:r>
      <w:r w:rsidRPr="00B912DC">
        <w:rPr>
          <w:rFonts w:ascii="Times New Roman" w:hAnsi="Times New Roman" w:cs="Times New Roman"/>
        </w:rPr>
        <w:t>APR,</w:t>
      </w:r>
      <w:r w:rsidRPr="00B912DC">
        <w:rPr>
          <w:rStyle w:val="FootnoteReference"/>
          <w:rFonts w:ascii="Times New Roman" w:hAnsi="Times New Roman" w:cs="Times New Roman"/>
        </w:rPr>
        <w:footnoteReference w:id="264"/>
      </w:r>
      <w:r w:rsidRPr="00B912DC">
        <w:rPr>
          <w:rFonts w:ascii="Times New Roman" w:hAnsi="Times New Roman" w:cs="Times New Roman"/>
        </w:rPr>
        <w:t xml:space="preserve"> (2) provided no reason in the written order for its decision</w:t>
      </w:r>
      <w:r w:rsidR="00B807A0">
        <w:rPr>
          <w:rFonts w:ascii="Times New Roman" w:hAnsi="Times New Roman" w:cs="Times New Roman"/>
        </w:rPr>
        <w:t>,</w:t>
      </w:r>
      <w:r w:rsidRPr="00B912DC">
        <w:rPr>
          <w:rStyle w:val="FootnoteReference"/>
          <w:rFonts w:ascii="Times New Roman" w:hAnsi="Times New Roman" w:cs="Times New Roman"/>
        </w:rPr>
        <w:footnoteReference w:id="265"/>
      </w:r>
      <w:r w:rsidRPr="00B912DC">
        <w:rPr>
          <w:rFonts w:ascii="Times New Roman" w:hAnsi="Times New Roman" w:cs="Times New Roman"/>
        </w:rPr>
        <w:t xml:space="preserve"> or (3) spoke in general terms about the debtor’s failure to propose a confirmable plan.</w:t>
      </w:r>
      <w:r w:rsidRPr="00B912DC">
        <w:rPr>
          <w:rStyle w:val="FootnoteReference"/>
          <w:rFonts w:ascii="Times New Roman" w:hAnsi="Times New Roman" w:cs="Times New Roman"/>
        </w:rPr>
        <w:footnoteReference w:id="266"/>
      </w:r>
    </w:p>
    <w:p w14:paraId="7884DC14" w14:textId="10698886" w:rsidR="00FC38D9" w:rsidRPr="00B912DC" w:rsidRDefault="00FC38D9" w:rsidP="00FC38D9">
      <w:pPr>
        <w:spacing w:line="480" w:lineRule="auto"/>
        <w:rPr>
          <w:rFonts w:ascii="Times New Roman" w:hAnsi="Times New Roman" w:cs="Times New Roman"/>
        </w:rPr>
      </w:pPr>
      <w:r w:rsidRPr="00B912DC">
        <w:rPr>
          <w:rFonts w:ascii="Times New Roman" w:hAnsi="Times New Roman" w:cs="Times New Roman"/>
        </w:rPr>
        <w:tab/>
        <w:t xml:space="preserve">This inability to identify APR as the </w:t>
      </w:r>
      <w:r w:rsidRPr="00B912DC">
        <w:rPr>
          <w:rFonts w:ascii="Times New Roman" w:hAnsi="Times New Roman" w:cs="Times New Roman"/>
          <w:i/>
        </w:rPr>
        <w:t xml:space="preserve">sole </w:t>
      </w:r>
      <w:r w:rsidRPr="00B912DC">
        <w:rPr>
          <w:rFonts w:ascii="Times New Roman" w:hAnsi="Times New Roman" w:cs="Times New Roman"/>
        </w:rPr>
        <w:t>reason for p</w:t>
      </w:r>
      <w:r w:rsidR="00350397">
        <w:rPr>
          <w:rFonts w:ascii="Times New Roman" w:hAnsi="Times New Roman" w:cs="Times New Roman"/>
        </w:rPr>
        <w:t xml:space="preserve">lan failure is not surprising. </w:t>
      </w:r>
      <w:r w:rsidRPr="00B912DC">
        <w:rPr>
          <w:rFonts w:ascii="Times New Roman" w:hAnsi="Times New Roman" w:cs="Times New Roman"/>
        </w:rPr>
        <w:t>The absolute priority rule is rarely the only objection to plan confirmation raised by a creditor</w:t>
      </w:r>
      <w:r w:rsidR="001445D3">
        <w:rPr>
          <w:rFonts w:ascii="Times New Roman" w:hAnsi="Times New Roman" w:cs="Times New Roman"/>
        </w:rPr>
        <w:t xml:space="preserve">, </w:t>
      </w:r>
      <w:r w:rsidRPr="00B912DC">
        <w:rPr>
          <w:rFonts w:ascii="Times New Roman" w:hAnsi="Times New Roman" w:cs="Times New Roman"/>
        </w:rPr>
        <w:t xml:space="preserve">the </w:t>
      </w:r>
      <w:r w:rsidR="00205F4E">
        <w:rPr>
          <w:rFonts w:ascii="Times New Roman" w:hAnsi="Times New Roman" w:cs="Times New Roman"/>
        </w:rPr>
        <w:t>United States Trustee</w:t>
      </w:r>
      <w:r w:rsidR="001445D3">
        <w:rPr>
          <w:rFonts w:ascii="Times New Roman" w:hAnsi="Times New Roman" w:cs="Times New Roman"/>
        </w:rPr>
        <w:t>, or the Bankruptcy Administrator</w:t>
      </w:r>
      <w:r w:rsidRPr="00B912DC">
        <w:rPr>
          <w:rFonts w:ascii="Times New Roman" w:hAnsi="Times New Roman" w:cs="Times New Roman"/>
        </w:rPr>
        <w:t>. For example, in an individual chapter 11 case, a creditor may object to the amount paid to unsecured creditors on the basis of both the absolute priority rule and the disposable income requirement.</w:t>
      </w:r>
      <w:r w:rsidRPr="00B912DC">
        <w:rPr>
          <w:rStyle w:val="FootnoteReference"/>
          <w:rFonts w:ascii="Times New Roman" w:hAnsi="Times New Roman" w:cs="Times New Roman"/>
        </w:rPr>
        <w:footnoteReference w:id="267"/>
      </w:r>
      <w:r w:rsidRPr="00B912DC">
        <w:rPr>
          <w:rFonts w:ascii="Times New Roman" w:hAnsi="Times New Roman" w:cs="Times New Roman"/>
        </w:rPr>
        <w:t xml:space="preserve"> In </w:t>
      </w:r>
      <w:r w:rsidRPr="00B912DC">
        <w:rPr>
          <w:rFonts w:ascii="Times New Roman" w:hAnsi="Times New Roman" w:cs="Times New Roman"/>
          <w:i/>
        </w:rPr>
        <w:t>In re Abraham,</w:t>
      </w:r>
      <w:r w:rsidRPr="00B912DC">
        <w:rPr>
          <w:rStyle w:val="FootnoteReference"/>
          <w:rFonts w:ascii="Times New Roman" w:hAnsi="Times New Roman" w:cs="Times New Roman"/>
        </w:rPr>
        <w:footnoteReference w:id="268"/>
      </w:r>
      <w:r w:rsidRPr="00B912DC">
        <w:rPr>
          <w:rFonts w:ascii="Times New Roman" w:hAnsi="Times New Roman" w:cs="Times New Roman"/>
          <w:i/>
        </w:rPr>
        <w:t xml:space="preserve"> </w:t>
      </w:r>
      <w:r w:rsidRPr="00B912DC">
        <w:rPr>
          <w:rFonts w:ascii="Times New Roman" w:hAnsi="Times New Roman" w:cs="Times New Roman"/>
        </w:rPr>
        <w:t xml:space="preserve">the </w:t>
      </w:r>
      <w:r w:rsidR="00205F4E">
        <w:rPr>
          <w:rFonts w:ascii="Times New Roman" w:hAnsi="Times New Roman" w:cs="Times New Roman"/>
        </w:rPr>
        <w:t>United States Trustee</w:t>
      </w:r>
      <w:r w:rsidRPr="00B912DC">
        <w:rPr>
          <w:rFonts w:ascii="Times New Roman" w:hAnsi="Times New Roman" w:cs="Times New Roman"/>
        </w:rPr>
        <w:t xml:space="preserve"> identified more than twenty problems with the debtor’s proposed plan, including the possibility that the debtor would prove unable to confirm a plan if the unsecured creditor class voted to reject the plan</w:t>
      </w:r>
      <w:r w:rsidR="001445D3">
        <w:rPr>
          <w:rFonts w:ascii="Times New Roman" w:hAnsi="Times New Roman" w:cs="Times New Roman"/>
        </w:rPr>
        <w:t>.</w:t>
      </w:r>
      <w:r w:rsidRPr="00B912DC">
        <w:rPr>
          <w:rStyle w:val="FootnoteReference"/>
          <w:rFonts w:ascii="Times New Roman" w:hAnsi="Times New Roman" w:cs="Times New Roman"/>
        </w:rPr>
        <w:footnoteReference w:id="269"/>
      </w:r>
      <w:r w:rsidRPr="00B912DC">
        <w:rPr>
          <w:rFonts w:ascii="Times New Roman" w:hAnsi="Times New Roman" w:cs="Times New Roman"/>
        </w:rPr>
        <w:t xml:space="preserve"> </w:t>
      </w:r>
    </w:p>
    <w:p w14:paraId="1BFBE7A6" w14:textId="73FDBDBC" w:rsidR="00FC38D9" w:rsidRPr="00B912DC"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 xml:space="preserve">Of the other </w:t>
      </w:r>
      <w:r w:rsidR="009B01A6">
        <w:rPr>
          <w:rFonts w:ascii="Times New Roman" w:hAnsi="Times New Roman" w:cs="Times New Roman"/>
        </w:rPr>
        <w:t>twenty-one</w:t>
      </w:r>
      <w:r w:rsidRPr="00B912DC">
        <w:rPr>
          <w:rFonts w:ascii="Times New Roman" w:hAnsi="Times New Roman" w:cs="Times New Roman"/>
        </w:rPr>
        <w:t xml:space="preserve"> cases in which an APR objection was raised, the bankruptcy court confirmed a plan in </w:t>
      </w:r>
      <w:r w:rsidR="009B01A6">
        <w:rPr>
          <w:rFonts w:ascii="Times New Roman" w:hAnsi="Times New Roman" w:cs="Times New Roman"/>
        </w:rPr>
        <w:t>nineteen</w:t>
      </w:r>
      <w:r w:rsidR="00B807A0">
        <w:rPr>
          <w:rFonts w:ascii="Times New Roman" w:hAnsi="Times New Roman" w:cs="Times New Roman"/>
        </w:rPr>
        <w:t>;</w:t>
      </w:r>
      <w:r w:rsidRPr="00B912DC">
        <w:rPr>
          <w:rFonts w:ascii="Times New Roman" w:hAnsi="Times New Roman" w:cs="Times New Roman"/>
        </w:rPr>
        <w:t xml:space="preserve"> </w:t>
      </w:r>
      <w:r w:rsidR="009B01A6">
        <w:rPr>
          <w:rFonts w:ascii="Times New Roman" w:hAnsi="Times New Roman" w:cs="Times New Roman"/>
        </w:rPr>
        <w:t>two</w:t>
      </w:r>
      <w:r w:rsidRPr="00B912DC">
        <w:rPr>
          <w:rFonts w:ascii="Times New Roman" w:hAnsi="Times New Roman" w:cs="Times New Roman"/>
        </w:rPr>
        <w:t xml:space="preserve"> were still open without a confirmed plan or an order of dismissal or conversion as </w:t>
      </w:r>
      <w:r w:rsidR="009B01A6">
        <w:rPr>
          <w:rFonts w:ascii="Times New Roman" w:hAnsi="Times New Roman" w:cs="Times New Roman"/>
        </w:rPr>
        <w:t xml:space="preserve">of </w:t>
      </w:r>
      <w:r w:rsidRPr="00B912DC">
        <w:rPr>
          <w:rFonts w:ascii="Times New Roman" w:hAnsi="Times New Roman" w:cs="Times New Roman"/>
        </w:rPr>
        <w:t xml:space="preserve">June 1, 2016.  In the vast majority of the </w:t>
      </w:r>
      <w:r w:rsidR="009B01A6">
        <w:rPr>
          <w:rFonts w:ascii="Times New Roman" w:hAnsi="Times New Roman" w:cs="Times New Roman"/>
        </w:rPr>
        <w:t>nineteen</w:t>
      </w:r>
      <w:r w:rsidRPr="00B912DC">
        <w:rPr>
          <w:rFonts w:ascii="Times New Roman" w:hAnsi="Times New Roman" w:cs="Times New Roman"/>
        </w:rPr>
        <w:t xml:space="preserve"> confirmed-plan cases with APR objections, the class of unsecured creditors voted to accept the plan, thereby obviating the need for the debtor to request co</w:t>
      </w:r>
      <w:r w:rsidR="00B807A0">
        <w:rPr>
          <w:rFonts w:ascii="Times New Roman" w:hAnsi="Times New Roman" w:cs="Times New Roman"/>
        </w:rPr>
        <w:t>nfirmation under § </w:t>
      </w:r>
      <w:r w:rsidRPr="00B912DC">
        <w:rPr>
          <w:rFonts w:ascii="Times New Roman" w:hAnsi="Times New Roman" w:cs="Times New Roman"/>
        </w:rPr>
        <w:t>1129(b)(2)(B).</w:t>
      </w:r>
      <w:r w:rsidRPr="00B912DC">
        <w:rPr>
          <w:rStyle w:val="FootnoteReference"/>
          <w:rFonts w:ascii="Times New Roman" w:hAnsi="Times New Roman" w:cs="Times New Roman"/>
        </w:rPr>
        <w:footnoteReference w:id="270"/>
      </w:r>
      <w:r w:rsidRPr="00B912DC">
        <w:rPr>
          <w:rFonts w:ascii="Times New Roman" w:hAnsi="Times New Roman" w:cs="Times New Roman"/>
        </w:rPr>
        <w:t xml:space="preserve">  </w:t>
      </w:r>
    </w:p>
    <w:p w14:paraId="6864C251" w14:textId="1529F1E3" w:rsidR="009B01A6" w:rsidRPr="00B52EA0"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Given the small number of failed cases with APR objections and the difficulty of identifying the reason for plan failure among the cases in the random sample, we are unable to conclude for individual chapter 11 debtors that the absolute priority rule is a substantial barrier to plan confirmation once a plan is proposed. Of course, the APR rule could have effects in the shadows, discouraging some debtors from filing a plan or from filing for bankruptcy at all.</w:t>
      </w:r>
      <w:r w:rsidR="002B4100">
        <w:rPr>
          <w:rStyle w:val="FootnoteReference"/>
          <w:rFonts w:ascii="Times New Roman" w:hAnsi="Times New Roman" w:cs="Times New Roman"/>
        </w:rPr>
        <w:footnoteReference w:id="271"/>
      </w:r>
    </w:p>
    <w:p w14:paraId="59F8EDAB" w14:textId="4219C2D1" w:rsidR="00FC38D9" w:rsidRPr="00B912DC" w:rsidRDefault="009B01A6" w:rsidP="00FC38D9">
      <w:pPr>
        <w:spacing w:line="480" w:lineRule="auto"/>
        <w:ind w:firstLine="720"/>
        <w:rPr>
          <w:rFonts w:ascii="Times New Roman" w:hAnsi="Times New Roman" w:cs="Times New Roman"/>
        </w:rPr>
      </w:pPr>
      <w:r>
        <w:rPr>
          <w:rFonts w:ascii="Times New Roman" w:hAnsi="Times New Roman" w:cs="Times New Roman"/>
        </w:rPr>
        <w:t>W</w:t>
      </w:r>
      <w:r w:rsidR="00FC38D9" w:rsidRPr="00B912DC">
        <w:rPr>
          <w:rFonts w:ascii="Times New Roman" w:hAnsi="Times New Roman" w:cs="Times New Roman"/>
        </w:rPr>
        <w:t>e found more direct evidence that the APR has some impact on the amount that the debtor pays under the plan</w:t>
      </w:r>
      <w:r>
        <w:rPr>
          <w:rFonts w:ascii="Times New Roman" w:hAnsi="Times New Roman" w:cs="Times New Roman"/>
        </w:rPr>
        <w:t xml:space="preserve">, with objections </w:t>
      </w:r>
      <w:r w:rsidR="00B52EA0">
        <w:rPr>
          <w:rFonts w:ascii="Times New Roman" w:hAnsi="Times New Roman" w:cs="Times New Roman"/>
        </w:rPr>
        <w:t xml:space="preserve">by unsecured creditors at times </w:t>
      </w:r>
      <w:r>
        <w:rPr>
          <w:rFonts w:ascii="Times New Roman" w:hAnsi="Times New Roman" w:cs="Times New Roman"/>
        </w:rPr>
        <w:t>resulting</w:t>
      </w:r>
      <w:r w:rsidR="00FC38D9" w:rsidRPr="00B912DC">
        <w:rPr>
          <w:rFonts w:ascii="Times New Roman" w:hAnsi="Times New Roman" w:cs="Times New Roman"/>
        </w:rPr>
        <w:t xml:space="preserve"> in more favorable recovery for the class of unsecured creditors. For example, in </w:t>
      </w:r>
      <w:r w:rsidR="00FC38D9" w:rsidRPr="00B912DC">
        <w:rPr>
          <w:rFonts w:ascii="Times New Roman" w:hAnsi="Times New Roman" w:cs="Times New Roman"/>
          <w:i/>
        </w:rPr>
        <w:t>In re Stickler,</w:t>
      </w:r>
      <w:r w:rsidR="00FC38D9" w:rsidRPr="00B912DC">
        <w:rPr>
          <w:rStyle w:val="FootnoteReference"/>
          <w:rFonts w:ascii="Times New Roman" w:hAnsi="Times New Roman" w:cs="Times New Roman"/>
        </w:rPr>
        <w:footnoteReference w:id="272"/>
      </w:r>
      <w:r w:rsidR="00FC38D9" w:rsidRPr="00B912DC">
        <w:rPr>
          <w:rFonts w:ascii="Times New Roman" w:hAnsi="Times New Roman" w:cs="Times New Roman"/>
          <w:i/>
        </w:rPr>
        <w:t xml:space="preserve"> </w:t>
      </w:r>
      <w:r w:rsidR="00FC38D9" w:rsidRPr="00B912DC">
        <w:rPr>
          <w:rFonts w:ascii="Times New Roman" w:hAnsi="Times New Roman" w:cs="Times New Roman"/>
        </w:rPr>
        <w:t>the debtor initially proposed paying his unsecured creditors a total of $160,000 at 4% interest over seven years.</w:t>
      </w:r>
      <w:r w:rsidR="00FC38D9" w:rsidRPr="00B912DC">
        <w:rPr>
          <w:rStyle w:val="FootnoteReference"/>
          <w:rFonts w:ascii="Times New Roman" w:hAnsi="Times New Roman" w:cs="Times New Roman"/>
        </w:rPr>
        <w:footnoteReference w:id="273"/>
      </w:r>
      <w:r w:rsidR="00FC38D9" w:rsidRPr="00B912DC">
        <w:rPr>
          <w:rFonts w:ascii="Times New Roman" w:hAnsi="Times New Roman" w:cs="Times New Roman"/>
        </w:rPr>
        <w:t xml:space="preserve"> Several unsecured creditors objected on the grounds that the debtor had non-exempt assets whose value was not being paid to the unsecured creditors, and that the debtor would “continue[] to live in his $1,000,000 house” </w:t>
      </w:r>
      <w:r>
        <w:rPr>
          <w:rFonts w:ascii="Times New Roman" w:hAnsi="Times New Roman" w:cs="Times New Roman"/>
        </w:rPr>
        <w:t>during that seven-year period</w:t>
      </w:r>
      <w:r w:rsidR="00FC38D9" w:rsidRPr="00B912DC">
        <w:rPr>
          <w:rFonts w:ascii="Times New Roman" w:hAnsi="Times New Roman" w:cs="Times New Roman"/>
        </w:rPr>
        <w:t>.</w:t>
      </w:r>
      <w:r w:rsidR="00FC38D9" w:rsidRPr="00B912DC">
        <w:rPr>
          <w:rStyle w:val="FootnoteReference"/>
          <w:rFonts w:ascii="Times New Roman" w:hAnsi="Times New Roman" w:cs="Times New Roman"/>
        </w:rPr>
        <w:footnoteReference w:id="274"/>
      </w:r>
      <w:r w:rsidR="00FC38D9" w:rsidRPr="00B912DC">
        <w:rPr>
          <w:rFonts w:ascii="Times New Roman" w:hAnsi="Times New Roman" w:cs="Times New Roman"/>
        </w:rPr>
        <w:t xml:space="preserve"> The debtor modified the plan to pay his unsecured creditors $231,000 without interest over five years,</w:t>
      </w:r>
      <w:r w:rsidR="00FC38D9" w:rsidRPr="00B912DC">
        <w:rPr>
          <w:rStyle w:val="FootnoteReference"/>
          <w:rFonts w:ascii="Times New Roman" w:hAnsi="Times New Roman" w:cs="Times New Roman"/>
        </w:rPr>
        <w:footnoteReference w:id="275"/>
      </w:r>
      <w:r w:rsidR="00FC38D9" w:rsidRPr="00B912DC">
        <w:rPr>
          <w:rFonts w:ascii="Times New Roman" w:hAnsi="Times New Roman" w:cs="Times New Roman"/>
        </w:rPr>
        <w:t xml:space="preserve"> and the unsecured creditor class voted to accept the plan.</w:t>
      </w:r>
      <w:r w:rsidR="00FC38D9" w:rsidRPr="00B912DC">
        <w:rPr>
          <w:rStyle w:val="FootnoteReference"/>
          <w:rFonts w:ascii="Times New Roman" w:hAnsi="Times New Roman" w:cs="Times New Roman"/>
        </w:rPr>
        <w:footnoteReference w:id="276"/>
      </w:r>
      <w:r w:rsidR="00FC38D9" w:rsidRPr="00B912DC">
        <w:rPr>
          <w:rFonts w:ascii="Times New Roman" w:hAnsi="Times New Roman" w:cs="Times New Roman"/>
        </w:rPr>
        <w:t xml:space="preserve">  </w:t>
      </w:r>
    </w:p>
    <w:p w14:paraId="3DC29A9A" w14:textId="1CA2D9EA" w:rsidR="00FC38D9" w:rsidRPr="00B912DC"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General unsecured creditors, however, filed only a small proportion of the APR-based objections in cases with</w:t>
      </w:r>
      <w:r w:rsidR="00350397">
        <w:rPr>
          <w:rFonts w:ascii="Times New Roman" w:hAnsi="Times New Roman" w:cs="Times New Roman"/>
        </w:rPr>
        <w:t xml:space="preserve"> confirmed plans.</w:t>
      </w:r>
      <w:r w:rsidRPr="00B912DC">
        <w:rPr>
          <w:rFonts w:ascii="Times New Roman" w:hAnsi="Times New Roman" w:cs="Times New Roman"/>
        </w:rPr>
        <w:t xml:space="preserve"> Under</w:t>
      </w:r>
      <w:r w:rsidR="00B52EA0">
        <w:rPr>
          <w:rFonts w:ascii="Times New Roman" w:hAnsi="Times New Roman" w:cs="Times New Roman"/>
        </w:rPr>
        <w:t>-</w:t>
      </w:r>
      <w:r w:rsidRPr="00B912DC">
        <w:rPr>
          <w:rFonts w:ascii="Times New Roman" w:hAnsi="Times New Roman" w:cs="Times New Roman"/>
        </w:rPr>
        <w:t xml:space="preserve">secured creditors were far more likely to object on the basis of the APR than their </w:t>
      </w:r>
      <w:r w:rsidR="00350397">
        <w:rPr>
          <w:rFonts w:ascii="Times New Roman" w:hAnsi="Times New Roman" w:cs="Times New Roman"/>
        </w:rPr>
        <w:t>wholly unsecured counterparts.</w:t>
      </w:r>
      <w:r w:rsidRPr="00B912DC">
        <w:rPr>
          <w:rFonts w:ascii="Times New Roman" w:hAnsi="Times New Roman" w:cs="Times New Roman"/>
        </w:rPr>
        <w:t xml:space="preserve"> What is interesting </w:t>
      </w:r>
      <w:r w:rsidR="009B01A6">
        <w:rPr>
          <w:rFonts w:ascii="Times New Roman" w:hAnsi="Times New Roman" w:cs="Times New Roman"/>
        </w:rPr>
        <w:t>is that APR objections by under</w:t>
      </w:r>
      <w:r w:rsidR="00B52EA0">
        <w:rPr>
          <w:rFonts w:ascii="Times New Roman" w:hAnsi="Times New Roman" w:cs="Times New Roman"/>
        </w:rPr>
        <w:t>-</w:t>
      </w:r>
      <w:r w:rsidRPr="00B912DC">
        <w:rPr>
          <w:rFonts w:ascii="Times New Roman" w:hAnsi="Times New Roman" w:cs="Times New Roman"/>
        </w:rPr>
        <w:t xml:space="preserve">secured creditors did not always result in an increase in the dividend paid to the class of unsecured creditors. For example, </w:t>
      </w:r>
      <w:r w:rsidR="00B807A0">
        <w:rPr>
          <w:rFonts w:ascii="Times New Roman" w:hAnsi="Times New Roman" w:cs="Times New Roman"/>
        </w:rPr>
        <w:t>i</w:t>
      </w:r>
      <w:r w:rsidRPr="00B912DC">
        <w:rPr>
          <w:rFonts w:ascii="Times New Roman" w:hAnsi="Times New Roman" w:cs="Times New Roman"/>
        </w:rPr>
        <w:t xml:space="preserve">n </w:t>
      </w:r>
      <w:r w:rsidRPr="00B912DC">
        <w:rPr>
          <w:rFonts w:ascii="Times New Roman" w:hAnsi="Times New Roman" w:cs="Times New Roman"/>
          <w:i/>
        </w:rPr>
        <w:t>In re Robles</w:t>
      </w:r>
      <w:r w:rsidR="00350397">
        <w:rPr>
          <w:rFonts w:ascii="Times New Roman" w:hAnsi="Times New Roman" w:cs="Times New Roman"/>
          <w:i/>
        </w:rPr>
        <w:t>,</w:t>
      </w:r>
      <w:r w:rsidRPr="00B912DC">
        <w:rPr>
          <w:rStyle w:val="FootnoteReference"/>
          <w:rFonts w:ascii="Times New Roman" w:hAnsi="Times New Roman" w:cs="Times New Roman"/>
        </w:rPr>
        <w:footnoteReference w:id="277"/>
      </w:r>
      <w:r w:rsidR="009B01A6">
        <w:rPr>
          <w:rFonts w:ascii="Times New Roman" w:hAnsi="Times New Roman" w:cs="Times New Roman"/>
        </w:rPr>
        <w:t xml:space="preserve"> Wells Fargo—</w:t>
      </w:r>
      <w:r w:rsidR="00C16004">
        <w:rPr>
          <w:rFonts w:ascii="Times New Roman" w:hAnsi="Times New Roman" w:cs="Times New Roman"/>
        </w:rPr>
        <w:t xml:space="preserve">the holder of </w:t>
      </w:r>
      <w:r w:rsidRPr="00B912DC">
        <w:rPr>
          <w:rFonts w:ascii="Times New Roman" w:hAnsi="Times New Roman" w:cs="Times New Roman"/>
        </w:rPr>
        <w:t>an under</w:t>
      </w:r>
      <w:r w:rsidR="00B52EA0">
        <w:rPr>
          <w:rFonts w:ascii="Times New Roman" w:hAnsi="Times New Roman" w:cs="Times New Roman"/>
        </w:rPr>
        <w:t>-</w:t>
      </w:r>
      <w:r w:rsidRPr="00B912DC">
        <w:rPr>
          <w:rFonts w:ascii="Times New Roman" w:hAnsi="Times New Roman" w:cs="Times New Roman"/>
        </w:rPr>
        <w:t xml:space="preserve">secured first mortgage on a parcel of </w:t>
      </w:r>
      <w:r w:rsidR="00C16004">
        <w:rPr>
          <w:rFonts w:ascii="Times New Roman" w:hAnsi="Times New Roman" w:cs="Times New Roman"/>
        </w:rPr>
        <w:t xml:space="preserve">the debtor’s </w:t>
      </w:r>
      <w:r w:rsidR="009B01A6">
        <w:rPr>
          <w:rFonts w:ascii="Times New Roman" w:hAnsi="Times New Roman" w:cs="Times New Roman"/>
        </w:rPr>
        <w:t>real property—</w:t>
      </w:r>
      <w:r w:rsidRPr="00B912DC">
        <w:rPr>
          <w:rFonts w:ascii="Times New Roman" w:hAnsi="Times New Roman" w:cs="Times New Roman"/>
        </w:rPr>
        <w:t>objected to the debtor’s plan on a number of grounds, including the absolute priority rule.</w:t>
      </w:r>
      <w:r w:rsidRPr="00B912DC">
        <w:rPr>
          <w:rStyle w:val="FootnoteReference"/>
          <w:rFonts w:ascii="Times New Roman" w:hAnsi="Times New Roman" w:cs="Times New Roman"/>
        </w:rPr>
        <w:footnoteReference w:id="278"/>
      </w:r>
      <w:r w:rsidRPr="00B912DC">
        <w:rPr>
          <w:rFonts w:ascii="Times New Roman" w:hAnsi="Times New Roman" w:cs="Times New Roman"/>
        </w:rPr>
        <w:t xml:space="preserve"> </w:t>
      </w:r>
      <w:r w:rsidR="00B807A0">
        <w:rPr>
          <w:rFonts w:ascii="Times New Roman" w:hAnsi="Times New Roman" w:cs="Times New Roman"/>
        </w:rPr>
        <w:t>The d</w:t>
      </w:r>
      <w:r w:rsidRPr="00B912DC">
        <w:rPr>
          <w:rFonts w:ascii="Times New Roman" w:hAnsi="Times New Roman" w:cs="Times New Roman"/>
        </w:rPr>
        <w:t xml:space="preserve">ebtor’s originally-filed plan valued Wells Fargo’s secured claim at </w:t>
      </w:r>
      <w:r w:rsidR="009B01A6">
        <w:rPr>
          <w:rFonts w:ascii="Times New Roman" w:hAnsi="Times New Roman" w:cs="Times New Roman"/>
        </w:rPr>
        <w:t>$143, 420, with payments over thirty</w:t>
      </w:r>
      <w:r w:rsidRPr="00B912DC">
        <w:rPr>
          <w:rFonts w:ascii="Times New Roman" w:hAnsi="Times New Roman" w:cs="Times New Roman"/>
        </w:rPr>
        <w:t xml:space="preserve"> years at 3% interest.</w:t>
      </w:r>
      <w:r w:rsidRPr="00B912DC">
        <w:rPr>
          <w:rStyle w:val="FootnoteReference"/>
          <w:rFonts w:ascii="Times New Roman" w:hAnsi="Times New Roman" w:cs="Times New Roman"/>
        </w:rPr>
        <w:footnoteReference w:id="279"/>
      </w:r>
      <w:r w:rsidRPr="00B912DC">
        <w:rPr>
          <w:rFonts w:ascii="Times New Roman" w:hAnsi="Times New Roman" w:cs="Times New Roman"/>
        </w:rPr>
        <w:t xml:space="preserve">  Even though the bankruptcy court did not conduct a valuation hearing, the confirmed plan valued Wells Fargo’s secured claim at $152,000</w:t>
      </w:r>
      <w:r w:rsidR="009B01A6">
        <w:rPr>
          <w:rFonts w:ascii="Times New Roman" w:hAnsi="Times New Roman" w:cs="Times New Roman"/>
        </w:rPr>
        <w:t>, with payments to occur over thirty</w:t>
      </w:r>
      <w:r w:rsidRPr="00B912DC">
        <w:rPr>
          <w:rFonts w:ascii="Times New Roman" w:hAnsi="Times New Roman" w:cs="Times New Roman"/>
        </w:rPr>
        <w:t xml:space="preserve"> years at 5% interest.</w:t>
      </w:r>
      <w:r w:rsidRPr="00B912DC">
        <w:rPr>
          <w:rStyle w:val="FootnoteReference"/>
          <w:rFonts w:ascii="Times New Roman" w:hAnsi="Times New Roman" w:cs="Times New Roman"/>
        </w:rPr>
        <w:footnoteReference w:id="280"/>
      </w:r>
      <w:r w:rsidRPr="00B912DC">
        <w:rPr>
          <w:rFonts w:ascii="Times New Roman" w:hAnsi="Times New Roman" w:cs="Times New Roman"/>
        </w:rPr>
        <w:t xml:space="preserve">  The debtor did not increase the dividend paid to unsecured creditors.</w:t>
      </w:r>
      <w:r w:rsidRPr="00B912DC">
        <w:rPr>
          <w:rStyle w:val="FootnoteReference"/>
          <w:rFonts w:ascii="Times New Roman" w:hAnsi="Times New Roman" w:cs="Times New Roman"/>
        </w:rPr>
        <w:footnoteReference w:id="281"/>
      </w:r>
    </w:p>
    <w:p w14:paraId="5DB1BEDE" w14:textId="6CC6F922" w:rsidR="00FC38D9"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 xml:space="preserve">In </w:t>
      </w:r>
      <w:r w:rsidRPr="00B912DC">
        <w:rPr>
          <w:rFonts w:ascii="Times New Roman" w:hAnsi="Times New Roman" w:cs="Times New Roman"/>
          <w:i/>
        </w:rPr>
        <w:t>In re Chavez</w:t>
      </w:r>
      <w:r w:rsidRPr="00A82B81">
        <w:rPr>
          <w:rFonts w:ascii="Times New Roman" w:hAnsi="Times New Roman" w:cs="Times New Roman"/>
        </w:rPr>
        <w:t>,</w:t>
      </w:r>
      <w:r w:rsidRPr="00A82B81">
        <w:rPr>
          <w:rStyle w:val="FootnoteReference"/>
          <w:rFonts w:ascii="Times New Roman" w:hAnsi="Times New Roman" w:cs="Times New Roman"/>
        </w:rPr>
        <w:footnoteReference w:id="282"/>
      </w:r>
      <w:r w:rsidRPr="00B912DC">
        <w:rPr>
          <w:rFonts w:ascii="Times New Roman" w:hAnsi="Times New Roman" w:cs="Times New Roman"/>
          <w:i/>
        </w:rPr>
        <w:t xml:space="preserve"> </w:t>
      </w:r>
      <w:r w:rsidRPr="00B912DC">
        <w:rPr>
          <w:rFonts w:ascii="Times New Roman" w:hAnsi="Times New Roman" w:cs="Times New Roman"/>
        </w:rPr>
        <w:t>both Wells Fargo and Deutsche Bank ended up with improved plan treatment of their secured claims after object</w:t>
      </w:r>
      <w:r w:rsidR="00C16004">
        <w:rPr>
          <w:rFonts w:ascii="Times New Roman" w:hAnsi="Times New Roman" w:cs="Times New Roman"/>
        </w:rPr>
        <w:t>ing</w:t>
      </w:r>
      <w:r w:rsidRPr="00B912DC">
        <w:rPr>
          <w:rFonts w:ascii="Times New Roman" w:hAnsi="Times New Roman" w:cs="Times New Roman"/>
        </w:rPr>
        <w:t xml:space="preserve"> to the debtor’s plan, in part on the basis of the absolute priority rule. The debtor and Wells Fargo entered into two stipulations in which the debtor agreed to increase the value </w:t>
      </w:r>
      <w:r w:rsidR="00C16004">
        <w:rPr>
          <w:rFonts w:ascii="Times New Roman" w:hAnsi="Times New Roman" w:cs="Times New Roman"/>
        </w:rPr>
        <w:t xml:space="preserve">of </w:t>
      </w:r>
      <w:r w:rsidRPr="00B912DC">
        <w:rPr>
          <w:rFonts w:ascii="Times New Roman" w:hAnsi="Times New Roman" w:cs="Times New Roman"/>
        </w:rPr>
        <w:t>Wells Fargo’s secured claim from $185,000 to $270,000 on one piece of real property, and from $95,000 to $99,000 on another.</w:t>
      </w:r>
      <w:r w:rsidRPr="00B912DC">
        <w:rPr>
          <w:rStyle w:val="FootnoteReference"/>
          <w:rFonts w:ascii="Times New Roman" w:hAnsi="Times New Roman" w:cs="Times New Roman"/>
        </w:rPr>
        <w:footnoteReference w:id="283"/>
      </w:r>
      <w:r w:rsidRPr="00B912DC">
        <w:rPr>
          <w:rFonts w:ascii="Times New Roman" w:hAnsi="Times New Roman" w:cs="Times New Roman"/>
        </w:rPr>
        <w:t xml:space="preserve"> </w:t>
      </w:r>
      <w:r w:rsidR="009B01A6">
        <w:rPr>
          <w:rFonts w:ascii="Times New Roman" w:hAnsi="Times New Roman" w:cs="Times New Roman"/>
        </w:rPr>
        <w:t>In addition, t</w:t>
      </w:r>
      <w:r w:rsidRPr="00B912DC">
        <w:rPr>
          <w:rFonts w:ascii="Times New Roman" w:hAnsi="Times New Roman" w:cs="Times New Roman"/>
        </w:rPr>
        <w:t xml:space="preserve">he debtor increased the interest rate paid on Wells Fargo’s secured claims from 3% to 4% in one </w:t>
      </w:r>
      <w:r w:rsidR="009B01A6">
        <w:rPr>
          <w:rFonts w:ascii="Times New Roman" w:hAnsi="Times New Roman" w:cs="Times New Roman"/>
        </w:rPr>
        <w:t xml:space="preserve">instance </w:t>
      </w:r>
      <w:r w:rsidRPr="00B912DC">
        <w:rPr>
          <w:rFonts w:ascii="Times New Roman" w:hAnsi="Times New Roman" w:cs="Times New Roman"/>
        </w:rPr>
        <w:t>and from 3% to 4.5% in another.</w:t>
      </w:r>
      <w:r w:rsidRPr="00B912DC">
        <w:rPr>
          <w:rStyle w:val="FootnoteReference"/>
          <w:rFonts w:ascii="Times New Roman" w:hAnsi="Times New Roman" w:cs="Times New Roman"/>
        </w:rPr>
        <w:footnoteReference w:id="284"/>
      </w:r>
      <w:r w:rsidRPr="00B912DC">
        <w:rPr>
          <w:rFonts w:ascii="Times New Roman" w:hAnsi="Times New Roman" w:cs="Times New Roman"/>
        </w:rPr>
        <w:t xml:space="preserve"> The debtor also entered into two stipulations with Deutsche Bank in which the debtor agreed to increase the value of Deutsche Bank’s secured claim on one piece of real property from $110,000 to $154,000, and from</w:t>
      </w:r>
      <w:r w:rsidR="009B01A6">
        <w:rPr>
          <w:rFonts w:ascii="Times New Roman" w:hAnsi="Times New Roman" w:cs="Times New Roman"/>
        </w:rPr>
        <w:t xml:space="preserve"> $83,000 to $91,000 on another.</w:t>
      </w:r>
      <w:r w:rsidRPr="00B912DC">
        <w:rPr>
          <w:rStyle w:val="FootnoteReference"/>
          <w:rFonts w:ascii="Times New Roman" w:hAnsi="Times New Roman" w:cs="Times New Roman"/>
        </w:rPr>
        <w:footnoteReference w:id="285"/>
      </w:r>
      <w:r w:rsidRPr="00B912DC">
        <w:rPr>
          <w:rFonts w:ascii="Times New Roman" w:hAnsi="Times New Roman" w:cs="Times New Roman"/>
        </w:rPr>
        <w:t xml:space="preserve"> The debtor increased the interest rate paid on those secured claims from 3% to 4% on one clai</w:t>
      </w:r>
      <w:r w:rsidR="003E1E45">
        <w:rPr>
          <w:rFonts w:ascii="Times New Roman" w:hAnsi="Times New Roman" w:cs="Times New Roman"/>
        </w:rPr>
        <w:t>m and from 3% to 5% on another.</w:t>
      </w:r>
      <w:r w:rsidRPr="00B912DC">
        <w:rPr>
          <w:rStyle w:val="FootnoteReference"/>
          <w:rFonts w:ascii="Times New Roman" w:hAnsi="Times New Roman" w:cs="Times New Roman"/>
        </w:rPr>
        <w:footnoteReference w:id="286"/>
      </w:r>
      <w:r w:rsidRPr="00B912DC">
        <w:rPr>
          <w:rFonts w:ascii="Times New Roman" w:hAnsi="Times New Roman" w:cs="Times New Roman"/>
        </w:rPr>
        <w:t xml:space="preserve"> </w:t>
      </w:r>
      <w:r w:rsidR="00C16004">
        <w:rPr>
          <w:rFonts w:ascii="Times New Roman" w:hAnsi="Times New Roman" w:cs="Times New Roman"/>
        </w:rPr>
        <w:t>Thus, objections by under</w:t>
      </w:r>
      <w:r w:rsidR="00B52EA0">
        <w:rPr>
          <w:rFonts w:ascii="Times New Roman" w:hAnsi="Times New Roman" w:cs="Times New Roman"/>
        </w:rPr>
        <w:t>-</w:t>
      </w:r>
      <w:r w:rsidR="00C16004">
        <w:rPr>
          <w:rFonts w:ascii="Times New Roman" w:hAnsi="Times New Roman" w:cs="Times New Roman"/>
        </w:rPr>
        <w:t>secured creditors, partly</w:t>
      </w:r>
      <w:r w:rsidRPr="00B912DC">
        <w:rPr>
          <w:rFonts w:ascii="Times New Roman" w:hAnsi="Times New Roman" w:cs="Times New Roman"/>
        </w:rPr>
        <w:t xml:space="preserve"> on the basis of the absolute priority rule, </w:t>
      </w:r>
      <w:r w:rsidR="00C16004">
        <w:rPr>
          <w:rFonts w:ascii="Times New Roman" w:hAnsi="Times New Roman" w:cs="Times New Roman"/>
        </w:rPr>
        <w:t xml:space="preserve">did not lead to an increased </w:t>
      </w:r>
      <w:r w:rsidRPr="00B912DC">
        <w:rPr>
          <w:rFonts w:ascii="Times New Roman" w:hAnsi="Times New Roman" w:cs="Times New Roman"/>
        </w:rPr>
        <w:t xml:space="preserve">dividend </w:t>
      </w:r>
      <w:r w:rsidR="00C16004">
        <w:rPr>
          <w:rFonts w:ascii="Times New Roman" w:hAnsi="Times New Roman" w:cs="Times New Roman"/>
        </w:rPr>
        <w:t>for</w:t>
      </w:r>
      <w:r w:rsidRPr="00B912DC">
        <w:rPr>
          <w:rFonts w:ascii="Times New Roman" w:hAnsi="Times New Roman" w:cs="Times New Roman"/>
        </w:rPr>
        <w:t xml:space="preserve"> unsecured creditors.</w:t>
      </w:r>
      <w:r w:rsidRPr="00B912DC">
        <w:rPr>
          <w:rStyle w:val="FootnoteReference"/>
          <w:rFonts w:ascii="Times New Roman" w:hAnsi="Times New Roman" w:cs="Times New Roman"/>
        </w:rPr>
        <w:footnoteReference w:id="287"/>
      </w:r>
      <w:r w:rsidRPr="00B912DC">
        <w:rPr>
          <w:rFonts w:ascii="Times New Roman" w:hAnsi="Times New Roman" w:cs="Times New Roman"/>
        </w:rPr>
        <w:t xml:space="preserve">   </w:t>
      </w:r>
    </w:p>
    <w:p w14:paraId="06F43F2A" w14:textId="3E5ACF38" w:rsidR="00FC38D9" w:rsidRPr="00030240" w:rsidRDefault="00FC38D9" w:rsidP="00FC38D9">
      <w:pPr>
        <w:pStyle w:val="ListParagraph"/>
        <w:keepNext/>
        <w:numPr>
          <w:ilvl w:val="0"/>
          <w:numId w:val="19"/>
        </w:numPr>
        <w:spacing w:line="480" w:lineRule="auto"/>
        <w:ind w:left="720" w:hanging="720"/>
        <w:rPr>
          <w:rFonts w:ascii="Times New Roman" w:hAnsi="Times New Roman" w:cs="Times New Roman"/>
          <w:b/>
        </w:rPr>
      </w:pPr>
      <w:r w:rsidRPr="00030240">
        <w:rPr>
          <w:rFonts w:ascii="Times New Roman" w:hAnsi="Times New Roman" w:cs="Times New Roman"/>
          <w:b/>
        </w:rPr>
        <w:t>Timely Disposi</w:t>
      </w:r>
      <w:r>
        <w:rPr>
          <w:rFonts w:ascii="Times New Roman" w:hAnsi="Times New Roman" w:cs="Times New Roman"/>
          <w:b/>
        </w:rPr>
        <w:t>tion</w:t>
      </w:r>
      <w:r w:rsidRPr="00030240">
        <w:rPr>
          <w:rFonts w:ascii="Times New Roman" w:hAnsi="Times New Roman" w:cs="Times New Roman"/>
          <w:b/>
        </w:rPr>
        <w:t xml:space="preserve"> of Cases</w:t>
      </w:r>
    </w:p>
    <w:p w14:paraId="6327F30A" w14:textId="5D6698B6" w:rsidR="00FC38D9" w:rsidRPr="009074FB" w:rsidRDefault="007E4F0D" w:rsidP="00FC38D9">
      <w:pPr>
        <w:spacing w:line="480" w:lineRule="auto"/>
        <w:ind w:firstLine="720"/>
        <w:rPr>
          <w:rFonts w:ascii="Times New Roman" w:hAnsi="Times New Roman" w:cs="Times New Roman"/>
        </w:rPr>
      </w:pPr>
      <w:r>
        <w:rPr>
          <w:rFonts w:ascii="Times New Roman" w:hAnsi="Times New Roman" w:cs="Times New Roman"/>
        </w:rPr>
        <w:t xml:space="preserve">In this Section, we evaluate success by looking at how expeditiously cases move through the chapter 11 system. </w:t>
      </w:r>
      <w:r w:rsidR="00FC38D9">
        <w:rPr>
          <w:rFonts w:ascii="Times New Roman" w:hAnsi="Times New Roman" w:cs="Times New Roman"/>
        </w:rPr>
        <w:t>S</w:t>
      </w:r>
      <w:r w:rsidR="00FC38D9" w:rsidRPr="009074FB">
        <w:rPr>
          <w:rFonts w:ascii="Times New Roman" w:hAnsi="Times New Roman" w:cs="Times New Roman"/>
        </w:rPr>
        <w:t xml:space="preserve">cholars have pointed out that a good bankruptcy system will sort between cases that should be reorganized and those that should not, </w:t>
      </w:r>
      <w:r w:rsidR="0092459A" w:rsidRPr="009074FB">
        <w:rPr>
          <w:rFonts w:ascii="Times New Roman" w:hAnsi="Times New Roman" w:cs="Times New Roman"/>
        </w:rPr>
        <w:t xml:space="preserve">quickly </w:t>
      </w:r>
      <w:r w:rsidR="00FC38D9" w:rsidRPr="009074FB">
        <w:rPr>
          <w:rFonts w:ascii="Times New Roman" w:hAnsi="Times New Roman" w:cs="Times New Roman"/>
        </w:rPr>
        <w:t>dismissing the latter</w:t>
      </w:r>
      <w:r w:rsidR="00E46602">
        <w:rPr>
          <w:rFonts w:ascii="Times New Roman" w:hAnsi="Times New Roman" w:cs="Times New Roman"/>
        </w:rPr>
        <w:t>.</w:t>
      </w:r>
      <w:r w:rsidR="00FC38D9" w:rsidRPr="00B912DC">
        <w:rPr>
          <w:rStyle w:val="FootnoteReference"/>
          <w:rFonts w:ascii="Times New Roman" w:hAnsi="Times New Roman" w:cs="Times New Roman"/>
        </w:rPr>
        <w:footnoteReference w:id="288"/>
      </w:r>
      <w:r w:rsidR="00FC38D9" w:rsidRPr="009074FB">
        <w:rPr>
          <w:rFonts w:ascii="Times New Roman" w:hAnsi="Times New Roman" w:cs="Times New Roman"/>
        </w:rPr>
        <w:t xml:space="preserve"> Morrison examined ninety-one cases filed in 1998 in the Northern District of Illinois by corporations that: 1) were not single-asset real estate cases, 2) were not using chapter 11 to sell assets or settle a dispute with a particular creditor, 3) were not “dead on arrival,” 4) were not publicly traded, 5</w:t>
      </w:r>
      <w:r w:rsidR="00C16004">
        <w:rPr>
          <w:rFonts w:ascii="Times New Roman" w:hAnsi="Times New Roman" w:cs="Times New Roman"/>
        </w:rPr>
        <w:t>)</w:t>
      </w:r>
      <w:r w:rsidR="00FC38D9" w:rsidRPr="009074FB">
        <w:rPr>
          <w:rFonts w:ascii="Times New Roman" w:hAnsi="Times New Roman" w:cs="Times New Roman"/>
        </w:rPr>
        <w:t xml:space="preserve"> did not lack sufficient information, and 6) were not pushed into bankruptcy involuntarily.</w:t>
      </w:r>
      <w:r w:rsidR="00FC38D9" w:rsidRPr="00B912DC">
        <w:rPr>
          <w:rStyle w:val="FootnoteReference"/>
          <w:rFonts w:ascii="Times New Roman" w:hAnsi="Times New Roman" w:cs="Times New Roman"/>
        </w:rPr>
        <w:footnoteReference w:id="289"/>
      </w:r>
      <w:r w:rsidR="00C16004">
        <w:rPr>
          <w:rFonts w:ascii="Times New Roman" w:hAnsi="Times New Roman" w:cs="Times New Roman"/>
        </w:rPr>
        <w:t xml:space="preserve"> He found that 62</w:t>
      </w:r>
      <w:r w:rsidR="00FC38D9" w:rsidRPr="009074FB">
        <w:rPr>
          <w:rFonts w:ascii="Times New Roman" w:hAnsi="Times New Roman" w:cs="Times New Roman"/>
        </w:rPr>
        <w:t>% of the businesses in his sample were shut down or forced to exit chapter 11.</w:t>
      </w:r>
      <w:r w:rsidR="00FC38D9" w:rsidRPr="00B912DC">
        <w:rPr>
          <w:rStyle w:val="FootnoteReference"/>
          <w:rFonts w:ascii="Times New Roman" w:hAnsi="Times New Roman" w:cs="Times New Roman"/>
        </w:rPr>
        <w:footnoteReference w:id="290"/>
      </w:r>
      <w:r w:rsidR="00FC38D9" w:rsidRPr="009074FB">
        <w:rPr>
          <w:rFonts w:ascii="Times New Roman" w:hAnsi="Times New Roman" w:cs="Times New Roman"/>
        </w:rPr>
        <w:t xml:space="preserve"> Of these cases, half of the firms were shut </w:t>
      </w:r>
      <w:r w:rsidR="00C16004">
        <w:rPr>
          <w:rFonts w:ascii="Times New Roman" w:hAnsi="Times New Roman" w:cs="Times New Roman"/>
        </w:rPr>
        <w:t>down within three months and 70</w:t>
      </w:r>
      <w:r w:rsidR="00FC38D9" w:rsidRPr="009074FB">
        <w:rPr>
          <w:rFonts w:ascii="Times New Roman" w:hAnsi="Times New Roman" w:cs="Times New Roman"/>
        </w:rPr>
        <w:t>% within five months.</w:t>
      </w:r>
      <w:r w:rsidR="00FC38D9" w:rsidRPr="00B912DC">
        <w:rPr>
          <w:rStyle w:val="FootnoteReference"/>
          <w:rFonts w:ascii="Times New Roman" w:hAnsi="Times New Roman" w:cs="Times New Roman"/>
        </w:rPr>
        <w:footnoteReference w:id="291"/>
      </w:r>
    </w:p>
    <w:p w14:paraId="046F1642" w14:textId="385E3E83" w:rsidR="00B66A8C" w:rsidRDefault="00FC38D9" w:rsidP="00FC38D9">
      <w:pPr>
        <w:spacing w:line="480" w:lineRule="auto"/>
        <w:ind w:firstLine="720"/>
        <w:rPr>
          <w:rFonts w:ascii="Times New Roman" w:hAnsi="Times New Roman" w:cs="Times New Roman"/>
        </w:rPr>
      </w:pPr>
      <w:r w:rsidRPr="009074FB">
        <w:rPr>
          <w:rFonts w:ascii="Times New Roman" w:hAnsi="Times New Roman" w:cs="Times New Roman"/>
        </w:rPr>
        <w:t>Warren and Westbrook examined 437 “business”</w:t>
      </w:r>
      <w:r w:rsidRPr="00B912DC">
        <w:rPr>
          <w:rStyle w:val="FootnoteReference"/>
          <w:rFonts w:ascii="Times New Roman" w:hAnsi="Times New Roman" w:cs="Times New Roman"/>
        </w:rPr>
        <w:footnoteReference w:id="292"/>
      </w:r>
      <w:r w:rsidRPr="009074FB">
        <w:rPr>
          <w:rFonts w:ascii="Times New Roman" w:hAnsi="Times New Roman" w:cs="Times New Roman"/>
        </w:rPr>
        <w:t xml:space="preserve"> cases filed under chapt</w:t>
      </w:r>
      <w:r w:rsidR="00B66A8C">
        <w:rPr>
          <w:rFonts w:ascii="Times New Roman" w:hAnsi="Times New Roman" w:cs="Times New Roman"/>
        </w:rPr>
        <w:t xml:space="preserve">er 11 in 2002. They found that </w:t>
      </w:r>
    </w:p>
    <w:p w14:paraId="0EA3BD19" w14:textId="29210EF9" w:rsidR="00FC38D9" w:rsidRDefault="00FC38D9" w:rsidP="00B66A8C">
      <w:pPr>
        <w:ind w:left="720"/>
        <w:rPr>
          <w:rFonts w:ascii="Times New Roman" w:hAnsi="Times New Roman" w:cs="Times New Roman"/>
        </w:rPr>
      </w:pPr>
      <w:r w:rsidRPr="009074FB">
        <w:rPr>
          <w:rFonts w:ascii="Times New Roman" w:hAnsi="Times New Roman" w:cs="Times New Roman"/>
        </w:rPr>
        <w:t>of all the cases that were eventually pushed out of chapter 11 without a plan having been filed, more than half were g</w:t>
      </w:r>
      <w:r w:rsidR="00C16004">
        <w:rPr>
          <w:rFonts w:ascii="Times New Roman" w:hAnsi="Times New Roman" w:cs="Times New Roman"/>
        </w:rPr>
        <w:t>one in less than six months, 70</w:t>
      </w:r>
      <w:r w:rsidRPr="009074FB">
        <w:rPr>
          <w:rFonts w:ascii="Times New Roman" w:hAnsi="Times New Roman" w:cs="Times New Roman"/>
        </w:rPr>
        <w:t>% were gone b</w:t>
      </w:r>
      <w:r w:rsidR="00C16004">
        <w:rPr>
          <w:rFonts w:ascii="Times New Roman" w:hAnsi="Times New Roman" w:cs="Times New Roman"/>
        </w:rPr>
        <w:t>y nine months, and more than 80</w:t>
      </w:r>
      <w:r w:rsidRPr="009074FB">
        <w:rPr>
          <w:rFonts w:ascii="Times New Roman" w:hAnsi="Times New Roman" w:cs="Times New Roman"/>
        </w:rPr>
        <w:t>% were gone within a year. B</w:t>
      </w:r>
      <w:r w:rsidR="00C16004">
        <w:rPr>
          <w:rFonts w:ascii="Times New Roman" w:hAnsi="Times New Roman" w:cs="Times New Roman"/>
        </w:rPr>
        <w:t>y eighteen months, more than 90</w:t>
      </w:r>
      <w:r w:rsidRPr="009074FB">
        <w:rPr>
          <w:rFonts w:ascii="Times New Roman" w:hAnsi="Times New Roman" w:cs="Times New Roman"/>
        </w:rPr>
        <w:t>% of all the cases that w</w:t>
      </w:r>
      <w:r w:rsidR="00D52A37">
        <w:rPr>
          <w:rFonts w:ascii="Times New Roman" w:hAnsi="Times New Roman" w:cs="Times New Roman"/>
        </w:rPr>
        <w:t>ould ever</w:t>
      </w:r>
      <w:r w:rsidRPr="009074FB">
        <w:rPr>
          <w:rFonts w:ascii="Times New Roman" w:hAnsi="Times New Roman" w:cs="Times New Roman"/>
        </w:rPr>
        <w:t xml:space="preserve"> exit chapter 11 without a plan on file had</w:t>
      </w:r>
      <w:r w:rsidR="00D52A37">
        <w:rPr>
          <w:rFonts w:ascii="Times New Roman" w:hAnsi="Times New Roman" w:cs="Times New Roman"/>
        </w:rPr>
        <w:t xml:space="preserve"> done so</w:t>
      </w:r>
      <w:r w:rsidRPr="009074FB">
        <w:rPr>
          <w:rFonts w:ascii="Times New Roman" w:hAnsi="Times New Roman" w:cs="Times New Roman"/>
        </w:rPr>
        <w:t xml:space="preserve"> already</w:t>
      </w:r>
      <w:r w:rsidR="00C16004">
        <w:rPr>
          <w:rFonts w:ascii="Times New Roman" w:hAnsi="Times New Roman" w:cs="Times New Roman"/>
        </w:rPr>
        <w:t>.</w:t>
      </w:r>
      <w:r w:rsidRPr="00B912DC">
        <w:rPr>
          <w:rStyle w:val="FootnoteReference"/>
          <w:rFonts w:ascii="Times New Roman" w:hAnsi="Times New Roman" w:cs="Times New Roman"/>
        </w:rPr>
        <w:footnoteReference w:id="293"/>
      </w:r>
    </w:p>
    <w:p w14:paraId="267F7FEA" w14:textId="77777777" w:rsidR="00B66A8C" w:rsidRDefault="00B66A8C" w:rsidP="00B66A8C">
      <w:pPr>
        <w:ind w:left="720"/>
        <w:rPr>
          <w:rFonts w:ascii="Times New Roman" w:hAnsi="Times New Roman" w:cs="Times New Roman"/>
        </w:rPr>
      </w:pPr>
    </w:p>
    <w:p w14:paraId="3A9A223A" w14:textId="6969CDAA" w:rsidR="00FC38D9" w:rsidRPr="009074FB" w:rsidRDefault="00E46602" w:rsidP="00FC38D9">
      <w:pPr>
        <w:spacing w:line="480" w:lineRule="auto"/>
        <w:ind w:firstLine="720"/>
        <w:rPr>
          <w:rFonts w:ascii="Times New Roman" w:hAnsi="Times New Roman" w:cs="Times New Roman"/>
        </w:rPr>
      </w:pPr>
      <w:r>
        <w:rPr>
          <w:rFonts w:ascii="Times New Roman" w:hAnsi="Times New Roman" w:cs="Times New Roman"/>
        </w:rPr>
        <w:t>Likewise, we</w:t>
      </w:r>
      <w:r w:rsidR="007E4F0D">
        <w:rPr>
          <w:rFonts w:ascii="Times New Roman" w:hAnsi="Times New Roman" w:cs="Times New Roman"/>
        </w:rPr>
        <w:t xml:space="preserve"> apply a time-to-disposition definition of success </w:t>
      </w:r>
      <w:r>
        <w:rPr>
          <w:rFonts w:ascii="Times New Roman" w:hAnsi="Times New Roman" w:cs="Times New Roman"/>
        </w:rPr>
        <w:t xml:space="preserve">to determine how long it takes bankruptcy courts to dispose of the failed cases. In Section C.1, we apply this definition of success to the cases in the PACER sample. </w:t>
      </w:r>
      <w:r w:rsidR="007E4F0D">
        <w:rPr>
          <w:rFonts w:ascii="Times New Roman" w:hAnsi="Times New Roman" w:cs="Times New Roman"/>
        </w:rPr>
        <w:t>In Section C.2, we use this same definition for the cases in the 20</w:t>
      </w:r>
      <w:r w:rsidR="00B66A8C">
        <w:rPr>
          <w:rFonts w:ascii="Times New Roman" w:hAnsi="Times New Roman" w:cs="Times New Roman"/>
        </w:rPr>
        <w:t>10 and 2013 random sample. But</w:t>
      </w:r>
      <w:r w:rsidR="007E4F0D">
        <w:rPr>
          <w:rFonts w:ascii="Times New Roman" w:hAnsi="Times New Roman" w:cs="Times New Roman"/>
        </w:rPr>
        <w:t xml:space="preserve"> we have more case-specific data for the random sample; thus, we can evaluate whether individual debtors met various case milestones</w:t>
      </w:r>
      <w:r w:rsidR="00B66A8C">
        <w:rPr>
          <w:rFonts w:ascii="Times New Roman" w:hAnsi="Times New Roman" w:cs="Times New Roman"/>
        </w:rPr>
        <w:t>—such as</w:t>
      </w:r>
      <w:r w:rsidR="007E4F0D">
        <w:rPr>
          <w:rFonts w:ascii="Times New Roman" w:hAnsi="Times New Roman" w:cs="Times New Roman"/>
        </w:rPr>
        <w:t xml:space="preserve"> filing </w:t>
      </w:r>
      <w:r w:rsidR="00B66A8C">
        <w:rPr>
          <w:rFonts w:ascii="Times New Roman" w:hAnsi="Times New Roman" w:cs="Times New Roman"/>
        </w:rPr>
        <w:t>of schedules and plan proposal—</w:t>
      </w:r>
      <w:r w:rsidR="007E4F0D">
        <w:rPr>
          <w:rFonts w:ascii="Times New Roman" w:hAnsi="Times New Roman" w:cs="Times New Roman"/>
        </w:rPr>
        <w:t xml:space="preserve">in an expeditious fashion. We conclude that regardless of the measure of success used, bankruptcy courts move </w:t>
      </w:r>
      <w:r w:rsidR="00D52A37">
        <w:rPr>
          <w:rFonts w:ascii="Times New Roman" w:hAnsi="Times New Roman" w:cs="Times New Roman"/>
        </w:rPr>
        <w:t>most</w:t>
      </w:r>
      <w:r w:rsidR="007E4F0D">
        <w:rPr>
          <w:rFonts w:ascii="Times New Roman" w:hAnsi="Times New Roman" w:cs="Times New Roman"/>
        </w:rPr>
        <w:t xml:space="preserve"> individual chapter 11 cases through the system in a timely manner. </w:t>
      </w:r>
    </w:p>
    <w:p w14:paraId="461FE31C" w14:textId="75CC37C9" w:rsidR="00FC38D9" w:rsidRDefault="00FC38D9" w:rsidP="002F3E4E">
      <w:pPr>
        <w:spacing w:line="480" w:lineRule="auto"/>
        <w:rPr>
          <w:rFonts w:ascii="Times New Roman" w:hAnsi="Times New Roman" w:cs="Times New Roman"/>
          <w:i/>
        </w:rPr>
      </w:pPr>
      <w:r>
        <w:rPr>
          <w:rFonts w:ascii="Times New Roman" w:hAnsi="Times New Roman" w:cs="Times New Roman"/>
          <w:i/>
        </w:rPr>
        <w:t>1.</w:t>
      </w:r>
      <w:r>
        <w:rPr>
          <w:rFonts w:ascii="Times New Roman" w:hAnsi="Times New Roman" w:cs="Times New Roman"/>
          <w:i/>
        </w:rPr>
        <w:tab/>
        <w:t>PACER Data</w:t>
      </w:r>
    </w:p>
    <w:p w14:paraId="5058936B" w14:textId="36851F51" w:rsidR="00FC38D9" w:rsidRPr="00B912DC" w:rsidRDefault="00E150AB" w:rsidP="00FC38D9">
      <w:pPr>
        <w:spacing w:line="480" w:lineRule="auto"/>
        <w:ind w:firstLine="720"/>
        <w:rPr>
          <w:rFonts w:ascii="Times New Roman" w:hAnsi="Times New Roman" w:cs="Times New Roman"/>
        </w:rPr>
      </w:pPr>
      <w:r>
        <w:rPr>
          <w:rFonts w:ascii="Times New Roman" w:hAnsi="Times New Roman" w:cs="Times New Roman"/>
        </w:rPr>
        <w:t xml:space="preserve">For the 2010 PACER data, we use a cruder measure of success than did Morrison, or Warren and Westbrook. </w:t>
      </w:r>
      <w:r w:rsidR="00FC38D9" w:rsidRPr="00B912DC">
        <w:rPr>
          <w:rFonts w:ascii="Times New Roman" w:hAnsi="Times New Roman" w:cs="Times New Roman"/>
        </w:rPr>
        <w:t>Their samples were hand-coded, allowing them to focus on particular subsets of cases</w:t>
      </w:r>
      <w:r w:rsidR="00B66A8C">
        <w:rPr>
          <w:rFonts w:ascii="Times New Roman" w:hAnsi="Times New Roman" w:cs="Times New Roman"/>
        </w:rPr>
        <w:t>,</w:t>
      </w:r>
      <w:r w:rsidR="00FC38D9" w:rsidRPr="00B912DC">
        <w:rPr>
          <w:rFonts w:ascii="Times New Roman" w:hAnsi="Times New Roman" w:cs="Times New Roman"/>
        </w:rPr>
        <w:t xml:space="preserve"> such as those not operating in particular industries or those for which no plan was proposed. </w:t>
      </w:r>
      <w:r>
        <w:rPr>
          <w:rFonts w:ascii="Times New Roman" w:hAnsi="Times New Roman" w:cs="Times New Roman"/>
        </w:rPr>
        <w:t>Thus, w</w:t>
      </w:r>
      <w:r w:rsidRPr="00B912DC">
        <w:rPr>
          <w:rFonts w:ascii="Times New Roman" w:hAnsi="Times New Roman" w:cs="Times New Roman"/>
        </w:rPr>
        <w:t>e do not claim to update the Morrison</w:t>
      </w:r>
      <w:r>
        <w:rPr>
          <w:rFonts w:ascii="Times New Roman" w:hAnsi="Times New Roman" w:cs="Times New Roman"/>
        </w:rPr>
        <w:t xml:space="preserve">, </w:t>
      </w:r>
      <w:r w:rsidRPr="00B912DC">
        <w:rPr>
          <w:rFonts w:ascii="Times New Roman" w:hAnsi="Times New Roman" w:cs="Times New Roman"/>
        </w:rPr>
        <w:t xml:space="preserve">or Warren and Westbrook </w:t>
      </w:r>
      <w:r>
        <w:rPr>
          <w:rFonts w:ascii="Times New Roman" w:hAnsi="Times New Roman" w:cs="Times New Roman"/>
        </w:rPr>
        <w:t>findings using our 2010 PACER data.</w:t>
      </w:r>
      <w:r w:rsidRPr="00B912DC">
        <w:rPr>
          <w:rFonts w:ascii="Times New Roman" w:hAnsi="Times New Roman" w:cs="Times New Roman"/>
        </w:rPr>
        <w:t xml:space="preserve"> </w:t>
      </w:r>
      <w:r>
        <w:rPr>
          <w:rFonts w:ascii="Times New Roman" w:hAnsi="Times New Roman" w:cs="Times New Roman"/>
        </w:rPr>
        <w:t xml:space="preserve">While our measure is cruder, our data set is much larger and more recent.  </w:t>
      </w:r>
    </w:p>
    <w:p w14:paraId="711C5F70" w14:textId="782581A3" w:rsidR="00FC38D9" w:rsidRPr="00B912DC" w:rsidRDefault="00FC38D9" w:rsidP="00FC38D9">
      <w:pPr>
        <w:spacing w:line="480" w:lineRule="auto"/>
        <w:rPr>
          <w:rFonts w:ascii="Times New Roman" w:hAnsi="Times New Roman" w:cs="Times New Roman"/>
        </w:rPr>
      </w:pPr>
      <w:r w:rsidRPr="00B912DC">
        <w:rPr>
          <w:rFonts w:ascii="Times New Roman" w:hAnsi="Times New Roman" w:cs="Times New Roman"/>
        </w:rPr>
        <w:tab/>
        <w:t xml:space="preserve">Table </w:t>
      </w:r>
      <w:r w:rsidR="0091115D">
        <w:rPr>
          <w:rFonts w:ascii="Times New Roman" w:hAnsi="Times New Roman" w:cs="Times New Roman"/>
        </w:rPr>
        <w:t>5</w:t>
      </w:r>
      <w:r w:rsidR="00DB4EAD">
        <w:rPr>
          <w:rFonts w:ascii="Times New Roman" w:hAnsi="Times New Roman" w:cs="Times New Roman"/>
        </w:rPr>
        <w:t>2</w:t>
      </w:r>
      <w:r w:rsidR="0091115D" w:rsidRPr="00B912DC">
        <w:rPr>
          <w:rFonts w:ascii="Times New Roman" w:hAnsi="Times New Roman" w:cs="Times New Roman"/>
        </w:rPr>
        <w:t xml:space="preserve"> </w:t>
      </w:r>
      <w:r w:rsidRPr="00B912DC">
        <w:rPr>
          <w:rFonts w:ascii="Times New Roman" w:hAnsi="Times New Roman" w:cs="Times New Roman"/>
        </w:rPr>
        <w:t xml:space="preserve">presents </w:t>
      </w:r>
      <w:r w:rsidR="00E46602">
        <w:rPr>
          <w:rFonts w:ascii="Times New Roman" w:hAnsi="Times New Roman" w:cs="Times New Roman"/>
        </w:rPr>
        <w:t xml:space="preserve">data on </w:t>
      </w:r>
      <w:r w:rsidRPr="00B912DC">
        <w:rPr>
          <w:rFonts w:ascii="Times New Roman" w:hAnsi="Times New Roman" w:cs="Times New Roman"/>
        </w:rPr>
        <w:t xml:space="preserve">the number of </w:t>
      </w:r>
      <w:r w:rsidR="00C16004">
        <w:rPr>
          <w:rFonts w:ascii="Times New Roman" w:hAnsi="Times New Roman" w:cs="Times New Roman"/>
        </w:rPr>
        <w:t>days to conversion or dismissal—that is, the time to “failure”—</w:t>
      </w:r>
      <w:r w:rsidRPr="00B912DC">
        <w:rPr>
          <w:rFonts w:ascii="Times New Roman" w:hAnsi="Times New Roman" w:cs="Times New Roman"/>
        </w:rPr>
        <w:t>for those 2010 cases for which PACER provided the relevant dates. To provide some frame of reference, we include this same time-to-failure measure for corporate chapter 11 cases, small business chapter</w:t>
      </w:r>
      <w:r>
        <w:rPr>
          <w:rFonts w:ascii="Times New Roman" w:hAnsi="Times New Roman" w:cs="Times New Roman"/>
        </w:rPr>
        <w:t xml:space="preserve"> 11 cases</w:t>
      </w:r>
      <w:r w:rsidRPr="00B912DC">
        <w:rPr>
          <w:rFonts w:ascii="Times New Roman" w:hAnsi="Times New Roman" w:cs="Times New Roman"/>
        </w:rPr>
        <w:t xml:space="preserve">, and chapter 13 cases. </w:t>
      </w:r>
    </w:p>
    <w:p w14:paraId="68863748" w14:textId="779B7DAB" w:rsidR="00FC38D9" w:rsidRDefault="00FC38D9" w:rsidP="00B66A8C">
      <w:pPr>
        <w:keepNext/>
        <w:keepLines/>
        <w:jc w:val="center"/>
        <w:rPr>
          <w:rFonts w:ascii="Times New Roman" w:eastAsia="Times New Roman" w:hAnsi="Times New Roman" w:cs="Times New Roman"/>
          <w:b/>
          <w:color w:val="000000"/>
        </w:rPr>
      </w:pPr>
      <w:r w:rsidRPr="00B912DC">
        <w:rPr>
          <w:rFonts w:ascii="Times New Roman" w:hAnsi="Times New Roman" w:cs="Times New Roman"/>
          <w:b/>
        </w:rPr>
        <w:t xml:space="preserve">Table </w:t>
      </w:r>
      <w:r w:rsidR="00D7260E">
        <w:rPr>
          <w:rFonts w:ascii="Times New Roman" w:hAnsi="Times New Roman" w:cs="Times New Roman"/>
          <w:b/>
        </w:rPr>
        <w:t>5</w:t>
      </w:r>
      <w:r w:rsidR="00DB4EAD">
        <w:rPr>
          <w:rFonts w:ascii="Times New Roman" w:hAnsi="Times New Roman" w:cs="Times New Roman"/>
          <w:b/>
        </w:rPr>
        <w:t>2</w:t>
      </w:r>
      <w:r w:rsidRPr="00B912DC">
        <w:rPr>
          <w:rFonts w:ascii="Times New Roman" w:hAnsi="Times New Roman" w:cs="Times New Roman"/>
          <w:b/>
        </w:rPr>
        <w:t xml:space="preserve">: </w:t>
      </w:r>
      <w:r w:rsidRPr="00B912DC">
        <w:rPr>
          <w:rFonts w:ascii="Times New Roman" w:eastAsia="Times New Roman" w:hAnsi="Times New Roman" w:cs="Times New Roman"/>
          <w:b/>
          <w:color w:val="000000"/>
        </w:rPr>
        <w:t>Days to</w:t>
      </w:r>
      <w:r w:rsidR="000F18D7">
        <w:rPr>
          <w:rFonts w:ascii="Times New Roman" w:eastAsia="Times New Roman" w:hAnsi="Times New Roman" w:cs="Times New Roman"/>
          <w:b/>
          <w:color w:val="000000"/>
        </w:rPr>
        <w:t xml:space="preserve"> C</w:t>
      </w:r>
      <w:r w:rsidRPr="00B912DC">
        <w:rPr>
          <w:rFonts w:ascii="Times New Roman" w:eastAsia="Times New Roman" w:hAnsi="Times New Roman" w:cs="Times New Roman"/>
          <w:b/>
          <w:color w:val="000000"/>
        </w:rPr>
        <w:t xml:space="preserve">onversion or </w:t>
      </w:r>
      <w:r w:rsidR="000F18D7">
        <w:rPr>
          <w:rFonts w:ascii="Times New Roman" w:eastAsia="Times New Roman" w:hAnsi="Times New Roman" w:cs="Times New Roman"/>
          <w:b/>
          <w:color w:val="000000"/>
        </w:rPr>
        <w:t>D</w:t>
      </w:r>
      <w:r w:rsidRPr="00B912DC">
        <w:rPr>
          <w:rFonts w:ascii="Times New Roman" w:eastAsia="Times New Roman" w:hAnsi="Times New Roman" w:cs="Times New Roman"/>
          <w:b/>
          <w:color w:val="000000"/>
        </w:rPr>
        <w:t xml:space="preserve">ismissal for </w:t>
      </w:r>
      <w:r w:rsidR="000F18D7">
        <w:rPr>
          <w:rFonts w:ascii="Times New Roman" w:eastAsia="Times New Roman" w:hAnsi="Times New Roman" w:cs="Times New Roman"/>
          <w:b/>
          <w:color w:val="000000"/>
        </w:rPr>
        <w:t>“F</w:t>
      </w:r>
      <w:r w:rsidRPr="00B912DC">
        <w:rPr>
          <w:rFonts w:ascii="Times New Roman" w:eastAsia="Times New Roman" w:hAnsi="Times New Roman" w:cs="Times New Roman"/>
          <w:b/>
          <w:color w:val="000000"/>
        </w:rPr>
        <w:t>ailed</w:t>
      </w:r>
      <w:r w:rsidR="000F18D7">
        <w:rPr>
          <w:rFonts w:ascii="Times New Roman" w:eastAsia="Times New Roman" w:hAnsi="Times New Roman" w:cs="Times New Roman"/>
          <w:b/>
          <w:color w:val="000000"/>
        </w:rPr>
        <w:t>”</w:t>
      </w:r>
      <w:r w:rsidRPr="00B912DC">
        <w:rPr>
          <w:rFonts w:ascii="Times New Roman" w:eastAsia="Times New Roman" w:hAnsi="Times New Roman" w:cs="Times New Roman"/>
          <w:b/>
          <w:color w:val="000000"/>
        </w:rPr>
        <w:t xml:space="preserve"> </w:t>
      </w:r>
      <w:r w:rsidR="000F18D7">
        <w:rPr>
          <w:rFonts w:ascii="Times New Roman" w:eastAsia="Times New Roman" w:hAnsi="Times New Roman" w:cs="Times New Roman"/>
          <w:b/>
          <w:color w:val="000000"/>
        </w:rPr>
        <w:t>C</w:t>
      </w:r>
      <w:r w:rsidRPr="00B912DC">
        <w:rPr>
          <w:rFonts w:ascii="Times New Roman" w:eastAsia="Times New Roman" w:hAnsi="Times New Roman" w:cs="Times New Roman"/>
          <w:b/>
          <w:color w:val="000000"/>
        </w:rPr>
        <w:t>ases in 2010</w:t>
      </w:r>
      <w:r w:rsidR="00C16004">
        <w:rPr>
          <w:rFonts w:ascii="Times New Roman" w:eastAsia="Times New Roman" w:hAnsi="Times New Roman" w:cs="Times New Roman"/>
          <w:b/>
          <w:color w:val="000000"/>
        </w:rPr>
        <w:t>—</w:t>
      </w:r>
      <w:r w:rsidR="00BB0158">
        <w:rPr>
          <w:rFonts w:ascii="Times New Roman" w:eastAsia="Times New Roman" w:hAnsi="Times New Roman" w:cs="Times New Roman"/>
          <w:b/>
          <w:color w:val="000000"/>
        </w:rPr>
        <w:t>PACER Data</w:t>
      </w:r>
    </w:p>
    <w:p w14:paraId="70D4DC3E" w14:textId="77777777" w:rsidR="00E8194C" w:rsidRPr="00B912DC" w:rsidRDefault="00E8194C" w:rsidP="00B66A8C">
      <w:pPr>
        <w:keepNext/>
        <w:keepLines/>
        <w:jc w:val="center"/>
        <w:rPr>
          <w:rFonts w:ascii="Times New Roman" w:hAnsi="Times New Roman" w:cs="Times New Roman"/>
          <w:b/>
        </w:rPr>
      </w:pPr>
    </w:p>
    <w:tbl>
      <w:tblPr>
        <w:tblStyle w:val="TableGrid"/>
        <w:tblW w:w="8658" w:type="dxa"/>
        <w:tblLayout w:type="fixed"/>
        <w:tblLook w:val="04A0" w:firstRow="1" w:lastRow="0" w:firstColumn="1" w:lastColumn="0" w:noHBand="0" w:noVBand="1"/>
      </w:tblPr>
      <w:tblGrid>
        <w:gridCol w:w="2448"/>
        <w:gridCol w:w="1530"/>
        <w:gridCol w:w="1530"/>
        <w:gridCol w:w="1890"/>
        <w:gridCol w:w="1260"/>
      </w:tblGrid>
      <w:tr w:rsidR="00FC38D9" w:rsidRPr="00B912DC" w14:paraId="5E86E7AB" w14:textId="77777777" w:rsidTr="00DB4EAD">
        <w:trPr>
          <w:trHeight w:val="300"/>
        </w:trPr>
        <w:tc>
          <w:tcPr>
            <w:tcW w:w="2448" w:type="dxa"/>
            <w:tcBorders>
              <w:top w:val="single" w:sz="18" w:space="0" w:color="auto"/>
              <w:left w:val="single" w:sz="18" w:space="0" w:color="auto"/>
              <w:bottom w:val="single" w:sz="18" w:space="0" w:color="auto"/>
              <w:right w:val="triple" w:sz="4" w:space="0" w:color="auto"/>
            </w:tcBorders>
            <w:noWrap/>
            <w:vAlign w:val="center"/>
            <w:hideMark/>
          </w:tcPr>
          <w:p w14:paraId="0003BF12" w14:textId="77777777" w:rsidR="00FC38D9" w:rsidRPr="00B912DC" w:rsidRDefault="00FC38D9" w:rsidP="00B66A8C">
            <w:pPr>
              <w:keepNext/>
              <w:keepLines/>
              <w:jc w:val="center"/>
              <w:rPr>
                <w:rFonts w:ascii="Times New Roman" w:eastAsia="Times New Roman" w:hAnsi="Times New Roman" w:cs="Times New Roman"/>
                <w:b/>
                <w:color w:val="000000"/>
              </w:rPr>
            </w:pPr>
            <w:r w:rsidRPr="00B912DC">
              <w:rPr>
                <w:rFonts w:ascii="Times New Roman" w:eastAsia="Times New Roman" w:hAnsi="Times New Roman" w:cs="Times New Roman"/>
                <w:b/>
                <w:bCs/>
                <w:color w:val="000000"/>
              </w:rPr>
              <w:t>Percent of Failures Converted or Dismissed</w:t>
            </w:r>
          </w:p>
        </w:tc>
        <w:tc>
          <w:tcPr>
            <w:tcW w:w="1530" w:type="dxa"/>
            <w:tcBorders>
              <w:top w:val="single" w:sz="18" w:space="0" w:color="auto"/>
              <w:left w:val="triple" w:sz="4" w:space="0" w:color="auto"/>
              <w:bottom w:val="single" w:sz="18" w:space="0" w:color="auto"/>
              <w:right w:val="single" w:sz="18" w:space="0" w:color="auto"/>
            </w:tcBorders>
            <w:noWrap/>
            <w:vAlign w:val="center"/>
            <w:hideMark/>
          </w:tcPr>
          <w:p w14:paraId="56A61409" w14:textId="77777777" w:rsidR="00E150AB" w:rsidRDefault="00E150AB" w:rsidP="00B66A8C">
            <w:pPr>
              <w:keepNext/>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p w14:paraId="2AC5B6F5" w14:textId="77777777" w:rsidR="00FC38D9" w:rsidRPr="00B912DC" w:rsidRDefault="00FC38D9" w:rsidP="00B66A8C">
            <w:pPr>
              <w:keepNext/>
              <w:keepLines/>
              <w:jc w:val="center"/>
              <w:rPr>
                <w:rFonts w:ascii="Times New Roman" w:eastAsia="Times New Roman" w:hAnsi="Times New Roman" w:cs="Times New Roman"/>
                <w:b/>
                <w:color w:val="000000"/>
              </w:rPr>
            </w:pPr>
            <w:r w:rsidRPr="00B912DC">
              <w:rPr>
                <w:rFonts w:ascii="Times New Roman" w:eastAsia="Times New Roman" w:hAnsi="Times New Roman" w:cs="Times New Roman"/>
                <w:b/>
                <w:bCs/>
                <w:color w:val="000000"/>
              </w:rPr>
              <w:t>Individual Chapter 11</w:t>
            </w:r>
          </w:p>
        </w:tc>
        <w:tc>
          <w:tcPr>
            <w:tcW w:w="1530" w:type="dxa"/>
            <w:tcBorders>
              <w:top w:val="single" w:sz="18" w:space="0" w:color="auto"/>
              <w:left w:val="single" w:sz="18" w:space="0" w:color="auto"/>
              <w:bottom w:val="single" w:sz="18" w:space="0" w:color="auto"/>
              <w:right w:val="single" w:sz="18" w:space="0" w:color="auto"/>
            </w:tcBorders>
            <w:noWrap/>
            <w:vAlign w:val="center"/>
            <w:hideMark/>
          </w:tcPr>
          <w:p w14:paraId="1F39B936" w14:textId="77777777" w:rsidR="00E150AB" w:rsidRDefault="00E150AB" w:rsidP="00B66A8C">
            <w:pPr>
              <w:keepNext/>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(B)</w:t>
            </w:r>
          </w:p>
          <w:p w14:paraId="7E08AF4A" w14:textId="77777777" w:rsidR="00FC38D9" w:rsidRPr="00B912DC" w:rsidRDefault="00FC38D9" w:rsidP="00B66A8C">
            <w:pPr>
              <w:keepNext/>
              <w:keepLines/>
              <w:jc w:val="center"/>
              <w:rPr>
                <w:rFonts w:ascii="Times New Roman" w:eastAsia="Times New Roman" w:hAnsi="Times New Roman" w:cs="Times New Roman"/>
                <w:b/>
                <w:color w:val="000000"/>
              </w:rPr>
            </w:pPr>
            <w:r w:rsidRPr="00B912DC">
              <w:rPr>
                <w:rFonts w:ascii="Times New Roman" w:eastAsia="Times New Roman" w:hAnsi="Times New Roman" w:cs="Times New Roman"/>
                <w:b/>
                <w:bCs/>
                <w:color w:val="000000"/>
              </w:rPr>
              <w:t>Corporate Chapter 11</w:t>
            </w:r>
          </w:p>
        </w:tc>
        <w:tc>
          <w:tcPr>
            <w:tcW w:w="1890" w:type="dxa"/>
            <w:tcBorders>
              <w:top w:val="single" w:sz="18" w:space="0" w:color="auto"/>
              <w:left w:val="single" w:sz="18" w:space="0" w:color="auto"/>
              <w:bottom w:val="single" w:sz="18" w:space="0" w:color="auto"/>
              <w:right w:val="single" w:sz="18" w:space="0" w:color="auto"/>
            </w:tcBorders>
            <w:noWrap/>
            <w:vAlign w:val="center"/>
            <w:hideMark/>
          </w:tcPr>
          <w:p w14:paraId="57B8DDED" w14:textId="77777777" w:rsidR="00E150AB" w:rsidRDefault="00E150AB" w:rsidP="00B66A8C">
            <w:pPr>
              <w:keepNext/>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w:t>
            </w:r>
          </w:p>
          <w:p w14:paraId="2E39B331" w14:textId="6A26A356" w:rsidR="00FC38D9" w:rsidRPr="00B912DC" w:rsidRDefault="00FC38D9" w:rsidP="00B66A8C">
            <w:pPr>
              <w:keepNext/>
              <w:keepLines/>
              <w:jc w:val="center"/>
              <w:rPr>
                <w:rFonts w:ascii="Times New Roman" w:eastAsia="Times New Roman" w:hAnsi="Times New Roman" w:cs="Times New Roman"/>
                <w:b/>
                <w:color w:val="000000"/>
              </w:rPr>
            </w:pPr>
            <w:r w:rsidRPr="00B912DC">
              <w:rPr>
                <w:rFonts w:ascii="Times New Roman" w:eastAsia="Times New Roman" w:hAnsi="Times New Roman" w:cs="Times New Roman"/>
                <w:b/>
                <w:bCs/>
                <w:color w:val="000000"/>
              </w:rPr>
              <w:t>Small Business Chapter 11</w:t>
            </w:r>
          </w:p>
        </w:tc>
        <w:tc>
          <w:tcPr>
            <w:tcW w:w="1260" w:type="dxa"/>
            <w:tcBorders>
              <w:top w:val="single" w:sz="18" w:space="0" w:color="auto"/>
              <w:left w:val="single" w:sz="18" w:space="0" w:color="auto"/>
              <w:bottom w:val="single" w:sz="18" w:space="0" w:color="auto"/>
              <w:right w:val="single" w:sz="18" w:space="0" w:color="auto"/>
            </w:tcBorders>
            <w:noWrap/>
            <w:vAlign w:val="center"/>
            <w:hideMark/>
          </w:tcPr>
          <w:p w14:paraId="67551D11" w14:textId="77777777" w:rsidR="00E150AB" w:rsidRDefault="00E150AB" w:rsidP="00B66A8C">
            <w:pPr>
              <w:keepNext/>
              <w:keepLine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w:t>
            </w:r>
          </w:p>
          <w:p w14:paraId="769C200F" w14:textId="77777777" w:rsidR="00FC38D9" w:rsidRPr="00B912DC" w:rsidRDefault="00FC38D9" w:rsidP="00B66A8C">
            <w:pPr>
              <w:keepNext/>
              <w:keepLines/>
              <w:jc w:val="center"/>
              <w:rPr>
                <w:rFonts w:ascii="Times New Roman" w:eastAsia="Times New Roman" w:hAnsi="Times New Roman" w:cs="Times New Roman"/>
                <w:b/>
                <w:color w:val="000000"/>
              </w:rPr>
            </w:pPr>
            <w:r w:rsidRPr="00B912DC">
              <w:rPr>
                <w:rFonts w:ascii="Times New Roman" w:eastAsia="Times New Roman" w:hAnsi="Times New Roman" w:cs="Times New Roman"/>
                <w:b/>
                <w:bCs/>
                <w:color w:val="000000"/>
              </w:rPr>
              <w:t>Chapter 13</w:t>
            </w:r>
          </w:p>
        </w:tc>
      </w:tr>
      <w:tr w:rsidR="00FC38D9" w:rsidRPr="00B912DC" w14:paraId="4B90C60A" w14:textId="77777777" w:rsidTr="00DB4EAD">
        <w:trPr>
          <w:trHeight w:val="300"/>
        </w:trPr>
        <w:tc>
          <w:tcPr>
            <w:tcW w:w="2448" w:type="dxa"/>
            <w:tcBorders>
              <w:top w:val="single" w:sz="18" w:space="0" w:color="auto"/>
              <w:right w:val="triple" w:sz="4" w:space="0" w:color="auto"/>
            </w:tcBorders>
            <w:noWrap/>
            <w:vAlign w:val="center"/>
            <w:hideMark/>
          </w:tcPr>
          <w:p w14:paraId="78726DA6" w14:textId="54DAF48E" w:rsidR="00FC38D9" w:rsidRPr="00B912DC" w:rsidRDefault="00E150AB" w:rsidP="00B66A8C">
            <w:pPr>
              <w:keepNext/>
              <w:keepLines/>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FC38D9" w:rsidRPr="00B912DC">
              <w:rPr>
                <w:rFonts w:ascii="Times New Roman" w:eastAsia="Times New Roman" w:hAnsi="Times New Roman" w:cs="Times New Roman"/>
                <w:color w:val="000000"/>
              </w:rPr>
              <w:t>10%</w:t>
            </w:r>
          </w:p>
        </w:tc>
        <w:tc>
          <w:tcPr>
            <w:tcW w:w="1530" w:type="dxa"/>
            <w:tcBorders>
              <w:top w:val="single" w:sz="18" w:space="0" w:color="auto"/>
              <w:left w:val="triple" w:sz="4" w:space="0" w:color="auto"/>
              <w:right w:val="single" w:sz="18" w:space="0" w:color="auto"/>
            </w:tcBorders>
            <w:noWrap/>
            <w:vAlign w:val="center"/>
            <w:hideMark/>
          </w:tcPr>
          <w:p w14:paraId="58E57409"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58</w:t>
            </w:r>
          </w:p>
        </w:tc>
        <w:tc>
          <w:tcPr>
            <w:tcW w:w="1530" w:type="dxa"/>
            <w:tcBorders>
              <w:top w:val="single" w:sz="18" w:space="0" w:color="auto"/>
              <w:left w:val="single" w:sz="18" w:space="0" w:color="auto"/>
              <w:right w:val="single" w:sz="18" w:space="0" w:color="auto"/>
            </w:tcBorders>
            <w:noWrap/>
            <w:vAlign w:val="center"/>
            <w:hideMark/>
          </w:tcPr>
          <w:p w14:paraId="75A16B7C"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42</w:t>
            </w:r>
          </w:p>
        </w:tc>
        <w:tc>
          <w:tcPr>
            <w:tcW w:w="1890" w:type="dxa"/>
            <w:tcBorders>
              <w:top w:val="single" w:sz="18" w:space="0" w:color="auto"/>
              <w:left w:val="single" w:sz="18" w:space="0" w:color="auto"/>
              <w:right w:val="single" w:sz="18" w:space="0" w:color="auto"/>
            </w:tcBorders>
            <w:noWrap/>
            <w:vAlign w:val="center"/>
            <w:hideMark/>
          </w:tcPr>
          <w:p w14:paraId="4CA57BAB"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27</w:t>
            </w:r>
          </w:p>
        </w:tc>
        <w:tc>
          <w:tcPr>
            <w:tcW w:w="1260" w:type="dxa"/>
            <w:tcBorders>
              <w:top w:val="single" w:sz="18" w:space="0" w:color="auto"/>
              <w:left w:val="single" w:sz="18" w:space="0" w:color="auto"/>
              <w:right w:val="single" w:sz="18" w:space="0" w:color="auto"/>
            </w:tcBorders>
            <w:noWrap/>
            <w:vAlign w:val="center"/>
            <w:hideMark/>
          </w:tcPr>
          <w:p w14:paraId="03862046"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25</w:t>
            </w:r>
          </w:p>
        </w:tc>
      </w:tr>
      <w:tr w:rsidR="00FC38D9" w:rsidRPr="00B912DC" w14:paraId="687B1881" w14:textId="77777777" w:rsidTr="00DB4EAD">
        <w:trPr>
          <w:trHeight w:val="300"/>
        </w:trPr>
        <w:tc>
          <w:tcPr>
            <w:tcW w:w="2448" w:type="dxa"/>
            <w:tcBorders>
              <w:right w:val="triple" w:sz="4" w:space="0" w:color="auto"/>
            </w:tcBorders>
            <w:noWrap/>
            <w:vAlign w:val="center"/>
            <w:hideMark/>
          </w:tcPr>
          <w:p w14:paraId="0C0A58B5" w14:textId="34197273" w:rsidR="00FC38D9" w:rsidRPr="00B912DC" w:rsidRDefault="00E150AB" w:rsidP="00B66A8C">
            <w:pPr>
              <w:keepNext/>
              <w:keepLines/>
              <w:rPr>
                <w:rFonts w:ascii="Times New Roman" w:eastAsia="Times New Roman" w:hAnsi="Times New Roman" w:cs="Times New Roman"/>
                <w:color w:val="000000"/>
              </w:rPr>
            </w:pPr>
            <w:r>
              <w:rPr>
                <w:rFonts w:ascii="Times New Roman" w:eastAsia="Times New Roman" w:hAnsi="Times New Roman" w:cs="Times New Roman"/>
                <w:color w:val="000000"/>
              </w:rPr>
              <w:t>(2)</w:t>
            </w:r>
            <w:r w:rsidR="00FC38D9" w:rsidRPr="00B912DC">
              <w:rPr>
                <w:rFonts w:ascii="Times New Roman" w:eastAsia="Times New Roman" w:hAnsi="Times New Roman" w:cs="Times New Roman"/>
                <w:color w:val="000000"/>
              </w:rPr>
              <w:t>25%</w:t>
            </w:r>
          </w:p>
        </w:tc>
        <w:tc>
          <w:tcPr>
            <w:tcW w:w="1530" w:type="dxa"/>
            <w:tcBorders>
              <w:left w:val="triple" w:sz="4" w:space="0" w:color="auto"/>
              <w:right w:val="single" w:sz="18" w:space="0" w:color="auto"/>
            </w:tcBorders>
            <w:noWrap/>
            <w:vAlign w:val="center"/>
            <w:hideMark/>
          </w:tcPr>
          <w:p w14:paraId="03F9E0E3"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140</w:t>
            </w:r>
          </w:p>
        </w:tc>
        <w:tc>
          <w:tcPr>
            <w:tcW w:w="1530" w:type="dxa"/>
            <w:tcBorders>
              <w:left w:val="single" w:sz="18" w:space="0" w:color="auto"/>
              <w:right w:val="single" w:sz="18" w:space="0" w:color="auto"/>
            </w:tcBorders>
            <w:noWrap/>
            <w:vAlign w:val="center"/>
            <w:hideMark/>
          </w:tcPr>
          <w:p w14:paraId="243522BB"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105</w:t>
            </w:r>
          </w:p>
        </w:tc>
        <w:tc>
          <w:tcPr>
            <w:tcW w:w="1890" w:type="dxa"/>
            <w:tcBorders>
              <w:left w:val="single" w:sz="18" w:space="0" w:color="auto"/>
              <w:right w:val="single" w:sz="18" w:space="0" w:color="auto"/>
            </w:tcBorders>
            <w:noWrap/>
            <w:vAlign w:val="center"/>
            <w:hideMark/>
          </w:tcPr>
          <w:p w14:paraId="2582379A"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63</w:t>
            </w:r>
          </w:p>
        </w:tc>
        <w:tc>
          <w:tcPr>
            <w:tcW w:w="1260" w:type="dxa"/>
            <w:tcBorders>
              <w:left w:val="single" w:sz="18" w:space="0" w:color="auto"/>
              <w:right w:val="single" w:sz="18" w:space="0" w:color="auto"/>
            </w:tcBorders>
            <w:noWrap/>
            <w:vAlign w:val="center"/>
            <w:hideMark/>
          </w:tcPr>
          <w:p w14:paraId="0F9BD65B"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72</w:t>
            </w:r>
          </w:p>
        </w:tc>
      </w:tr>
      <w:tr w:rsidR="00FC38D9" w:rsidRPr="00B912DC" w14:paraId="330021E3" w14:textId="77777777" w:rsidTr="00DB4EAD">
        <w:trPr>
          <w:trHeight w:val="300"/>
        </w:trPr>
        <w:tc>
          <w:tcPr>
            <w:tcW w:w="2448" w:type="dxa"/>
            <w:tcBorders>
              <w:right w:val="triple" w:sz="4" w:space="0" w:color="auto"/>
            </w:tcBorders>
            <w:noWrap/>
            <w:vAlign w:val="center"/>
            <w:hideMark/>
          </w:tcPr>
          <w:p w14:paraId="5567F696" w14:textId="4F487700" w:rsidR="00FC38D9" w:rsidRPr="00B912DC" w:rsidRDefault="00E150AB" w:rsidP="00B66A8C">
            <w:pPr>
              <w:keepNext/>
              <w:keepLines/>
              <w:rPr>
                <w:rFonts w:ascii="Times New Roman" w:eastAsia="Times New Roman" w:hAnsi="Times New Roman" w:cs="Times New Roman"/>
                <w:color w:val="000000"/>
              </w:rPr>
            </w:pPr>
            <w:r>
              <w:rPr>
                <w:rFonts w:ascii="Times New Roman" w:eastAsia="Times New Roman" w:hAnsi="Times New Roman" w:cs="Times New Roman"/>
                <w:color w:val="000000"/>
              </w:rPr>
              <w:t>(3)</w:t>
            </w:r>
            <w:r w:rsidR="00FC38D9" w:rsidRPr="00B912DC">
              <w:rPr>
                <w:rFonts w:ascii="Times New Roman" w:eastAsia="Times New Roman" w:hAnsi="Times New Roman" w:cs="Times New Roman"/>
                <w:color w:val="000000"/>
              </w:rPr>
              <w:t>50%</w:t>
            </w:r>
          </w:p>
        </w:tc>
        <w:tc>
          <w:tcPr>
            <w:tcW w:w="1530" w:type="dxa"/>
            <w:tcBorders>
              <w:left w:val="triple" w:sz="4" w:space="0" w:color="auto"/>
              <w:right w:val="single" w:sz="18" w:space="0" w:color="auto"/>
            </w:tcBorders>
            <w:noWrap/>
            <w:vAlign w:val="center"/>
            <w:hideMark/>
          </w:tcPr>
          <w:p w14:paraId="106BBDA6"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293</w:t>
            </w:r>
          </w:p>
        </w:tc>
        <w:tc>
          <w:tcPr>
            <w:tcW w:w="1530" w:type="dxa"/>
            <w:tcBorders>
              <w:left w:val="single" w:sz="18" w:space="0" w:color="auto"/>
              <w:right w:val="single" w:sz="18" w:space="0" w:color="auto"/>
            </w:tcBorders>
            <w:noWrap/>
            <w:vAlign w:val="center"/>
            <w:hideMark/>
          </w:tcPr>
          <w:p w14:paraId="10574507" w14:textId="2C0F45A9" w:rsidR="00FC38D9" w:rsidRPr="00B912DC" w:rsidRDefault="00FC38D9" w:rsidP="00632A77">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226</w:t>
            </w:r>
          </w:p>
        </w:tc>
        <w:tc>
          <w:tcPr>
            <w:tcW w:w="1890" w:type="dxa"/>
            <w:tcBorders>
              <w:left w:val="single" w:sz="18" w:space="0" w:color="auto"/>
              <w:right w:val="single" w:sz="18" w:space="0" w:color="auto"/>
            </w:tcBorders>
            <w:noWrap/>
            <w:vAlign w:val="center"/>
            <w:hideMark/>
          </w:tcPr>
          <w:p w14:paraId="7EFFC819"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181</w:t>
            </w:r>
          </w:p>
        </w:tc>
        <w:tc>
          <w:tcPr>
            <w:tcW w:w="1260" w:type="dxa"/>
            <w:tcBorders>
              <w:left w:val="single" w:sz="18" w:space="0" w:color="auto"/>
              <w:right w:val="single" w:sz="18" w:space="0" w:color="auto"/>
            </w:tcBorders>
            <w:noWrap/>
            <w:vAlign w:val="center"/>
            <w:hideMark/>
          </w:tcPr>
          <w:p w14:paraId="35AC6DE1"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252</w:t>
            </w:r>
          </w:p>
        </w:tc>
      </w:tr>
      <w:tr w:rsidR="00FC38D9" w:rsidRPr="00B912DC" w14:paraId="12EF3EA8" w14:textId="77777777" w:rsidTr="00DB4EAD">
        <w:trPr>
          <w:trHeight w:val="300"/>
        </w:trPr>
        <w:tc>
          <w:tcPr>
            <w:tcW w:w="2448" w:type="dxa"/>
            <w:tcBorders>
              <w:right w:val="triple" w:sz="4" w:space="0" w:color="auto"/>
            </w:tcBorders>
            <w:noWrap/>
            <w:vAlign w:val="center"/>
            <w:hideMark/>
          </w:tcPr>
          <w:p w14:paraId="2720D071" w14:textId="2A0A10F2" w:rsidR="00FC38D9" w:rsidRPr="00B912DC" w:rsidRDefault="00E150AB" w:rsidP="00B66A8C">
            <w:pPr>
              <w:keepNext/>
              <w:keepLines/>
              <w:rPr>
                <w:rFonts w:ascii="Times New Roman" w:eastAsia="Times New Roman" w:hAnsi="Times New Roman" w:cs="Times New Roman"/>
                <w:color w:val="000000"/>
              </w:rPr>
            </w:pPr>
            <w:r>
              <w:rPr>
                <w:rFonts w:ascii="Times New Roman" w:eastAsia="Times New Roman" w:hAnsi="Times New Roman" w:cs="Times New Roman"/>
                <w:color w:val="000000"/>
              </w:rPr>
              <w:t>(4)</w:t>
            </w:r>
            <w:r w:rsidR="00FC38D9" w:rsidRPr="00B912DC">
              <w:rPr>
                <w:rFonts w:ascii="Times New Roman" w:eastAsia="Times New Roman" w:hAnsi="Times New Roman" w:cs="Times New Roman"/>
                <w:color w:val="000000"/>
              </w:rPr>
              <w:t>75%</w:t>
            </w:r>
          </w:p>
        </w:tc>
        <w:tc>
          <w:tcPr>
            <w:tcW w:w="1530" w:type="dxa"/>
            <w:tcBorders>
              <w:left w:val="triple" w:sz="4" w:space="0" w:color="auto"/>
              <w:right w:val="single" w:sz="18" w:space="0" w:color="auto"/>
            </w:tcBorders>
            <w:noWrap/>
            <w:vAlign w:val="center"/>
            <w:hideMark/>
          </w:tcPr>
          <w:p w14:paraId="30E943C3"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487</w:t>
            </w:r>
          </w:p>
        </w:tc>
        <w:tc>
          <w:tcPr>
            <w:tcW w:w="1530" w:type="dxa"/>
            <w:tcBorders>
              <w:left w:val="single" w:sz="18" w:space="0" w:color="auto"/>
              <w:right w:val="single" w:sz="18" w:space="0" w:color="auto"/>
            </w:tcBorders>
            <w:noWrap/>
            <w:vAlign w:val="center"/>
            <w:hideMark/>
          </w:tcPr>
          <w:p w14:paraId="7FD958F7"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407</w:t>
            </w:r>
          </w:p>
        </w:tc>
        <w:tc>
          <w:tcPr>
            <w:tcW w:w="1890" w:type="dxa"/>
            <w:tcBorders>
              <w:left w:val="single" w:sz="18" w:space="0" w:color="auto"/>
              <w:right w:val="single" w:sz="18" w:space="0" w:color="auto"/>
            </w:tcBorders>
            <w:noWrap/>
            <w:vAlign w:val="center"/>
            <w:hideMark/>
          </w:tcPr>
          <w:p w14:paraId="503706B9"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343</w:t>
            </w:r>
          </w:p>
        </w:tc>
        <w:tc>
          <w:tcPr>
            <w:tcW w:w="1260" w:type="dxa"/>
            <w:tcBorders>
              <w:left w:val="single" w:sz="18" w:space="0" w:color="auto"/>
              <w:right w:val="single" w:sz="18" w:space="0" w:color="auto"/>
            </w:tcBorders>
            <w:noWrap/>
            <w:vAlign w:val="center"/>
            <w:hideMark/>
          </w:tcPr>
          <w:p w14:paraId="6A09BEF2"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643</w:t>
            </w:r>
          </w:p>
        </w:tc>
      </w:tr>
      <w:tr w:rsidR="00FC38D9" w:rsidRPr="00B912DC" w14:paraId="4B98CD8B" w14:textId="77777777" w:rsidTr="00DB4EAD">
        <w:trPr>
          <w:trHeight w:val="300"/>
        </w:trPr>
        <w:tc>
          <w:tcPr>
            <w:tcW w:w="2448" w:type="dxa"/>
            <w:tcBorders>
              <w:right w:val="triple" w:sz="4" w:space="0" w:color="auto"/>
            </w:tcBorders>
            <w:noWrap/>
            <w:vAlign w:val="center"/>
            <w:hideMark/>
          </w:tcPr>
          <w:p w14:paraId="7F43665B" w14:textId="5F38D480" w:rsidR="00FC38D9" w:rsidRPr="00B912DC" w:rsidRDefault="00E150AB" w:rsidP="00B66A8C">
            <w:pPr>
              <w:keepNext/>
              <w:keepLines/>
              <w:rPr>
                <w:rFonts w:ascii="Times New Roman" w:eastAsia="Times New Roman" w:hAnsi="Times New Roman" w:cs="Times New Roman"/>
                <w:color w:val="000000"/>
              </w:rPr>
            </w:pPr>
            <w:r>
              <w:rPr>
                <w:rFonts w:ascii="Times New Roman" w:eastAsia="Times New Roman" w:hAnsi="Times New Roman" w:cs="Times New Roman"/>
                <w:color w:val="000000"/>
              </w:rPr>
              <w:t>(5)</w:t>
            </w:r>
            <w:r w:rsidR="00FC38D9" w:rsidRPr="00B912DC">
              <w:rPr>
                <w:rFonts w:ascii="Times New Roman" w:eastAsia="Times New Roman" w:hAnsi="Times New Roman" w:cs="Times New Roman"/>
                <w:color w:val="000000"/>
              </w:rPr>
              <w:t>90%</w:t>
            </w:r>
          </w:p>
        </w:tc>
        <w:tc>
          <w:tcPr>
            <w:tcW w:w="1530" w:type="dxa"/>
            <w:tcBorders>
              <w:left w:val="triple" w:sz="4" w:space="0" w:color="auto"/>
              <w:right w:val="single" w:sz="18" w:space="0" w:color="auto"/>
            </w:tcBorders>
            <w:noWrap/>
            <w:vAlign w:val="center"/>
            <w:hideMark/>
          </w:tcPr>
          <w:p w14:paraId="57BA9B28"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785</w:t>
            </w:r>
          </w:p>
        </w:tc>
        <w:tc>
          <w:tcPr>
            <w:tcW w:w="1530" w:type="dxa"/>
            <w:tcBorders>
              <w:left w:val="single" w:sz="18" w:space="0" w:color="auto"/>
              <w:right w:val="single" w:sz="18" w:space="0" w:color="auto"/>
            </w:tcBorders>
            <w:noWrap/>
            <w:vAlign w:val="center"/>
            <w:hideMark/>
          </w:tcPr>
          <w:p w14:paraId="2CDF2F2A"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663</w:t>
            </w:r>
          </w:p>
        </w:tc>
        <w:tc>
          <w:tcPr>
            <w:tcW w:w="1890" w:type="dxa"/>
            <w:tcBorders>
              <w:left w:val="single" w:sz="18" w:space="0" w:color="auto"/>
              <w:right w:val="single" w:sz="18" w:space="0" w:color="auto"/>
            </w:tcBorders>
            <w:noWrap/>
            <w:vAlign w:val="center"/>
            <w:hideMark/>
          </w:tcPr>
          <w:p w14:paraId="09212BBD"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572</w:t>
            </w:r>
          </w:p>
        </w:tc>
        <w:tc>
          <w:tcPr>
            <w:tcW w:w="1260" w:type="dxa"/>
            <w:tcBorders>
              <w:left w:val="single" w:sz="18" w:space="0" w:color="auto"/>
              <w:right w:val="single" w:sz="18" w:space="0" w:color="auto"/>
            </w:tcBorders>
            <w:noWrap/>
            <w:vAlign w:val="center"/>
            <w:hideMark/>
          </w:tcPr>
          <w:p w14:paraId="58979E17"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1,059</w:t>
            </w:r>
          </w:p>
        </w:tc>
      </w:tr>
      <w:tr w:rsidR="00FC38D9" w:rsidRPr="00B912DC" w14:paraId="07150782" w14:textId="77777777" w:rsidTr="00DB4EAD">
        <w:trPr>
          <w:trHeight w:val="300"/>
        </w:trPr>
        <w:tc>
          <w:tcPr>
            <w:tcW w:w="2448" w:type="dxa"/>
            <w:tcBorders>
              <w:right w:val="triple" w:sz="4" w:space="0" w:color="auto"/>
            </w:tcBorders>
            <w:noWrap/>
            <w:vAlign w:val="center"/>
            <w:hideMark/>
          </w:tcPr>
          <w:p w14:paraId="40122AA2" w14:textId="223D225F" w:rsidR="00FC38D9" w:rsidRPr="00B912DC" w:rsidRDefault="00E150AB" w:rsidP="00B66A8C">
            <w:pPr>
              <w:keepNext/>
              <w:keepLines/>
              <w:rPr>
                <w:rFonts w:ascii="Times New Roman" w:eastAsia="Times New Roman" w:hAnsi="Times New Roman" w:cs="Times New Roman"/>
                <w:color w:val="000000"/>
              </w:rPr>
            </w:pPr>
            <w:r>
              <w:rPr>
                <w:rFonts w:ascii="Times New Roman" w:eastAsia="Times New Roman" w:hAnsi="Times New Roman" w:cs="Times New Roman"/>
                <w:color w:val="000000"/>
              </w:rPr>
              <w:t>(6)</w:t>
            </w:r>
            <w:r w:rsidR="00FC38D9" w:rsidRPr="00B912DC">
              <w:rPr>
                <w:rFonts w:ascii="Times New Roman" w:eastAsia="Times New Roman" w:hAnsi="Times New Roman" w:cs="Times New Roman"/>
                <w:color w:val="000000"/>
              </w:rPr>
              <w:t>Average</w:t>
            </w:r>
          </w:p>
        </w:tc>
        <w:tc>
          <w:tcPr>
            <w:tcW w:w="1530" w:type="dxa"/>
            <w:tcBorders>
              <w:left w:val="triple" w:sz="4" w:space="0" w:color="auto"/>
              <w:right w:val="single" w:sz="18" w:space="0" w:color="auto"/>
            </w:tcBorders>
            <w:noWrap/>
            <w:vAlign w:val="center"/>
            <w:hideMark/>
          </w:tcPr>
          <w:p w14:paraId="13FA5A3A"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363</w:t>
            </w:r>
          </w:p>
        </w:tc>
        <w:tc>
          <w:tcPr>
            <w:tcW w:w="1530" w:type="dxa"/>
            <w:tcBorders>
              <w:left w:val="single" w:sz="18" w:space="0" w:color="auto"/>
              <w:right w:val="single" w:sz="18" w:space="0" w:color="auto"/>
            </w:tcBorders>
            <w:noWrap/>
            <w:vAlign w:val="center"/>
            <w:hideMark/>
          </w:tcPr>
          <w:p w14:paraId="06642097"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302</w:t>
            </w:r>
          </w:p>
        </w:tc>
        <w:tc>
          <w:tcPr>
            <w:tcW w:w="1890" w:type="dxa"/>
            <w:tcBorders>
              <w:left w:val="single" w:sz="18" w:space="0" w:color="auto"/>
              <w:right w:val="single" w:sz="18" w:space="0" w:color="auto"/>
            </w:tcBorders>
            <w:noWrap/>
            <w:vAlign w:val="center"/>
            <w:hideMark/>
          </w:tcPr>
          <w:p w14:paraId="4A42F934"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251</w:t>
            </w:r>
          </w:p>
        </w:tc>
        <w:tc>
          <w:tcPr>
            <w:tcW w:w="1260" w:type="dxa"/>
            <w:tcBorders>
              <w:left w:val="single" w:sz="18" w:space="0" w:color="auto"/>
              <w:right w:val="single" w:sz="18" w:space="0" w:color="auto"/>
            </w:tcBorders>
            <w:noWrap/>
            <w:vAlign w:val="center"/>
            <w:hideMark/>
          </w:tcPr>
          <w:p w14:paraId="065F0A26"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407</w:t>
            </w:r>
          </w:p>
        </w:tc>
      </w:tr>
      <w:tr w:rsidR="00FC38D9" w:rsidRPr="00B912DC" w14:paraId="0C717EBE" w14:textId="77777777" w:rsidTr="00DB4EAD">
        <w:trPr>
          <w:trHeight w:val="300"/>
        </w:trPr>
        <w:tc>
          <w:tcPr>
            <w:tcW w:w="2448" w:type="dxa"/>
            <w:tcBorders>
              <w:bottom w:val="triple" w:sz="4" w:space="0" w:color="auto"/>
              <w:right w:val="triple" w:sz="4" w:space="0" w:color="auto"/>
            </w:tcBorders>
            <w:noWrap/>
            <w:vAlign w:val="center"/>
            <w:hideMark/>
          </w:tcPr>
          <w:p w14:paraId="4CCDC671" w14:textId="1E5C5142" w:rsidR="00FC38D9" w:rsidRPr="00B912DC" w:rsidRDefault="00E150AB" w:rsidP="00B66A8C">
            <w:pPr>
              <w:keepNext/>
              <w:keepLines/>
              <w:rPr>
                <w:rFonts w:ascii="Times New Roman" w:eastAsia="Times New Roman" w:hAnsi="Times New Roman" w:cs="Times New Roman"/>
                <w:color w:val="000000"/>
              </w:rPr>
            </w:pPr>
            <w:r>
              <w:rPr>
                <w:rFonts w:ascii="Times New Roman" w:eastAsia="Times New Roman" w:hAnsi="Times New Roman" w:cs="Times New Roman"/>
                <w:color w:val="000000"/>
              </w:rPr>
              <w:t>(7)</w:t>
            </w:r>
            <w:r w:rsidR="00FC38D9" w:rsidRPr="00B912DC">
              <w:rPr>
                <w:rFonts w:ascii="Times New Roman" w:eastAsia="Times New Roman" w:hAnsi="Times New Roman" w:cs="Times New Roman"/>
                <w:color w:val="000000"/>
              </w:rPr>
              <w:t>Standard Deviation.</w:t>
            </w:r>
          </w:p>
        </w:tc>
        <w:tc>
          <w:tcPr>
            <w:tcW w:w="1530" w:type="dxa"/>
            <w:tcBorders>
              <w:left w:val="triple" w:sz="4" w:space="0" w:color="auto"/>
              <w:bottom w:val="triple" w:sz="4" w:space="0" w:color="auto"/>
              <w:right w:val="single" w:sz="18" w:space="0" w:color="auto"/>
            </w:tcBorders>
            <w:noWrap/>
            <w:vAlign w:val="center"/>
            <w:hideMark/>
          </w:tcPr>
          <w:p w14:paraId="0D42AA15"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303</w:t>
            </w:r>
          </w:p>
        </w:tc>
        <w:tc>
          <w:tcPr>
            <w:tcW w:w="1530" w:type="dxa"/>
            <w:tcBorders>
              <w:left w:val="single" w:sz="18" w:space="0" w:color="auto"/>
              <w:bottom w:val="triple" w:sz="4" w:space="0" w:color="auto"/>
              <w:right w:val="single" w:sz="18" w:space="0" w:color="auto"/>
            </w:tcBorders>
            <w:noWrap/>
            <w:vAlign w:val="center"/>
            <w:hideMark/>
          </w:tcPr>
          <w:p w14:paraId="5183909D"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272</w:t>
            </w:r>
          </w:p>
        </w:tc>
        <w:tc>
          <w:tcPr>
            <w:tcW w:w="1890" w:type="dxa"/>
            <w:tcBorders>
              <w:left w:val="single" w:sz="18" w:space="0" w:color="auto"/>
              <w:bottom w:val="triple" w:sz="4" w:space="0" w:color="auto"/>
              <w:right w:val="single" w:sz="18" w:space="0" w:color="auto"/>
            </w:tcBorders>
            <w:noWrap/>
            <w:vAlign w:val="center"/>
            <w:hideMark/>
          </w:tcPr>
          <w:p w14:paraId="3F4FBE96"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260</w:t>
            </w:r>
          </w:p>
        </w:tc>
        <w:tc>
          <w:tcPr>
            <w:tcW w:w="1260" w:type="dxa"/>
            <w:tcBorders>
              <w:left w:val="single" w:sz="18" w:space="0" w:color="auto"/>
              <w:bottom w:val="triple" w:sz="4" w:space="0" w:color="auto"/>
              <w:right w:val="single" w:sz="18" w:space="0" w:color="auto"/>
            </w:tcBorders>
            <w:noWrap/>
            <w:vAlign w:val="center"/>
            <w:hideMark/>
          </w:tcPr>
          <w:p w14:paraId="714F5B61"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412</w:t>
            </w:r>
          </w:p>
        </w:tc>
      </w:tr>
      <w:tr w:rsidR="00FC38D9" w:rsidRPr="00B912DC" w14:paraId="0B46E6C9" w14:textId="77777777" w:rsidTr="00DB4EAD">
        <w:trPr>
          <w:trHeight w:val="300"/>
        </w:trPr>
        <w:tc>
          <w:tcPr>
            <w:tcW w:w="2448" w:type="dxa"/>
            <w:tcBorders>
              <w:top w:val="triple" w:sz="4" w:space="0" w:color="auto"/>
              <w:right w:val="triple" w:sz="4" w:space="0" w:color="auto"/>
            </w:tcBorders>
            <w:noWrap/>
            <w:vAlign w:val="center"/>
            <w:hideMark/>
          </w:tcPr>
          <w:p w14:paraId="79180514" w14:textId="77777777" w:rsidR="00FC38D9" w:rsidRPr="00B912DC" w:rsidRDefault="00FC38D9" w:rsidP="00B66A8C">
            <w:pPr>
              <w:keepNext/>
              <w:keepLines/>
              <w:rPr>
                <w:rFonts w:ascii="Times New Roman" w:eastAsia="Times New Roman" w:hAnsi="Times New Roman" w:cs="Times New Roman"/>
                <w:color w:val="000000"/>
              </w:rPr>
            </w:pPr>
            <w:r w:rsidRPr="00B912DC">
              <w:rPr>
                <w:rFonts w:ascii="Times New Roman" w:eastAsia="Times New Roman" w:hAnsi="Times New Roman" w:cs="Times New Roman"/>
                <w:color w:val="000000"/>
              </w:rPr>
              <w:t>Number of Cases</w:t>
            </w:r>
          </w:p>
        </w:tc>
        <w:tc>
          <w:tcPr>
            <w:tcW w:w="1530" w:type="dxa"/>
            <w:tcBorders>
              <w:top w:val="triple" w:sz="4" w:space="0" w:color="auto"/>
              <w:left w:val="triple" w:sz="4" w:space="0" w:color="auto"/>
              <w:right w:val="single" w:sz="18" w:space="0" w:color="auto"/>
            </w:tcBorders>
            <w:noWrap/>
            <w:vAlign w:val="center"/>
            <w:hideMark/>
          </w:tcPr>
          <w:p w14:paraId="2987CA1A"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2,389</w:t>
            </w:r>
          </w:p>
        </w:tc>
        <w:tc>
          <w:tcPr>
            <w:tcW w:w="1530" w:type="dxa"/>
            <w:tcBorders>
              <w:top w:val="triple" w:sz="4" w:space="0" w:color="auto"/>
              <w:left w:val="single" w:sz="18" w:space="0" w:color="auto"/>
              <w:right w:val="single" w:sz="18" w:space="0" w:color="auto"/>
            </w:tcBorders>
            <w:noWrap/>
            <w:vAlign w:val="center"/>
            <w:hideMark/>
          </w:tcPr>
          <w:p w14:paraId="59610868"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4,778</w:t>
            </w:r>
          </w:p>
        </w:tc>
        <w:tc>
          <w:tcPr>
            <w:tcW w:w="1890" w:type="dxa"/>
            <w:tcBorders>
              <w:top w:val="triple" w:sz="4" w:space="0" w:color="auto"/>
              <w:left w:val="single" w:sz="18" w:space="0" w:color="auto"/>
              <w:right w:val="single" w:sz="18" w:space="0" w:color="auto"/>
            </w:tcBorders>
            <w:noWrap/>
            <w:vAlign w:val="center"/>
            <w:hideMark/>
          </w:tcPr>
          <w:p w14:paraId="7A8C6A20"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1,424</w:t>
            </w:r>
          </w:p>
        </w:tc>
        <w:tc>
          <w:tcPr>
            <w:tcW w:w="1260" w:type="dxa"/>
            <w:tcBorders>
              <w:top w:val="triple" w:sz="4" w:space="0" w:color="auto"/>
              <w:left w:val="single" w:sz="18" w:space="0" w:color="auto"/>
              <w:right w:val="single" w:sz="18" w:space="0" w:color="auto"/>
            </w:tcBorders>
            <w:noWrap/>
            <w:vAlign w:val="center"/>
            <w:hideMark/>
          </w:tcPr>
          <w:p w14:paraId="77D0407D" w14:textId="77777777" w:rsidR="00FC38D9" w:rsidRPr="00B912DC" w:rsidRDefault="00FC38D9" w:rsidP="00B66A8C">
            <w:pPr>
              <w:keepNext/>
              <w:keepLines/>
              <w:jc w:val="right"/>
              <w:rPr>
                <w:rFonts w:ascii="Times New Roman" w:eastAsia="Times New Roman" w:hAnsi="Times New Roman" w:cs="Times New Roman"/>
                <w:color w:val="000000"/>
              </w:rPr>
            </w:pPr>
            <w:r w:rsidRPr="00B912DC">
              <w:rPr>
                <w:rFonts w:ascii="Times New Roman" w:eastAsia="Times New Roman" w:hAnsi="Times New Roman" w:cs="Times New Roman"/>
                <w:color w:val="000000"/>
              </w:rPr>
              <w:t>217,253</w:t>
            </w:r>
          </w:p>
        </w:tc>
      </w:tr>
    </w:tbl>
    <w:p w14:paraId="3A106BBC" w14:textId="77777777" w:rsidR="00FC38D9" w:rsidRDefault="00FC38D9" w:rsidP="00FC38D9">
      <w:pPr>
        <w:spacing w:line="480" w:lineRule="auto"/>
        <w:ind w:firstLine="720"/>
        <w:rPr>
          <w:rFonts w:ascii="Times New Roman" w:hAnsi="Times New Roman" w:cs="Times New Roman"/>
        </w:rPr>
      </w:pPr>
    </w:p>
    <w:p w14:paraId="2301E669" w14:textId="60F03910" w:rsidR="00FC38D9" w:rsidRPr="00B912DC"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 xml:space="preserve">The median time to conversion or dismissal for individual chapter 11 cases is 293 days, or between nine and ten months. </w:t>
      </w:r>
      <w:r w:rsidR="00E150AB">
        <w:rPr>
          <w:rFonts w:ascii="Times New Roman" w:hAnsi="Times New Roman" w:cs="Times New Roman"/>
          <w:i/>
        </w:rPr>
        <w:t xml:space="preserve">See </w:t>
      </w:r>
      <w:r w:rsidR="00E150AB">
        <w:rPr>
          <w:rFonts w:ascii="Times New Roman" w:hAnsi="Times New Roman" w:cs="Times New Roman"/>
        </w:rPr>
        <w:t xml:space="preserve">Table 52, Column (A), Row (3). </w:t>
      </w:r>
      <w:r w:rsidRPr="00B912DC">
        <w:rPr>
          <w:rFonts w:ascii="Times New Roman" w:hAnsi="Times New Roman" w:cs="Times New Roman"/>
        </w:rPr>
        <w:t xml:space="preserve">At about sixteen months, 75% of the individual chapter 11 failures had been kicked out of the system. It took 140 days—between four and five months—to kick out just 25% of the individual chapter 11 failures. </w:t>
      </w:r>
      <w:r w:rsidR="00E150AB">
        <w:rPr>
          <w:rFonts w:ascii="Times New Roman" w:hAnsi="Times New Roman" w:cs="Times New Roman"/>
          <w:i/>
        </w:rPr>
        <w:t xml:space="preserve">See </w:t>
      </w:r>
      <w:r w:rsidR="00E150AB">
        <w:rPr>
          <w:rFonts w:ascii="Times New Roman" w:hAnsi="Times New Roman" w:cs="Times New Roman"/>
        </w:rPr>
        <w:t xml:space="preserve">Table 52, Column (A), Row (2). </w:t>
      </w:r>
      <w:r w:rsidRPr="00B912DC">
        <w:rPr>
          <w:rFonts w:ascii="Times New Roman" w:hAnsi="Times New Roman" w:cs="Times New Roman"/>
        </w:rPr>
        <w:t xml:space="preserve">This time to dismissal is substantially longer than the times estimated by Morrison and </w:t>
      </w:r>
      <w:r w:rsidR="00C16004">
        <w:rPr>
          <w:rFonts w:ascii="Times New Roman" w:hAnsi="Times New Roman" w:cs="Times New Roman"/>
        </w:rPr>
        <w:t xml:space="preserve">by </w:t>
      </w:r>
      <w:r w:rsidRPr="00B912DC">
        <w:rPr>
          <w:rFonts w:ascii="Times New Roman" w:hAnsi="Times New Roman" w:cs="Times New Roman"/>
        </w:rPr>
        <w:t>Warren and Westbrook, but, as noted above, measurements are not directly comparable given the differences in samples.</w:t>
      </w:r>
    </w:p>
    <w:p w14:paraId="1AF11F31" w14:textId="062CC851" w:rsidR="00FC38D9" w:rsidRPr="00B912DC"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A comparison between individual and corporate chapter 11 cases is more difficult because of the different rules for discharge. Once a corporate chapter 11 debtor confirms a plan, it receives a discharge in short order.</w:t>
      </w:r>
      <w:r w:rsidRPr="00B912DC">
        <w:rPr>
          <w:rStyle w:val="FootnoteReference"/>
          <w:rFonts w:ascii="Times New Roman" w:hAnsi="Times New Roman" w:cs="Times New Roman"/>
        </w:rPr>
        <w:footnoteReference w:id="294"/>
      </w:r>
      <w:r w:rsidRPr="00B912DC">
        <w:rPr>
          <w:rFonts w:ascii="Times New Roman" w:hAnsi="Times New Roman" w:cs="Times New Roman"/>
        </w:rPr>
        <w:t xml:space="preserve"> If it later cannot pay the obligations set forth in its plan, it may re-</w:t>
      </w:r>
      <w:r w:rsidR="00E8194C">
        <w:rPr>
          <w:rFonts w:ascii="Times New Roman" w:hAnsi="Times New Roman" w:cs="Times New Roman"/>
        </w:rPr>
        <w:t>file</w:t>
      </w:r>
      <w:r w:rsidRPr="00B912DC">
        <w:rPr>
          <w:rFonts w:ascii="Times New Roman" w:hAnsi="Times New Roman" w:cs="Times New Roman"/>
        </w:rPr>
        <w:t xml:space="preserve"> bankruptcy, but its </w:t>
      </w:r>
      <w:r w:rsidR="00E8194C">
        <w:rPr>
          <w:rFonts w:ascii="Times New Roman" w:hAnsi="Times New Roman" w:cs="Times New Roman"/>
        </w:rPr>
        <w:t>discharge is unaffected</w:t>
      </w:r>
      <w:r w:rsidRPr="00B912DC">
        <w:rPr>
          <w:rFonts w:ascii="Times New Roman" w:hAnsi="Times New Roman" w:cs="Times New Roman"/>
        </w:rPr>
        <w:t>. By contrast, an individual debtor does not receive a discharge until plan payments are complete.</w:t>
      </w:r>
      <w:r w:rsidRPr="00B912DC">
        <w:rPr>
          <w:rStyle w:val="FootnoteReference"/>
          <w:rFonts w:ascii="Times New Roman" w:hAnsi="Times New Roman" w:cs="Times New Roman"/>
        </w:rPr>
        <w:footnoteReference w:id="295"/>
      </w:r>
      <w:r w:rsidRPr="00B912DC">
        <w:rPr>
          <w:rFonts w:ascii="Times New Roman" w:hAnsi="Times New Roman" w:cs="Times New Roman"/>
        </w:rPr>
        <w:t xml:space="preserve"> </w:t>
      </w:r>
      <w:r>
        <w:rPr>
          <w:rFonts w:ascii="Times New Roman" w:hAnsi="Times New Roman" w:cs="Times New Roman"/>
        </w:rPr>
        <w:t>Therefore, w</w:t>
      </w:r>
      <w:r w:rsidRPr="00B912DC">
        <w:rPr>
          <w:rFonts w:ascii="Times New Roman" w:hAnsi="Times New Roman" w:cs="Times New Roman"/>
        </w:rPr>
        <w:t>e should expect individual chapter 11 cases to last longer before dismissal, and this is indeed what we find. The median time to dismissal for corporat</w:t>
      </w:r>
      <w:r w:rsidR="0008535A">
        <w:rPr>
          <w:rFonts w:ascii="Times New Roman" w:hAnsi="Times New Roman" w:cs="Times New Roman"/>
        </w:rPr>
        <w:t>e chapter 11 cases is 226 days—</w:t>
      </w:r>
      <w:r w:rsidRPr="00B912DC">
        <w:rPr>
          <w:rFonts w:ascii="Times New Roman" w:hAnsi="Times New Roman" w:cs="Times New Roman"/>
        </w:rPr>
        <w:t xml:space="preserve">about two months shorter than the median time for individual chapter 11 cases. </w:t>
      </w:r>
      <w:r w:rsidR="00632A77">
        <w:rPr>
          <w:rFonts w:ascii="Times New Roman" w:hAnsi="Times New Roman" w:cs="Times New Roman"/>
          <w:i/>
        </w:rPr>
        <w:t xml:space="preserve">Compare </w:t>
      </w:r>
      <w:r w:rsidR="00632A77">
        <w:rPr>
          <w:rFonts w:ascii="Times New Roman" w:hAnsi="Times New Roman" w:cs="Times New Roman"/>
        </w:rPr>
        <w:t xml:space="preserve">Column (B), Row (3) </w:t>
      </w:r>
      <w:r w:rsidR="00632A77">
        <w:rPr>
          <w:rFonts w:ascii="Times New Roman" w:hAnsi="Times New Roman" w:cs="Times New Roman"/>
          <w:i/>
        </w:rPr>
        <w:t xml:space="preserve">with </w:t>
      </w:r>
      <w:r w:rsidR="00632A77">
        <w:rPr>
          <w:rFonts w:ascii="Times New Roman" w:hAnsi="Times New Roman" w:cs="Times New Roman"/>
        </w:rPr>
        <w:t xml:space="preserve">Column (A), Row (3). </w:t>
      </w:r>
      <w:r w:rsidRPr="00B912DC">
        <w:rPr>
          <w:rFonts w:ascii="Times New Roman" w:hAnsi="Times New Roman" w:cs="Times New Roman"/>
        </w:rPr>
        <w:t xml:space="preserve">The difference between the timing of small business bankruptcies and individual chapter 11 bankruptcies is especially pronounced, probably due to the deadlines imposed on </w:t>
      </w:r>
      <w:r>
        <w:rPr>
          <w:rFonts w:ascii="Times New Roman" w:hAnsi="Times New Roman" w:cs="Times New Roman"/>
        </w:rPr>
        <w:t>small business</w:t>
      </w:r>
      <w:r w:rsidRPr="00B912DC">
        <w:rPr>
          <w:rFonts w:ascii="Times New Roman" w:hAnsi="Times New Roman" w:cs="Times New Roman"/>
        </w:rPr>
        <w:t xml:space="preserve"> debtors.</w:t>
      </w:r>
      <w:r w:rsidR="00632A77">
        <w:rPr>
          <w:rFonts w:ascii="Times New Roman" w:hAnsi="Times New Roman" w:cs="Times New Roman"/>
        </w:rPr>
        <w:t xml:space="preserve"> </w:t>
      </w:r>
      <w:r w:rsidR="00632A77">
        <w:rPr>
          <w:rFonts w:ascii="Times New Roman" w:hAnsi="Times New Roman" w:cs="Times New Roman"/>
          <w:i/>
        </w:rPr>
        <w:t xml:space="preserve">Compare, e.g., </w:t>
      </w:r>
      <w:r w:rsidR="00632A77">
        <w:rPr>
          <w:rFonts w:ascii="Times New Roman" w:hAnsi="Times New Roman" w:cs="Times New Roman"/>
        </w:rPr>
        <w:t xml:space="preserve">Column (C), Row (3) </w:t>
      </w:r>
      <w:r w:rsidR="00632A77">
        <w:rPr>
          <w:rFonts w:ascii="Times New Roman" w:hAnsi="Times New Roman" w:cs="Times New Roman"/>
          <w:i/>
        </w:rPr>
        <w:t xml:space="preserve">with </w:t>
      </w:r>
      <w:r w:rsidR="00632A77">
        <w:rPr>
          <w:rFonts w:ascii="Times New Roman" w:hAnsi="Times New Roman" w:cs="Times New Roman"/>
        </w:rPr>
        <w:t>Column (A), Row (3).</w:t>
      </w:r>
    </w:p>
    <w:p w14:paraId="2F46547F" w14:textId="64F6075F" w:rsidR="00FC38D9" w:rsidRPr="00B912DC" w:rsidRDefault="00FC38D9" w:rsidP="00FC38D9">
      <w:pPr>
        <w:spacing w:line="480" w:lineRule="auto"/>
        <w:ind w:firstLine="720"/>
        <w:rPr>
          <w:rFonts w:ascii="Times New Roman" w:hAnsi="Times New Roman" w:cs="Times New Roman"/>
        </w:rPr>
      </w:pPr>
      <w:r w:rsidRPr="00B912DC">
        <w:rPr>
          <w:rFonts w:ascii="Times New Roman" w:hAnsi="Times New Roman" w:cs="Times New Roman"/>
        </w:rPr>
        <w:t>A trustee monitors chapter 13 cases,</w:t>
      </w:r>
      <w:bookmarkStart w:id="34" w:name="_Ref333733571"/>
      <w:r w:rsidRPr="00B912DC">
        <w:rPr>
          <w:rStyle w:val="FootnoteReference"/>
          <w:rFonts w:ascii="Times New Roman" w:hAnsi="Times New Roman" w:cs="Times New Roman"/>
        </w:rPr>
        <w:footnoteReference w:id="296"/>
      </w:r>
      <w:bookmarkEnd w:id="34"/>
      <w:r w:rsidRPr="00B912DC">
        <w:rPr>
          <w:rFonts w:ascii="Times New Roman" w:hAnsi="Times New Roman" w:cs="Times New Roman"/>
        </w:rPr>
        <w:t xml:space="preserve"> and the debtor must meet strict deadlines.</w:t>
      </w:r>
      <w:bookmarkStart w:id="35" w:name="_Ref333764178"/>
      <w:r w:rsidR="0008535A">
        <w:rPr>
          <w:rStyle w:val="FootnoteReference"/>
          <w:rFonts w:ascii="Times New Roman" w:hAnsi="Times New Roman" w:cs="Times New Roman"/>
        </w:rPr>
        <w:footnoteReference w:id="297"/>
      </w:r>
      <w:bookmarkEnd w:id="35"/>
      <w:r w:rsidRPr="00B912DC">
        <w:rPr>
          <w:rFonts w:ascii="Times New Roman" w:hAnsi="Times New Roman" w:cs="Times New Roman"/>
        </w:rPr>
        <w:t xml:space="preserve"> Therefore, </w:t>
      </w:r>
      <w:r>
        <w:rPr>
          <w:rFonts w:ascii="Times New Roman" w:hAnsi="Times New Roman" w:cs="Times New Roman"/>
        </w:rPr>
        <w:t>we</w:t>
      </w:r>
      <w:r w:rsidRPr="00B912DC">
        <w:rPr>
          <w:rFonts w:ascii="Times New Roman" w:hAnsi="Times New Roman" w:cs="Times New Roman"/>
        </w:rPr>
        <w:t xml:space="preserve"> expect</w:t>
      </w:r>
      <w:r>
        <w:rPr>
          <w:rFonts w:ascii="Times New Roman" w:hAnsi="Times New Roman" w:cs="Times New Roman"/>
        </w:rPr>
        <w:t>ed to find</w:t>
      </w:r>
      <w:r w:rsidRPr="00B912DC">
        <w:rPr>
          <w:rFonts w:ascii="Times New Roman" w:hAnsi="Times New Roman" w:cs="Times New Roman"/>
        </w:rPr>
        <w:t xml:space="preserve"> failed chapter 13 cases kicked out more quickly, especially at the beginning of the process. This is exactly what we find. It </w:t>
      </w:r>
      <w:r w:rsidR="001E3A24">
        <w:rPr>
          <w:rFonts w:ascii="Times New Roman" w:hAnsi="Times New Roman" w:cs="Times New Roman"/>
        </w:rPr>
        <w:t xml:space="preserve">took </w:t>
      </w:r>
      <w:r w:rsidR="0008535A">
        <w:rPr>
          <w:rFonts w:ascii="Times New Roman" w:hAnsi="Times New Roman" w:cs="Times New Roman"/>
        </w:rPr>
        <w:t>just 7</w:t>
      </w:r>
      <w:r w:rsidR="00632A77">
        <w:rPr>
          <w:rFonts w:ascii="Times New Roman" w:hAnsi="Times New Roman" w:cs="Times New Roman"/>
        </w:rPr>
        <w:t>2</w:t>
      </w:r>
      <w:r w:rsidR="0008535A">
        <w:rPr>
          <w:rFonts w:ascii="Times New Roman" w:hAnsi="Times New Roman" w:cs="Times New Roman"/>
        </w:rPr>
        <w:t xml:space="preserve"> days to kick out 25</w:t>
      </w:r>
      <w:r w:rsidRPr="00B912DC">
        <w:rPr>
          <w:rFonts w:ascii="Times New Roman" w:hAnsi="Times New Roman" w:cs="Times New Roman"/>
        </w:rPr>
        <w:t xml:space="preserve">% of the chapter 13 failures (more than a month less than it </w:t>
      </w:r>
      <w:r w:rsidR="001E3A24">
        <w:rPr>
          <w:rFonts w:ascii="Times New Roman" w:hAnsi="Times New Roman" w:cs="Times New Roman"/>
        </w:rPr>
        <w:t xml:space="preserve">took </w:t>
      </w:r>
      <w:r w:rsidRPr="00B912DC">
        <w:rPr>
          <w:rFonts w:ascii="Times New Roman" w:hAnsi="Times New Roman" w:cs="Times New Roman"/>
        </w:rPr>
        <w:t xml:space="preserve">in individual chapter 11 cases). </w:t>
      </w:r>
      <w:r w:rsidR="00632A77">
        <w:rPr>
          <w:rFonts w:ascii="Times New Roman" w:hAnsi="Times New Roman" w:cs="Times New Roman"/>
          <w:i/>
        </w:rPr>
        <w:t xml:space="preserve">See </w:t>
      </w:r>
      <w:r w:rsidR="00632A77">
        <w:rPr>
          <w:rFonts w:ascii="Times New Roman" w:hAnsi="Times New Roman" w:cs="Times New Roman"/>
        </w:rPr>
        <w:t xml:space="preserve">Column (D), Row (2). </w:t>
      </w:r>
      <w:r w:rsidR="0008535A">
        <w:rPr>
          <w:rFonts w:ascii="Times New Roman" w:hAnsi="Times New Roman" w:cs="Times New Roman"/>
        </w:rPr>
        <w:t>T</w:t>
      </w:r>
      <w:r w:rsidRPr="00B912DC">
        <w:rPr>
          <w:rFonts w:ascii="Times New Roman" w:hAnsi="Times New Roman" w:cs="Times New Roman"/>
        </w:rPr>
        <w:t xml:space="preserve">he difference becomes less pronounced </w:t>
      </w:r>
      <w:r w:rsidR="00632A77">
        <w:rPr>
          <w:rFonts w:ascii="Times New Roman" w:hAnsi="Times New Roman" w:cs="Times New Roman"/>
        </w:rPr>
        <w:t xml:space="preserve">moving out the distribution of cases, </w:t>
      </w:r>
      <w:r w:rsidR="0008535A">
        <w:rPr>
          <w:rFonts w:ascii="Times New Roman" w:hAnsi="Times New Roman" w:cs="Times New Roman"/>
        </w:rPr>
        <w:t>however</w:t>
      </w:r>
      <w:r w:rsidRPr="00B912DC">
        <w:rPr>
          <w:rFonts w:ascii="Times New Roman" w:hAnsi="Times New Roman" w:cs="Times New Roman"/>
        </w:rPr>
        <w:t xml:space="preserve">. It </w:t>
      </w:r>
      <w:r w:rsidR="001E3A24">
        <w:rPr>
          <w:rFonts w:ascii="Times New Roman" w:hAnsi="Times New Roman" w:cs="Times New Roman"/>
        </w:rPr>
        <w:t xml:space="preserve">took </w:t>
      </w:r>
      <w:r w:rsidRPr="00B912DC">
        <w:rPr>
          <w:rFonts w:ascii="Times New Roman" w:hAnsi="Times New Roman" w:cs="Times New Roman"/>
        </w:rPr>
        <w:t>almost as long (239 days as opposed to 252) to kick out half of the chapter 13 debtors</w:t>
      </w:r>
      <w:r w:rsidR="00632A77">
        <w:rPr>
          <w:rFonts w:ascii="Times New Roman" w:hAnsi="Times New Roman" w:cs="Times New Roman"/>
        </w:rPr>
        <w:t xml:space="preserve"> as it did half of the individual chapter 11 deb</w:t>
      </w:r>
      <w:r w:rsidR="00D061DC">
        <w:rPr>
          <w:rFonts w:ascii="Times New Roman" w:hAnsi="Times New Roman" w:cs="Times New Roman"/>
        </w:rPr>
        <w:t>tors,</w:t>
      </w:r>
      <w:r w:rsidRPr="00B912DC">
        <w:rPr>
          <w:rFonts w:ascii="Times New Roman" w:hAnsi="Times New Roman" w:cs="Times New Roman"/>
        </w:rPr>
        <w:t xml:space="preserve"> and it actually </w:t>
      </w:r>
      <w:r w:rsidR="001E3A24">
        <w:rPr>
          <w:rFonts w:ascii="Times New Roman" w:hAnsi="Times New Roman" w:cs="Times New Roman"/>
        </w:rPr>
        <w:t xml:space="preserve">took </w:t>
      </w:r>
      <w:r w:rsidRPr="00B912DC">
        <w:rPr>
          <w:rFonts w:ascii="Times New Roman" w:hAnsi="Times New Roman" w:cs="Times New Roman"/>
        </w:rPr>
        <w:t>longer (1,051 versus 707</w:t>
      </w:r>
      <w:r w:rsidR="001E3A24">
        <w:rPr>
          <w:rFonts w:ascii="Times New Roman" w:hAnsi="Times New Roman" w:cs="Times New Roman"/>
        </w:rPr>
        <w:t xml:space="preserve"> </w:t>
      </w:r>
      <w:r w:rsidR="0008535A">
        <w:rPr>
          <w:rFonts w:ascii="Times New Roman" w:hAnsi="Times New Roman" w:cs="Times New Roman"/>
        </w:rPr>
        <w:t>days</w:t>
      </w:r>
      <w:r w:rsidRPr="00B912DC">
        <w:rPr>
          <w:rFonts w:ascii="Times New Roman" w:hAnsi="Times New Roman" w:cs="Times New Roman"/>
        </w:rPr>
        <w:t>) to kick out three-quarters of the chapter 13 debtors</w:t>
      </w:r>
      <w:r w:rsidR="00632A77">
        <w:rPr>
          <w:rFonts w:ascii="Times New Roman" w:hAnsi="Times New Roman" w:cs="Times New Roman"/>
        </w:rPr>
        <w:t xml:space="preserve"> than to kick out three-quarters of the individual chapter 11 debtors</w:t>
      </w:r>
      <w:r w:rsidRPr="00B912DC">
        <w:rPr>
          <w:rFonts w:ascii="Times New Roman" w:hAnsi="Times New Roman" w:cs="Times New Roman"/>
        </w:rPr>
        <w:t xml:space="preserve">. Perhaps this </w:t>
      </w:r>
      <w:r w:rsidR="00632A77">
        <w:rPr>
          <w:rFonts w:ascii="Times New Roman" w:hAnsi="Times New Roman" w:cs="Times New Roman"/>
        </w:rPr>
        <w:t xml:space="preserve">finding is </w:t>
      </w:r>
      <w:r w:rsidRPr="00B912DC">
        <w:rPr>
          <w:rFonts w:ascii="Times New Roman" w:hAnsi="Times New Roman" w:cs="Times New Roman"/>
        </w:rPr>
        <w:t>not surprising. The cases last</w:t>
      </w:r>
      <w:r w:rsidR="0008535A">
        <w:rPr>
          <w:rFonts w:ascii="Times New Roman" w:hAnsi="Times New Roman" w:cs="Times New Roman"/>
        </w:rPr>
        <w:t>ing</w:t>
      </w:r>
      <w:r w:rsidRPr="00B912DC">
        <w:rPr>
          <w:rFonts w:ascii="Times New Roman" w:hAnsi="Times New Roman" w:cs="Times New Roman"/>
        </w:rPr>
        <w:t xml:space="preserve"> the longest before failure will be cases in which the debtor fails to comply with a confirmed plan, and there is little reason to think that chapter 13 will identify and kick out these cases more quickly. In fact,</w:t>
      </w:r>
      <w:r w:rsidR="0008535A">
        <w:rPr>
          <w:rFonts w:ascii="Times New Roman" w:hAnsi="Times New Roman" w:cs="Times New Roman"/>
        </w:rPr>
        <w:t xml:space="preserve"> we </w:t>
      </w:r>
      <w:r w:rsidR="001E3A24">
        <w:rPr>
          <w:rFonts w:ascii="Times New Roman" w:hAnsi="Times New Roman" w:cs="Times New Roman"/>
        </w:rPr>
        <w:t xml:space="preserve">found </w:t>
      </w:r>
      <w:r w:rsidR="0008535A">
        <w:rPr>
          <w:rFonts w:ascii="Times New Roman" w:hAnsi="Times New Roman" w:cs="Times New Roman"/>
        </w:rPr>
        <w:t>that courts dismiss</w:t>
      </w:r>
      <w:r w:rsidR="001E3A24">
        <w:rPr>
          <w:rFonts w:ascii="Times New Roman" w:hAnsi="Times New Roman" w:cs="Times New Roman"/>
        </w:rPr>
        <w:t>ed</w:t>
      </w:r>
      <w:r w:rsidR="0008535A">
        <w:rPr>
          <w:rFonts w:ascii="Times New Roman" w:hAnsi="Times New Roman" w:cs="Times New Roman"/>
        </w:rPr>
        <w:t xml:space="preserve"> 75</w:t>
      </w:r>
      <w:r w:rsidRPr="00B912DC">
        <w:rPr>
          <w:rFonts w:ascii="Times New Roman" w:hAnsi="Times New Roman" w:cs="Times New Roman"/>
        </w:rPr>
        <w:t>% of the failed individual chapter 11 cases mo</w:t>
      </w:r>
      <w:r w:rsidR="001E3A24">
        <w:rPr>
          <w:rFonts w:ascii="Times New Roman" w:hAnsi="Times New Roman" w:cs="Times New Roman"/>
        </w:rPr>
        <w:t xml:space="preserve">re quickly than they dismissed </w:t>
      </w:r>
      <w:r w:rsidR="0008535A">
        <w:rPr>
          <w:rFonts w:ascii="Times New Roman" w:hAnsi="Times New Roman" w:cs="Times New Roman"/>
        </w:rPr>
        <w:t>75</w:t>
      </w:r>
      <w:r w:rsidRPr="00B912DC">
        <w:rPr>
          <w:rFonts w:ascii="Times New Roman" w:hAnsi="Times New Roman" w:cs="Times New Roman"/>
        </w:rPr>
        <w:t xml:space="preserve">% of the failed chapter 13 cases (405 versus 494 days).  </w:t>
      </w:r>
    </w:p>
    <w:p w14:paraId="382460BB" w14:textId="7763B9C0" w:rsidR="00FC38D9" w:rsidRPr="00003007" w:rsidRDefault="00FC38D9" w:rsidP="00A77EF6">
      <w:pPr>
        <w:spacing w:line="480" w:lineRule="auto"/>
        <w:rPr>
          <w:rFonts w:ascii="Times New Roman" w:hAnsi="Times New Roman" w:cs="Times New Roman"/>
          <w:i/>
        </w:rPr>
      </w:pPr>
      <w:r>
        <w:rPr>
          <w:rFonts w:ascii="Times New Roman" w:hAnsi="Times New Roman" w:cs="Times New Roman"/>
          <w:i/>
        </w:rPr>
        <w:t>2.</w:t>
      </w:r>
      <w:r>
        <w:rPr>
          <w:rFonts w:ascii="Times New Roman" w:hAnsi="Times New Roman" w:cs="Times New Roman"/>
          <w:i/>
        </w:rPr>
        <w:tab/>
        <w:t>The Random Sample</w:t>
      </w:r>
      <w:r w:rsidR="00CF2F91">
        <w:rPr>
          <w:rFonts w:ascii="Times New Roman" w:hAnsi="Times New Roman" w:cs="Times New Roman"/>
        </w:rPr>
        <w:t xml:space="preserve"> </w:t>
      </w:r>
      <w:r w:rsidR="00CF2F91">
        <w:rPr>
          <w:rFonts w:ascii="Times New Roman" w:hAnsi="Times New Roman" w:cs="Times New Roman"/>
          <w:i/>
        </w:rPr>
        <w:t>Data</w:t>
      </w:r>
    </w:p>
    <w:p w14:paraId="785F9038" w14:textId="1DDE99A0" w:rsidR="00E523FD" w:rsidRDefault="00E523FD" w:rsidP="00E523FD">
      <w:pPr>
        <w:spacing w:line="480" w:lineRule="auto"/>
        <w:ind w:firstLine="720"/>
        <w:rPr>
          <w:rFonts w:ascii="Times New Roman" w:hAnsi="Times New Roman" w:cs="Times New Roman"/>
        </w:rPr>
      </w:pPr>
      <w:r w:rsidRPr="00995C17">
        <w:rPr>
          <w:rFonts w:ascii="Times New Roman" w:hAnsi="Times New Roman" w:cs="Times New Roman"/>
        </w:rPr>
        <w:t xml:space="preserve">Unlike </w:t>
      </w:r>
      <w:r>
        <w:rPr>
          <w:rFonts w:ascii="Times New Roman" w:hAnsi="Times New Roman" w:cs="Times New Roman"/>
        </w:rPr>
        <w:t>chapter</w:t>
      </w:r>
      <w:r w:rsidRPr="00995C17">
        <w:rPr>
          <w:rFonts w:ascii="Times New Roman" w:hAnsi="Times New Roman" w:cs="Times New Roman"/>
        </w:rPr>
        <w:t xml:space="preserve"> 13, </w:t>
      </w:r>
      <w:r>
        <w:rPr>
          <w:rFonts w:ascii="Times New Roman" w:hAnsi="Times New Roman" w:cs="Times New Roman"/>
        </w:rPr>
        <w:t>chapter 11—with the exception of small business cases—</w:t>
      </w:r>
      <w:r w:rsidRPr="00995C17">
        <w:rPr>
          <w:rFonts w:ascii="Times New Roman" w:hAnsi="Times New Roman" w:cs="Times New Roman"/>
        </w:rPr>
        <w:t xml:space="preserve">does not provide individuals with strict deadlines. To ascertain how quickly </w:t>
      </w:r>
      <w:r w:rsidR="007E4F0D">
        <w:rPr>
          <w:rFonts w:ascii="Times New Roman" w:hAnsi="Times New Roman" w:cs="Times New Roman"/>
        </w:rPr>
        <w:t xml:space="preserve">individual cases </w:t>
      </w:r>
      <w:r w:rsidR="0008535A">
        <w:rPr>
          <w:rFonts w:ascii="Times New Roman" w:hAnsi="Times New Roman" w:cs="Times New Roman"/>
        </w:rPr>
        <w:t xml:space="preserve">in our random sample </w:t>
      </w:r>
      <w:r w:rsidR="007E4F0D">
        <w:rPr>
          <w:rFonts w:ascii="Times New Roman" w:hAnsi="Times New Roman" w:cs="Times New Roman"/>
        </w:rPr>
        <w:t xml:space="preserve">move through </w:t>
      </w:r>
      <w:r w:rsidRPr="00995C17">
        <w:rPr>
          <w:rFonts w:ascii="Times New Roman" w:hAnsi="Times New Roman" w:cs="Times New Roman"/>
        </w:rPr>
        <w:t>bankruptcy</w:t>
      </w:r>
      <w:r>
        <w:rPr>
          <w:rFonts w:ascii="Times New Roman" w:hAnsi="Times New Roman" w:cs="Times New Roman"/>
        </w:rPr>
        <w:t>,</w:t>
      </w:r>
      <w:r w:rsidRPr="00995C17">
        <w:rPr>
          <w:rFonts w:ascii="Times New Roman" w:hAnsi="Times New Roman" w:cs="Times New Roman"/>
        </w:rPr>
        <w:t xml:space="preserve"> we began by measuring how long it took </w:t>
      </w:r>
      <w:r w:rsidR="007E4F0D">
        <w:rPr>
          <w:rFonts w:ascii="Times New Roman" w:hAnsi="Times New Roman" w:cs="Times New Roman"/>
        </w:rPr>
        <w:t>debtors</w:t>
      </w:r>
      <w:r w:rsidR="00D52A37">
        <w:rPr>
          <w:rFonts w:ascii="Times New Roman" w:hAnsi="Times New Roman" w:cs="Times New Roman"/>
        </w:rPr>
        <w:t xml:space="preserve"> </w:t>
      </w:r>
      <w:r w:rsidRPr="00995C17">
        <w:rPr>
          <w:rFonts w:ascii="Times New Roman" w:hAnsi="Times New Roman" w:cs="Times New Roman"/>
        </w:rPr>
        <w:t xml:space="preserve">to file their schedules. </w:t>
      </w:r>
      <w:r>
        <w:rPr>
          <w:rFonts w:ascii="Times New Roman" w:hAnsi="Times New Roman" w:cs="Times New Roman"/>
        </w:rPr>
        <w:t xml:space="preserve">Table </w:t>
      </w:r>
      <w:r w:rsidR="00DB4EAD">
        <w:rPr>
          <w:rFonts w:ascii="Times New Roman" w:hAnsi="Times New Roman" w:cs="Times New Roman"/>
        </w:rPr>
        <w:t>53</w:t>
      </w:r>
      <w:r>
        <w:rPr>
          <w:rFonts w:ascii="Times New Roman" w:hAnsi="Times New Roman" w:cs="Times New Roman"/>
        </w:rPr>
        <w:t xml:space="preserve"> provides the data. </w:t>
      </w:r>
    </w:p>
    <w:p w14:paraId="052CAB09" w14:textId="1D1E2676" w:rsidR="00E523FD" w:rsidRPr="00995C17" w:rsidRDefault="00E523FD" w:rsidP="001E3A24">
      <w:pPr>
        <w:keepNext/>
        <w:keepLines/>
        <w:spacing w:line="480" w:lineRule="auto"/>
        <w:ind w:left="1440" w:firstLine="720"/>
        <w:rPr>
          <w:rFonts w:ascii="Times New Roman" w:hAnsi="Times New Roman" w:cs="Times New Roman"/>
          <w:b/>
        </w:rPr>
      </w:pPr>
      <w:r>
        <w:rPr>
          <w:rFonts w:ascii="Times New Roman" w:hAnsi="Times New Roman" w:cs="Times New Roman"/>
          <w:b/>
        </w:rPr>
        <w:t>Table</w:t>
      </w:r>
      <w:r w:rsidR="00DB4EAD">
        <w:rPr>
          <w:rFonts w:ascii="Times New Roman" w:hAnsi="Times New Roman" w:cs="Times New Roman"/>
          <w:b/>
        </w:rPr>
        <w:t xml:space="preserve"> 53</w:t>
      </w:r>
      <w:r>
        <w:rPr>
          <w:rFonts w:ascii="Times New Roman" w:hAnsi="Times New Roman" w:cs="Times New Roman"/>
          <w:b/>
        </w:rPr>
        <w:t>: Filing of Schedules—Time in Days</w:t>
      </w:r>
    </w:p>
    <w:tbl>
      <w:tblPr>
        <w:tblStyle w:val="TableGrid"/>
        <w:tblW w:w="0" w:type="auto"/>
        <w:tblLook w:val="04A0" w:firstRow="1" w:lastRow="0" w:firstColumn="1" w:lastColumn="0" w:noHBand="0" w:noVBand="1"/>
      </w:tblPr>
      <w:tblGrid>
        <w:gridCol w:w="2490"/>
        <w:gridCol w:w="1570"/>
        <w:gridCol w:w="1654"/>
        <w:gridCol w:w="1485"/>
        <w:gridCol w:w="1418"/>
      </w:tblGrid>
      <w:tr w:rsidR="00E523FD" w14:paraId="042D3123" w14:textId="77777777" w:rsidTr="00DB4EAD">
        <w:tc>
          <w:tcPr>
            <w:tcW w:w="2538" w:type="dxa"/>
            <w:vMerge w:val="restart"/>
            <w:tcBorders>
              <w:top w:val="nil"/>
              <w:left w:val="nil"/>
              <w:right w:val="single" w:sz="18" w:space="0" w:color="auto"/>
            </w:tcBorders>
          </w:tcPr>
          <w:p w14:paraId="1DAA20F5" w14:textId="77777777" w:rsidR="00E523FD" w:rsidRDefault="00E523FD" w:rsidP="001E3A24">
            <w:pPr>
              <w:keepNext/>
              <w:keepLines/>
              <w:rPr>
                <w:rFonts w:ascii="Times New Roman" w:hAnsi="Times New Roman" w:cs="Times New Roman"/>
                <w:b/>
                <w:sz w:val="18"/>
                <w:szCs w:val="18"/>
              </w:rPr>
            </w:pPr>
          </w:p>
        </w:tc>
        <w:tc>
          <w:tcPr>
            <w:tcW w:w="3330" w:type="dxa"/>
            <w:gridSpan w:val="2"/>
            <w:tcBorders>
              <w:top w:val="single" w:sz="18" w:space="0" w:color="auto"/>
              <w:left w:val="single" w:sz="18" w:space="0" w:color="auto"/>
              <w:right w:val="single" w:sz="18" w:space="0" w:color="auto"/>
            </w:tcBorders>
          </w:tcPr>
          <w:p w14:paraId="77843D0F" w14:textId="77777777" w:rsidR="001A7BAC" w:rsidRDefault="001A7BAC" w:rsidP="001E3A24">
            <w:pPr>
              <w:keepNext/>
              <w:keepLines/>
              <w:jc w:val="center"/>
              <w:rPr>
                <w:rFonts w:ascii="Times New Roman" w:hAnsi="Times New Roman" w:cs="Times New Roman"/>
                <w:b/>
              </w:rPr>
            </w:pPr>
            <w:r>
              <w:rPr>
                <w:rFonts w:ascii="Times New Roman" w:hAnsi="Times New Roman" w:cs="Times New Roman"/>
                <w:b/>
              </w:rPr>
              <w:t>(A)</w:t>
            </w:r>
          </w:p>
          <w:p w14:paraId="22BF22AF" w14:textId="77777777" w:rsidR="00E523FD" w:rsidRDefault="00E523FD" w:rsidP="001E3A24">
            <w:pPr>
              <w:keepNext/>
              <w:keepLines/>
              <w:jc w:val="center"/>
              <w:rPr>
                <w:rFonts w:ascii="Times New Roman" w:eastAsiaTheme="majorEastAsia" w:hAnsi="Times New Roman" w:cs="Times New Roman"/>
                <w:b/>
                <w:i/>
                <w:iCs/>
                <w:color w:val="404040" w:themeColor="text1" w:themeTint="BF"/>
                <w:sz w:val="20"/>
                <w:szCs w:val="20"/>
              </w:rPr>
            </w:pPr>
            <w:r>
              <w:rPr>
                <w:rFonts w:ascii="Times New Roman" w:hAnsi="Times New Roman" w:cs="Times New Roman"/>
                <w:b/>
              </w:rPr>
              <w:t>First Summary of Schedules</w:t>
            </w:r>
          </w:p>
        </w:tc>
        <w:tc>
          <w:tcPr>
            <w:tcW w:w="2988" w:type="dxa"/>
            <w:gridSpan w:val="2"/>
            <w:tcBorders>
              <w:top w:val="single" w:sz="18" w:space="0" w:color="auto"/>
              <w:left w:val="single" w:sz="18" w:space="0" w:color="auto"/>
              <w:right w:val="single" w:sz="18" w:space="0" w:color="auto"/>
            </w:tcBorders>
          </w:tcPr>
          <w:p w14:paraId="2DB2E2BE" w14:textId="77777777" w:rsidR="001A7BAC" w:rsidRDefault="001A7BAC" w:rsidP="001E3A24">
            <w:pPr>
              <w:keepNext/>
              <w:keepLines/>
              <w:jc w:val="center"/>
              <w:rPr>
                <w:rFonts w:ascii="Times New Roman" w:hAnsi="Times New Roman" w:cs="Times New Roman"/>
                <w:b/>
              </w:rPr>
            </w:pPr>
            <w:r>
              <w:rPr>
                <w:rFonts w:ascii="Times New Roman" w:hAnsi="Times New Roman" w:cs="Times New Roman"/>
                <w:b/>
              </w:rPr>
              <w:t>(B)</w:t>
            </w:r>
          </w:p>
          <w:p w14:paraId="19A25896" w14:textId="77777777" w:rsidR="00E523FD" w:rsidRDefault="00E523FD" w:rsidP="001E3A24">
            <w:pPr>
              <w:keepNext/>
              <w:keepLines/>
              <w:jc w:val="center"/>
              <w:rPr>
                <w:rFonts w:ascii="Times New Roman" w:eastAsiaTheme="majorEastAsia" w:hAnsi="Times New Roman" w:cs="Times New Roman"/>
                <w:b/>
                <w:i/>
                <w:iCs/>
                <w:color w:val="404040" w:themeColor="text1" w:themeTint="BF"/>
                <w:sz w:val="20"/>
                <w:szCs w:val="20"/>
              </w:rPr>
            </w:pPr>
            <w:r>
              <w:rPr>
                <w:rFonts w:ascii="Times New Roman" w:hAnsi="Times New Roman" w:cs="Times New Roman"/>
                <w:b/>
              </w:rPr>
              <w:t>Last Schedule</w:t>
            </w:r>
          </w:p>
        </w:tc>
      </w:tr>
      <w:tr w:rsidR="00E523FD" w14:paraId="4001147B" w14:textId="77777777" w:rsidTr="00DB4EAD">
        <w:tc>
          <w:tcPr>
            <w:tcW w:w="2538" w:type="dxa"/>
            <w:vMerge/>
            <w:tcBorders>
              <w:top w:val="single" w:sz="12" w:space="0" w:color="auto"/>
              <w:left w:val="nil"/>
              <w:right w:val="single" w:sz="18" w:space="0" w:color="auto"/>
            </w:tcBorders>
          </w:tcPr>
          <w:p w14:paraId="54C2B97F" w14:textId="42B170D5" w:rsidR="00E523FD" w:rsidRDefault="00E523FD" w:rsidP="001E3A24">
            <w:pPr>
              <w:keepNext/>
              <w:keepLines/>
              <w:rPr>
                <w:rFonts w:ascii="Times New Roman" w:hAnsi="Times New Roman" w:cs="Times New Roman"/>
                <w:b/>
                <w:sz w:val="18"/>
                <w:szCs w:val="18"/>
              </w:rPr>
            </w:pPr>
          </w:p>
        </w:tc>
        <w:tc>
          <w:tcPr>
            <w:tcW w:w="1620" w:type="dxa"/>
            <w:tcBorders>
              <w:top w:val="single" w:sz="12" w:space="0" w:color="auto"/>
              <w:left w:val="single" w:sz="18" w:space="0" w:color="auto"/>
              <w:bottom w:val="single" w:sz="18" w:space="0" w:color="auto"/>
            </w:tcBorders>
          </w:tcPr>
          <w:p w14:paraId="4D53164D" w14:textId="77777777" w:rsidR="00E523FD" w:rsidRDefault="00E523FD" w:rsidP="001E3A24">
            <w:pPr>
              <w:keepNext/>
              <w:keepLines/>
              <w:jc w:val="center"/>
              <w:rPr>
                <w:rFonts w:ascii="Times New Roman" w:eastAsiaTheme="majorEastAsia" w:hAnsi="Times New Roman" w:cs="Times New Roman"/>
                <w:b/>
                <w:i/>
                <w:iCs/>
                <w:color w:val="404040" w:themeColor="text1" w:themeTint="BF"/>
                <w:sz w:val="20"/>
                <w:szCs w:val="20"/>
              </w:rPr>
            </w:pPr>
            <w:r>
              <w:rPr>
                <w:rFonts w:ascii="Times New Roman" w:hAnsi="Times New Roman" w:cs="Times New Roman"/>
                <w:b/>
              </w:rPr>
              <w:t>2010</w:t>
            </w:r>
          </w:p>
        </w:tc>
        <w:tc>
          <w:tcPr>
            <w:tcW w:w="1710" w:type="dxa"/>
            <w:tcBorders>
              <w:top w:val="single" w:sz="12" w:space="0" w:color="auto"/>
              <w:bottom w:val="single" w:sz="18" w:space="0" w:color="auto"/>
              <w:right w:val="single" w:sz="18" w:space="0" w:color="auto"/>
            </w:tcBorders>
          </w:tcPr>
          <w:p w14:paraId="078B67A9" w14:textId="77777777" w:rsidR="00E523FD" w:rsidRDefault="00E523FD" w:rsidP="001E3A24">
            <w:pPr>
              <w:keepNext/>
              <w:keepLines/>
              <w:jc w:val="center"/>
              <w:rPr>
                <w:rFonts w:ascii="Times New Roman" w:eastAsiaTheme="majorEastAsia" w:hAnsi="Times New Roman" w:cs="Times New Roman"/>
                <w:b/>
                <w:i/>
                <w:iCs/>
                <w:color w:val="404040" w:themeColor="text1" w:themeTint="BF"/>
                <w:sz w:val="20"/>
                <w:szCs w:val="20"/>
              </w:rPr>
            </w:pPr>
            <w:r>
              <w:rPr>
                <w:rFonts w:ascii="Times New Roman" w:hAnsi="Times New Roman" w:cs="Times New Roman"/>
                <w:b/>
              </w:rPr>
              <w:t>2013</w:t>
            </w:r>
          </w:p>
        </w:tc>
        <w:tc>
          <w:tcPr>
            <w:tcW w:w="1530" w:type="dxa"/>
            <w:tcBorders>
              <w:top w:val="single" w:sz="12" w:space="0" w:color="auto"/>
              <w:left w:val="single" w:sz="18" w:space="0" w:color="auto"/>
              <w:bottom w:val="single" w:sz="18" w:space="0" w:color="auto"/>
            </w:tcBorders>
          </w:tcPr>
          <w:p w14:paraId="0A147027" w14:textId="77777777" w:rsidR="00E523FD" w:rsidRDefault="00E523FD" w:rsidP="001E3A24">
            <w:pPr>
              <w:keepNext/>
              <w:keepLines/>
              <w:jc w:val="center"/>
              <w:rPr>
                <w:rFonts w:ascii="Times New Roman" w:eastAsiaTheme="majorEastAsia" w:hAnsi="Times New Roman" w:cs="Times New Roman"/>
                <w:b/>
                <w:i/>
                <w:iCs/>
                <w:color w:val="404040" w:themeColor="text1" w:themeTint="BF"/>
                <w:sz w:val="20"/>
                <w:szCs w:val="20"/>
              </w:rPr>
            </w:pPr>
            <w:r>
              <w:rPr>
                <w:rFonts w:ascii="Times New Roman" w:hAnsi="Times New Roman" w:cs="Times New Roman"/>
                <w:b/>
              </w:rPr>
              <w:t>2010</w:t>
            </w:r>
          </w:p>
        </w:tc>
        <w:tc>
          <w:tcPr>
            <w:tcW w:w="1458" w:type="dxa"/>
            <w:tcBorders>
              <w:top w:val="single" w:sz="12" w:space="0" w:color="auto"/>
              <w:bottom w:val="single" w:sz="18" w:space="0" w:color="auto"/>
              <w:right w:val="single" w:sz="18" w:space="0" w:color="auto"/>
            </w:tcBorders>
          </w:tcPr>
          <w:p w14:paraId="4D1F2CA8" w14:textId="77777777" w:rsidR="00E523FD" w:rsidRDefault="00E523FD" w:rsidP="001E3A24">
            <w:pPr>
              <w:keepNext/>
              <w:keepLines/>
              <w:jc w:val="center"/>
              <w:rPr>
                <w:rFonts w:ascii="Times New Roman" w:eastAsiaTheme="majorEastAsia" w:hAnsi="Times New Roman" w:cs="Times New Roman"/>
                <w:b/>
                <w:i/>
                <w:iCs/>
                <w:color w:val="404040" w:themeColor="text1" w:themeTint="BF"/>
                <w:sz w:val="20"/>
                <w:szCs w:val="20"/>
              </w:rPr>
            </w:pPr>
            <w:r>
              <w:rPr>
                <w:rFonts w:ascii="Times New Roman" w:hAnsi="Times New Roman" w:cs="Times New Roman"/>
                <w:b/>
              </w:rPr>
              <w:t>2013</w:t>
            </w:r>
          </w:p>
        </w:tc>
      </w:tr>
      <w:tr w:rsidR="00E523FD" w14:paraId="6C28E451" w14:textId="77777777" w:rsidTr="00DB4EAD">
        <w:tc>
          <w:tcPr>
            <w:tcW w:w="2538" w:type="dxa"/>
            <w:tcBorders>
              <w:right w:val="single" w:sz="18" w:space="0" w:color="auto"/>
            </w:tcBorders>
            <w:vAlign w:val="bottom"/>
          </w:tcPr>
          <w:p w14:paraId="047B784C" w14:textId="2C42851B" w:rsidR="00E523FD" w:rsidRDefault="001A7BAC" w:rsidP="001E3A24">
            <w:pPr>
              <w:keepNext/>
              <w:keepLines/>
              <w:rPr>
                <w:rFonts w:ascii="Times New Roman" w:hAnsi="Times New Roman" w:cs="Times New Roman"/>
                <w:b/>
              </w:rPr>
            </w:pPr>
            <w:r>
              <w:rPr>
                <w:rFonts w:ascii="Times New Roman" w:eastAsia="Times New Roman" w:hAnsi="Times New Roman" w:cs="Times New Roman"/>
                <w:b/>
                <w:bCs/>
                <w:color w:val="000000"/>
              </w:rPr>
              <w:t xml:space="preserve">(1) </w:t>
            </w:r>
            <w:r w:rsidR="00E523FD" w:rsidRPr="00FB1F9F">
              <w:rPr>
                <w:rFonts w:ascii="Times New Roman" w:eastAsia="Times New Roman" w:hAnsi="Times New Roman" w:cs="Times New Roman"/>
                <w:b/>
                <w:bCs/>
                <w:color w:val="000000"/>
              </w:rPr>
              <w:t>More than 2 years</w:t>
            </w:r>
          </w:p>
        </w:tc>
        <w:tc>
          <w:tcPr>
            <w:tcW w:w="1620" w:type="dxa"/>
            <w:tcBorders>
              <w:top w:val="single" w:sz="18" w:space="0" w:color="auto"/>
              <w:left w:val="single" w:sz="18" w:space="0" w:color="auto"/>
            </w:tcBorders>
          </w:tcPr>
          <w:p w14:paraId="0FC2A546"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0.0%</w:t>
            </w:r>
          </w:p>
        </w:tc>
        <w:tc>
          <w:tcPr>
            <w:tcW w:w="1710" w:type="dxa"/>
            <w:tcBorders>
              <w:top w:val="single" w:sz="18" w:space="0" w:color="auto"/>
              <w:right w:val="single" w:sz="18" w:space="0" w:color="auto"/>
            </w:tcBorders>
          </w:tcPr>
          <w:p w14:paraId="394B219B" w14:textId="77777777" w:rsidR="00E523FD" w:rsidRDefault="00E523FD" w:rsidP="001E3A24">
            <w:pPr>
              <w:keepNext/>
              <w:keepLines/>
              <w:jc w:val="right"/>
              <w:rPr>
                <w:rFonts w:ascii="Times New Roman" w:eastAsiaTheme="majorEastAsia" w:hAnsi="Times New Roman" w:cs="Times New Roman"/>
                <w:b/>
                <w:color w:val="404040" w:themeColor="text1" w:themeTint="BF"/>
                <w:sz w:val="20"/>
                <w:szCs w:val="20"/>
              </w:rPr>
            </w:pPr>
            <w:r w:rsidRPr="00FB1F9F">
              <w:rPr>
                <w:rFonts w:ascii="Times New Roman" w:eastAsia="Times New Roman" w:hAnsi="Times New Roman" w:cs="Times New Roman"/>
                <w:color w:val="000000"/>
              </w:rPr>
              <w:t>0.0%</w:t>
            </w:r>
          </w:p>
        </w:tc>
        <w:tc>
          <w:tcPr>
            <w:tcW w:w="1530" w:type="dxa"/>
            <w:tcBorders>
              <w:top w:val="single" w:sz="18" w:space="0" w:color="auto"/>
              <w:left w:val="single" w:sz="18" w:space="0" w:color="auto"/>
            </w:tcBorders>
          </w:tcPr>
          <w:p w14:paraId="12551379"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2.8%</w:t>
            </w:r>
          </w:p>
        </w:tc>
        <w:tc>
          <w:tcPr>
            <w:tcW w:w="1458" w:type="dxa"/>
            <w:tcBorders>
              <w:top w:val="single" w:sz="18" w:space="0" w:color="auto"/>
              <w:right w:val="single" w:sz="18" w:space="0" w:color="auto"/>
            </w:tcBorders>
          </w:tcPr>
          <w:p w14:paraId="64D8CC77"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0.0%</w:t>
            </w:r>
          </w:p>
        </w:tc>
      </w:tr>
      <w:tr w:rsidR="00E523FD" w14:paraId="496598A0" w14:textId="77777777" w:rsidTr="00DB4EAD">
        <w:tc>
          <w:tcPr>
            <w:tcW w:w="2538" w:type="dxa"/>
            <w:tcBorders>
              <w:right w:val="single" w:sz="18" w:space="0" w:color="auto"/>
            </w:tcBorders>
            <w:vAlign w:val="bottom"/>
          </w:tcPr>
          <w:p w14:paraId="77CBF7A0" w14:textId="0EF91B9A" w:rsidR="00E523FD" w:rsidRDefault="001A7BAC" w:rsidP="001E3A24">
            <w:pPr>
              <w:keepNext/>
              <w:keepLines/>
              <w:rPr>
                <w:rFonts w:ascii="Times New Roman" w:hAnsi="Times New Roman" w:cs="Times New Roman"/>
                <w:b/>
              </w:rPr>
            </w:pPr>
            <w:r>
              <w:rPr>
                <w:rFonts w:ascii="Times New Roman" w:eastAsia="Times New Roman" w:hAnsi="Times New Roman" w:cs="Times New Roman"/>
                <w:b/>
                <w:bCs/>
                <w:color w:val="000000"/>
              </w:rPr>
              <w:t xml:space="preserve">(2) </w:t>
            </w:r>
            <w:r w:rsidR="00E523FD" w:rsidRPr="00FB1F9F">
              <w:rPr>
                <w:rFonts w:ascii="Times New Roman" w:eastAsia="Times New Roman" w:hAnsi="Times New Roman" w:cs="Times New Roman"/>
                <w:b/>
                <w:bCs/>
                <w:color w:val="000000"/>
              </w:rPr>
              <w:t>366 days to 2 years</w:t>
            </w:r>
          </w:p>
        </w:tc>
        <w:tc>
          <w:tcPr>
            <w:tcW w:w="1620" w:type="dxa"/>
            <w:tcBorders>
              <w:left w:val="single" w:sz="18" w:space="0" w:color="auto"/>
            </w:tcBorders>
          </w:tcPr>
          <w:p w14:paraId="66E7AD3C"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0.0%</w:t>
            </w:r>
          </w:p>
        </w:tc>
        <w:tc>
          <w:tcPr>
            <w:tcW w:w="1710" w:type="dxa"/>
            <w:tcBorders>
              <w:right w:val="single" w:sz="18" w:space="0" w:color="auto"/>
            </w:tcBorders>
          </w:tcPr>
          <w:p w14:paraId="60EDB73A"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0.0%</w:t>
            </w:r>
          </w:p>
        </w:tc>
        <w:tc>
          <w:tcPr>
            <w:tcW w:w="1530" w:type="dxa"/>
            <w:tcBorders>
              <w:left w:val="single" w:sz="18" w:space="0" w:color="auto"/>
            </w:tcBorders>
          </w:tcPr>
          <w:p w14:paraId="1A9B2382"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6.4%</w:t>
            </w:r>
          </w:p>
        </w:tc>
        <w:tc>
          <w:tcPr>
            <w:tcW w:w="1458" w:type="dxa"/>
            <w:tcBorders>
              <w:right w:val="single" w:sz="18" w:space="0" w:color="auto"/>
            </w:tcBorders>
          </w:tcPr>
          <w:p w14:paraId="4CADFA3B"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2.6%</w:t>
            </w:r>
          </w:p>
        </w:tc>
      </w:tr>
      <w:tr w:rsidR="00E523FD" w14:paraId="41240FFE" w14:textId="77777777" w:rsidTr="00DB4EAD">
        <w:tc>
          <w:tcPr>
            <w:tcW w:w="2538" w:type="dxa"/>
            <w:tcBorders>
              <w:right w:val="single" w:sz="18" w:space="0" w:color="auto"/>
            </w:tcBorders>
            <w:vAlign w:val="bottom"/>
          </w:tcPr>
          <w:p w14:paraId="599D213E" w14:textId="05A49EAB" w:rsidR="00E523FD" w:rsidRDefault="001A7BAC" w:rsidP="001E3A24">
            <w:pPr>
              <w:keepNext/>
              <w:keepLines/>
              <w:rPr>
                <w:rFonts w:ascii="Times New Roman" w:hAnsi="Times New Roman" w:cs="Times New Roman"/>
                <w:b/>
              </w:rPr>
            </w:pPr>
            <w:r>
              <w:rPr>
                <w:rFonts w:ascii="Times New Roman" w:eastAsia="Times New Roman" w:hAnsi="Times New Roman" w:cs="Times New Roman"/>
                <w:b/>
                <w:bCs/>
                <w:color w:val="000000"/>
              </w:rPr>
              <w:t xml:space="preserve">(3) </w:t>
            </w:r>
            <w:r w:rsidR="00E523FD" w:rsidRPr="00FB1F9F">
              <w:rPr>
                <w:rFonts w:ascii="Times New Roman" w:eastAsia="Times New Roman" w:hAnsi="Times New Roman" w:cs="Times New Roman"/>
                <w:b/>
                <w:bCs/>
                <w:color w:val="000000"/>
              </w:rPr>
              <w:t>181 to 365 days</w:t>
            </w:r>
          </w:p>
        </w:tc>
        <w:tc>
          <w:tcPr>
            <w:tcW w:w="1620" w:type="dxa"/>
            <w:tcBorders>
              <w:left w:val="single" w:sz="18" w:space="0" w:color="auto"/>
            </w:tcBorders>
          </w:tcPr>
          <w:p w14:paraId="7C112FAC"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0.0%</w:t>
            </w:r>
          </w:p>
        </w:tc>
        <w:tc>
          <w:tcPr>
            <w:tcW w:w="1710" w:type="dxa"/>
            <w:tcBorders>
              <w:right w:val="single" w:sz="18" w:space="0" w:color="auto"/>
            </w:tcBorders>
          </w:tcPr>
          <w:p w14:paraId="3A5EC5C2"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0.0%</w:t>
            </w:r>
          </w:p>
        </w:tc>
        <w:tc>
          <w:tcPr>
            <w:tcW w:w="1530" w:type="dxa"/>
            <w:tcBorders>
              <w:left w:val="single" w:sz="18" w:space="0" w:color="auto"/>
            </w:tcBorders>
          </w:tcPr>
          <w:p w14:paraId="60D56915"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4.6%</w:t>
            </w:r>
          </w:p>
        </w:tc>
        <w:tc>
          <w:tcPr>
            <w:tcW w:w="1458" w:type="dxa"/>
            <w:tcBorders>
              <w:right w:val="single" w:sz="18" w:space="0" w:color="auto"/>
            </w:tcBorders>
          </w:tcPr>
          <w:p w14:paraId="762D4103"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7.9%</w:t>
            </w:r>
          </w:p>
        </w:tc>
      </w:tr>
      <w:tr w:rsidR="00E523FD" w14:paraId="6E590E1E" w14:textId="77777777" w:rsidTr="00DB4EAD">
        <w:tc>
          <w:tcPr>
            <w:tcW w:w="2538" w:type="dxa"/>
            <w:tcBorders>
              <w:right w:val="single" w:sz="18" w:space="0" w:color="auto"/>
            </w:tcBorders>
            <w:vAlign w:val="bottom"/>
          </w:tcPr>
          <w:p w14:paraId="1F865F83" w14:textId="1767B0AF" w:rsidR="00E523FD" w:rsidRDefault="001A7BAC" w:rsidP="001E3A24">
            <w:pPr>
              <w:keepNext/>
              <w:keepLines/>
              <w:rPr>
                <w:rFonts w:ascii="Times New Roman" w:hAnsi="Times New Roman" w:cs="Times New Roman"/>
                <w:b/>
              </w:rPr>
            </w:pPr>
            <w:r>
              <w:rPr>
                <w:rFonts w:ascii="Times New Roman" w:eastAsia="Times New Roman" w:hAnsi="Times New Roman" w:cs="Times New Roman"/>
                <w:b/>
                <w:bCs/>
                <w:color w:val="000000"/>
              </w:rPr>
              <w:t xml:space="preserve">(4) </w:t>
            </w:r>
            <w:r w:rsidR="00E523FD" w:rsidRPr="00FB1F9F">
              <w:rPr>
                <w:rFonts w:ascii="Times New Roman" w:eastAsia="Times New Roman" w:hAnsi="Times New Roman" w:cs="Times New Roman"/>
                <w:b/>
                <w:bCs/>
                <w:color w:val="000000"/>
              </w:rPr>
              <w:t>91 to 180 days</w:t>
            </w:r>
          </w:p>
        </w:tc>
        <w:tc>
          <w:tcPr>
            <w:tcW w:w="1620" w:type="dxa"/>
            <w:tcBorders>
              <w:left w:val="single" w:sz="18" w:space="0" w:color="auto"/>
            </w:tcBorders>
          </w:tcPr>
          <w:p w14:paraId="010AEF13"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0.0%</w:t>
            </w:r>
          </w:p>
        </w:tc>
        <w:tc>
          <w:tcPr>
            <w:tcW w:w="1710" w:type="dxa"/>
            <w:tcBorders>
              <w:right w:val="single" w:sz="18" w:space="0" w:color="auto"/>
            </w:tcBorders>
          </w:tcPr>
          <w:p w14:paraId="1B824E26"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0.9%</w:t>
            </w:r>
          </w:p>
        </w:tc>
        <w:tc>
          <w:tcPr>
            <w:tcW w:w="1530" w:type="dxa"/>
            <w:tcBorders>
              <w:left w:val="single" w:sz="18" w:space="0" w:color="auto"/>
            </w:tcBorders>
          </w:tcPr>
          <w:p w14:paraId="70FCBBA7"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9.2%</w:t>
            </w:r>
          </w:p>
        </w:tc>
        <w:tc>
          <w:tcPr>
            <w:tcW w:w="1458" w:type="dxa"/>
            <w:tcBorders>
              <w:right w:val="single" w:sz="18" w:space="0" w:color="auto"/>
            </w:tcBorders>
          </w:tcPr>
          <w:p w14:paraId="2AB7F5AF"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9.6%</w:t>
            </w:r>
          </w:p>
        </w:tc>
      </w:tr>
      <w:tr w:rsidR="00E523FD" w14:paraId="10A0C85D" w14:textId="77777777" w:rsidTr="00DB4EAD">
        <w:tc>
          <w:tcPr>
            <w:tcW w:w="2538" w:type="dxa"/>
            <w:tcBorders>
              <w:right w:val="single" w:sz="18" w:space="0" w:color="auto"/>
            </w:tcBorders>
            <w:vAlign w:val="bottom"/>
          </w:tcPr>
          <w:p w14:paraId="697F830A" w14:textId="7FF1E3A4" w:rsidR="00E523FD" w:rsidRDefault="001A7BAC" w:rsidP="001E3A24">
            <w:pPr>
              <w:keepNext/>
              <w:keepLines/>
              <w:rPr>
                <w:rFonts w:ascii="Times New Roman" w:hAnsi="Times New Roman" w:cs="Times New Roman"/>
                <w:b/>
              </w:rPr>
            </w:pPr>
            <w:r>
              <w:rPr>
                <w:rFonts w:ascii="Times New Roman" w:eastAsia="Times New Roman" w:hAnsi="Times New Roman" w:cs="Times New Roman"/>
                <w:b/>
                <w:bCs/>
                <w:color w:val="000000"/>
              </w:rPr>
              <w:t xml:space="preserve">(5) </w:t>
            </w:r>
            <w:r w:rsidR="00E523FD" w:rsidRPr="00FB1F9F">
              <w:rPr>
                <w:rFonts w:ascii="Times New Roman" w:eastAsia="Times New Roman" w:hAnsi="Times New Roman" w:cs="Times New Roman"/>
                <w:b/>
                <w:bCs/>
                <w:color w:val="000000"/>
              </w:rPr>
              <w:t>61 to 90 days</w:t>
            </w:r>
          </w:p>
        </w:tc>
        <w:tc>
          <w:tcPr>
            <w:tcW w:w="1620" w:type="dxa"/>
            <w:tcBorders>
              <w:left w:val="single" w:sz="18" w:space="0" w:color="auto"/>
            </w:tcBorders>
          </w:tcPr>
          <w:p w14:paraId="5BD3176F"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0.0%</w:t>
            </w:r>
          </w:p>
        </w:tc>
        <w:tc>
          <w:tcPr>
            <w:tcW w:w="1710" w:type="dxa"/>
            <w:tcBorders>
              <w:right w:val="single" w:sz="18" w:space="0" w:color="auto"/>
            </w:tcBorders>
          </w:tcPr>
          <w:p w14:paraId="4C36E061"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0.9%</w:t>
            </w:r>
          </w:p>
        </w:tc>
        <w:tc>
          <w:tcPr>
            <w:tcW w:w="1530" w:type="dxa"/>
            <w:tcBorders>
              <w:left w:val="single" w:sz="18" w:space="0" w:color="auto"/>
            </w:tcBorders>
          </w:tcPr>
          <w:p w14:paraId="704AC805"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9.2%</w:t>
            </w:r>
          </w:p>
        </w:tc>
        <w:tc>
          <w:tcPr>
            <w:tcW w:w="1458" w:type="dxa"/>
            <w:tcBorders>
              <w:right w:val="single" w:sz="18" w:space="0" w:color="auto"/>
            </w:tcBorders>
          </w:tcPr>
          <w:p w14:paraId="7FE85F66"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8.8%</w:t>
            </w:r>
          </w:p>
        </w:tc>
      </w:tr>
      <w:tr w:rsidR="00E523FD" w14:paraId="2E69B1DF" w14:textId="77777777" w:rsidTr="00DB4EAD">
        <w:tc>
          <w:tcPr>
            <w:tcW w:w="2538" w:type="dxa"/>
            <w:tcBorders>
              <w:right w:val="single" w:sz="18" w:space="0" w:color="auto"/>
            </w:tcBorders>
            <w:vAlign w:val="bottom"/>
          </w:tcPr>
          <w:p w14:paraId="03335874" w14:textId="7DB70203" w:rsidR="00E523FD" w:rsidRDefault="001A7BAC" w:rsidP="001E3A24">
            <w:pPr>
              <w:keepNext/>
              <w:keepLines/>
              <w:rPr>
                <w:rFonts w:ascii="Times New Roman" w:hAnsi="Times New Roman" w:cs="Times New Roman"/>
                <w:b/>
              </w:rPr>
            </w:pPr>
            <w:r>
              <w:rPr>
                <w:rFonts w:ascii="Times New Roman" w:eastAsia="Times New Roman" w:hAnsi="Times New Roman" w:cs="Times New Roman"/>
                <w:b/>
                <w:bCs/>
                <w:color w:val="000000"/>
              </w:rPr>
              <w:t xml:space="preserve">(6) </w:t>
            </w:r>
            <w:r w:rsidR="00E523FD" w:rsidRPr="00FB1F9F">
              <w:rPr>
                <w:rFonts w:ascii="Times New Roman" w:eastAsia="Times New Roman" w:hAnsi="Times New Roman" w:cs="Times New Roman"/>
                <w:b/>
                <w:bCs/>
                <w:color w:val="000000"/>
              </w:rPr>
              <w:t>31 to 60 days</w:t>
            </w:r>
          </w:p>
        </w:tc>
        <w:tc>
          <w:tcPr>
            <w:tcW w:w="1620" w:type="dxa"/>
            <w:tcBorders>
              <w:left w:val="single" w:sz="18" w:space="0" w:color="auto"/>
            </w:tcBorders>
          </w:tcPr>
          <w:p w14:paraId="63D50440"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4.6%</w:t>
            </w:r>
          </w:p>
        </w:tc>
        <w:tc>
          <w:tcPr>
            <w:tcW w:w="1710" w:type="dxa"/>
            <w:tcBorders>
              <w:right w:val="single" w:sz="18" w:space="0" w:color="auto"/>
            </w:tcBorders>
          </w:tcPr>
          <w:p w14:paraId="7E10E83C"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3.5%</w:t>
            </w:r>
          </w:p>
        </w:tc>
        <w:tc>
          <w:tcPr>
            <w:tcW w:w="1530" w:type="dxa"/>
            <w:tcBorders>
              <w:left w:val="single" w:sz="18" w:space="0" w:color="auto"/>
            </w:tcBorders>
          </w:tcPr>
          <w:p w14:paraId="69AA4699"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12.8%</w:t>
            </w:r>
          </w:p>
        </w:tc>
        <w:tc>
          <w:tcPr>
            <w:tcW w:w="1458" w:type="dxa"/>
            <w:tcBorders>
              <w:right w:val="single" w:sz="18" w:space="0" w:color="auto"/>
            </w:tcBorders>
          </w:tcPr>
          <w:p w14:paraId="44633EB6"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14.9%</w:t>
            </w:r>
          </w:p>
        </w:tc>
      </w:tr>
      <w:tr w:rsidR="00E523FD" w14:paraId="7127A5BA" w14:textId="77777777" w:rsidTr="00DB4EAD">
        <w:tc>
          <w:tcPr>
            <w:tcW w:w="2538" w:type="dxa"/>
            <w:tcBorders>
              <w:right w:val="single" w:sz="18" w:space="0" w:color="auto"/>
            </w:tcBorders>
            <w:vAlign w:val="bottom"/>
          </w:tcPr>
          <w:p w14:paraId="27D9851D" w14:textId="70D51B9B" w:rsidR="00E523FD" w:rsidRDefault="001A7BAC" w:rsidP="001E3A24">
            <w:pPr>
              <w:keepNext/>
              <w:keepLines/>
              <w:rPr>
                <w:rFonts w:ascii="Times New Roman" w:hAnsi="Times New Roman" w:cs="Times New Roman"/>
                <w:b/>
              </w:rPr>
            </w:pPr>
            <w:r>
              <w:rPr>
                <w:rFonts w:ascii="Times New Roman" w:eastAsia="Times New Roman" w:hAnsi="Times New Roman" w:cs="Times New Roman"/>
                <w:b/>
                <w:bCs/>
                <w:color w:val="000000"/>
              </w:rPr>
              <w:t xml:space="preserve">(7) </w:t>
            </w:r>
            <w:r w:rsidR="00E523FD" w:rsidRPr="00FB1F9F">
              <w:rPr>
                <w:rFonts w:ascii="Times New Roman" w:eastAsia="Times New Roman" w:hAnsi="Times New Roman" w:cs="Times New Roman"/>
                <w:b/>
                <w:bCs/>
                <w:color w:val="000000"/>
              </w:rPr>
              <w:t>1 to 30 days</w:t>
            </w:r>
          </w:p>
        </w:tc>
        <w:tc>
          <w:tcPr>
            <w:tcW w:w="1620" w:type="dxa"/>
            <w:tcBorders>
              <w:left w:val="single" w:sz="18" w:space="0" w:color="auto"/>
            </w:tcBorders>
          </w:tcPr>
          <w:p w14:paraId="5ED47FDA"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44.0%</w:t>
            </w:r>
          </w:p>
        </w:tc>
        <w:tc>
          <w:tcPr>
            <w:tcW w:w="1710" w:type="dxa"/>
            <w:tcBorders>
              <w:right w:val="single" w:sz="18" w:space="0" w:color="auto"/>
            </w:tcBorders>
          </w:tcPr>
          <w:p w14:paraId="1939B1A1"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43.9%</w:t>
            </w:r>
          </w:p>
        </w:tc>
        <w:tc>
          <w:tcPr>
            <w:tcW w:w="1530" w:type="dxa"/>
            <w:tcBorders>
              <w:left w:val="single" w:sz="18" w:space="0" w:color="auto"/>
            </w:tcBorders>
          </w:tcPr>
          <w:p w14:paraId="55602263"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22.0%</w:t>
            </w:r>
          </w:p>
        </w:tc>
        <w:tc>
          <w:tcPr>
            <w:tcW w:w="1458" w:type="dxa"/>
            <w:tcBorders>
              <w:right w:val="single" w:sz="18" w:space="0" w:color="auto"/>
            </w:tcBorders>
          </w:tcPr>
          <w:p w14:paraId="641412F1"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25.4%</w:t>
            </w:r>
          </w:p>
        </w:tc>
      </w:tr>
      <w:tr w:rsidR="00E523FD" w14:paraId="6FB7AD29" w14:textId="77777777" w:rsidTr="00DB4EAD">
        <w:tc>
          <w:tcPr>
            <w:tcW w:w="2538" w:type="dxa"/>
            <w:tcBorders>
              <w:right w:val="single" w:sz="18" w:space="0" w:color="auto"/>
            </w:tcBorders>
            <w:vAlign w:val="bottom"/>
          </w:tcPr>
          <w:p w14:paraId="190DCC48" w14:textId="3A910684" w:rsidR="00E523FD" w:rsidRDefault="001A7BAC" w:rsidP="001E3A24">
            <w:pPr>
              <w:keepNext/>
              <w:keepLines/>
              <w:rPr>
                <w:rFonts w:ascii="Times New Roman" w:hAnsi="Times New Roman" w:cs="Times New Roman"/>
                <w:b/>
              </w:rPr>
            </w:pPr>
            <w:r>
              <w:rPr>
                <w:rFonts w:ascii="Times New Roman" w:eastAsia="Times New Roman" w:hAnsi="Times New Roman" w:cs="Times New Roman"/>
                <w:b/>
                <w:bCs/>
                <w:color w:val="000000"/>
              </w:rPr>
              <w:t xml:space="preserve">(8) </w:t>
            </w:r>
            <w:r w:rsidR="00E523FD" w:rsidRPr="00FB1F9F">
              <w:rPr>
                <w:rFonts w:ascii="Times New Roman" w:eastAsia="Times New Roman" w:hAnsi="Times New Roman" w:cs="Times New Roman"/>
                <w:b/>
                <w:bCs/>
                <w:color w:val="000000"/>
              </w:rPr>
              <w:t>0</w:t>
            </w:r>
          </w:p>
        </w:tc>
        <w:tc>
          <w:tcPr>
            <w:tcW w:w="1620" w:type="dxa"/>
            <w:tcBorders>
              <w:left w:val="single" w:sz="18" w:space="0" w:color="auto"/>
            </w:tcBorders>
          </w:tcPr>
          <w:p w14:paraId="41629570"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33.9%</w:t>
            </w:r>
          </w:p>
        </w:tc>
        <w:tc>
          <w:tcPr>
            <w:tcW w:w="1710" w:type="dxa"/>
            <w:tcBorders>
              <w:right w:val="single" w:sz="18" w:space="0" w:color="auto"/>
            </w:tcBorders>
          </w:tcPr>
          <w:p w14:paraId="7E0BB4C3"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36.8%</w:t>
            </w:r>
          </w:p>
        </w:tc>
        <w:tc>
          <w:tcPr>
            <w:tcW w:w="1530" w:type="dxa"/>
            <w:tcBorders>
              <w:left w:val="single" w:sz="18" w:space="0" w:color="auto"/>
            </w:tcBorders>
          </w:tcPr>
          <w:p w14:paraId="22229D32"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15.6%</w:t>
            </w:r>
          </w:p>
        </w:tc>
        <w:tc>
          <w:tcPr>
            <w:tcW w:w="1458" w:type="dxa"/>
            <w:tcBorders>
              <w:right w:val="single" w:sz="18" w:space="0" w:color="auto"/>
            </w:tcBorders>
          </w:tcPr>
          <w:p w14:paraId="24F5407C"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18.4%</w:t>
            </w:r>
          </w:p>
        </w:tc>
      </w:tr>
      <w:tr w:rsidR="00E523FD" w14:paraId="0DDA8770" w14:textId="77777777" w:rsidTr="00DB4EAD">
        <w:tc>
          <w:tcPr>
            <w:tcW w:w="2538" w:type="dxa"/>
            <w:tcBorders>
              <w:right w:val="single" w:sz="18" w:space="0" w:color="auto"/>
            </w:tcBorders>
            <w:vAlign w:val="bottom"/>
          </w:tcPr>
          <w:p w14:paraId="747AEF1C" w14:textId="68B3BD82" w:rsidR="00E523FD" w:rsidRDefault="001A7BAC" w:rsidP="001E3A24">
            <w:pPr>
              <w:keepNext/>
              <w:keepLines/>
              <w:rPr>
                <w:rFonts w:ascii="Times New Roman" w:hAnsi="Times New Roman" w:cs="Times New Roman"/>
                <w:b/>
              </w:rPr>
            </w:pPr>
            <w:r>
              <w:rPr>
                <w:rFonts w:ascii="Times New Roman" w:eastAsia="Times New Roman" w:hAnsi="Times New Roman" w:cs="Times New Roman"/>
                <w:b/>
                <w:bCs/>
                <w:color w:val="000000"/>
              </w:rPr>
              <w:t xml:space="preserve">(9) </w:t>
            </w:r>
            <w:r w:rsidR="00E523FD" w:rsidRPr="00FB1F9F">
              <w:rPr>
                <w:rFonts w:ascii="Times New Roman" w:eastAsia="Times New Roman" w:hAnsi="Times New Roman" w:cs="Times New Roman"/>
                <w:b/>
                <w:bCs/>
                <w:color w:val="000000"/>
              </w:rPr>
              <w:t>No Schedule Filed</w:t>
            </w:r>
          </w:p>
        </w:tc>
        <w:tc>
          <w:tcPr>
            <w:tcW w:w="1620" w:type="dxa"/>
            <w:tcBorders>
              <w:left w:val="single" w:sz="18" w:space="0" w:color="auto"/>
            </w:tcBorders>
          </w:tcPr>
          <w:p w14:paraId="2B33F0B2"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5.5%</w:t>
            </w:r>
          </w:p>
        </w:tc>
        <w:tc>
          <w:tcPr>
            <w:tcW w:w="1710" w:type="dxa"/>
            <w:tcBorders>
              <w:right w:val="single" w:sz="18" w:space="0" w:color="auto"/>
            </w:tcBorders>
          </w:tcPr>
          <w:p w14:paraId="02A5A952"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5.3%</w:t>
            </w:r>
          </w:p>
        </w:tc>
        <w:tc>
          <w:tcPr>
            <w:tcW w:w="1530" w:type="dxa"/>
            <w:tcBorders>
              <w:left w:val="single" w:sz="18" w:space="0" w:color="auto"/>
            </w:tcBorders>
          </w:tcPr>
          <w:p w14:paraId="285D5B4C"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5.5%</w:t>
            </w:r>
          </w:p>
        </w:tc>
        <w:tc>
          <w:tcPr>
            <w:tcW w:w="1458" w:type="dxa"/>
            <w:tcBorders>
              <w:right w:val="single" w:sz="18" w:space="0" w:color="auto"/>
            </w:tcBorders>
          </w:tcPr>
          <w:p w14:paraId="20844868"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3.5%</w:t>
            </w:r>
          </w:p>
        </w:tc>
      </w:tr>
      <w:tr w:rsidR="00E523FD" w14:paraId="4175E58F" w14:textId="77777777" w:rsidTr="00DB4EAD">
        <w:tc>
          <w:tcPr>
            <w:tcW w:w="2538" w:type="dxa"/>
            <w:tcBorders>
              <w:bottom w:val="triple" w:sz="4" w:space="0" w:color="auto"/>
              <w:right w:val="single" w:sz="18" w:space="0" w:color="auto"/>
            </w:tcBorders>
            <w:vAlign w:val="bottom"/>
          </w:tcPr>
          <w:p w14:paraId="138A9C5F" w14:textId="527A0FF9" w:rsidR="00E523FD" w:rsidRDefault="001A7BAC" w:rsidP="001E3A24">
            <w:pPr>
              <w:keepNext/>
              <w:keepLines/>
              <w:rPr>
                <w:rFonts w:ascii="Times New Roman" w:hAnsi="Times New Roman" w:cs="Times New Roman"/>
                <w:b/>
              </w:rPr>
            </w:pPr>
            <w:r>
              <w:rPr>
                <w:rFonts w:ascii="Times New Roman" w:eastAsia="Times New Roman" w:hAnsi="Times New Roman" w:cs="Times New Roman"/>
                <w:b/>
                <w:bCs/>
                <w:color w:val="000000"/>
              </w:rPr>
              <w:t>(10)</w:t>
            </w:r>
            <w:r w:rsidR="00E523FD" w:rsidRPr="00FB1F9F">
              <w:rPr>
                <w:rFonts w:ascii="Times New Roman" w:eastAsia="Times New Roman" w:hAnsi="Times New Roman" w:cs="Times New Roman"/>
                <w:b/>
                <w:bCs/>
                <w:color w:val="000000"/>
              </w:rPr>
              <w:t>Conversion</w:t>
            </w:r>
          </w:p>
        </w:tc>
        <w:tc>
          <w:tcPr>
            <w:tcW w:w="1620" w:type="dxa"/>
            <w:tcBorders>
              <w:left w:val="single" w:sz="18" w:space="0" w:color="auto"/>
              <w:bottom w:val="triple" w:sz="4" w:space="0" w:color="auto"/>
            </w:tcBorders>
          </w:tcPr>
          <w:p w14:paraId="479DA355"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11.9%</w:t>
            </w:r>
          </w:p>
        </w:tc>
        <w:tc>
          <w:tcPr>
            <w:tcW w:w="1710" w:type="dxa"/>
            <w:tcBorders>
              <w:bottom w:val="triple" w:sz="4" w:space="0" w:color="auto"/>
              <w:right w:val="single" w:sz="18" w:space="0" w:color="auto"/>
            </w:tcBorders>
          </w:tcPr>
          <w:p w14:paraId="058FBDE9"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8.8%</w:t>
            </w:r>
          </w:p>
        </w:tc>
        <w:tc>
          <w:tcPr>
            <w:tcW w:w="1530" w:type="dxa"/>
            <w:tcBorders>
              <w:left w:val="single" w:sz="18" w:space="0" w:color="auto"/>
              <w:bottom w:val="triple" w:sz="4" w:space="0" w:color="auto"/>
            </w:tcBorders>
          </w:tcPr>
          <w:p w14:paraId="767558CD"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11.9%</w:t>
            </w:r>
          </w:p>
        </w:tc>
        <w:tc>
          <w:tcPr>
            <w:tcW w:w="1458" w:type="dxa"/>
            <w:tcBorders>
              <w:bottom w:val="triple" w:sz="4" w:space="0" w:color="auto"/>
              <w:right w:val="single" w:sz="18" w:space="0" w:color="auto"/>
            </w:tcBorders>
          </w:tcPr>
          <w:p w14:paraId="0EDCA36A"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8.8%</w:t>
            </w:r>
          </w:p>
        </w:tc>
      </w:tr>
      <w:tr w:rsidR="00E523FD" w14:paraId="4862FF84" w14:textId="77777777" w:rsidTr="00DB4EAD">
        <w:tc>
          <w:tcPr>
            <w:tcW w:w="2538" w:type="dxa"/>
            <w:tcBorders>
              <w:top w:val="triple" w:sz="4" w:space="0" w:color="auto"/>
              <w:bottom w:val="triple" w:sz="4" w:space="0" w:color="auto"/>
              <w:right w:val="single" w:sz="18" w:space="0" w:color="auto"/>
            </w:tcBorders>
            <w:vAlign w:val="bottom"/>
          </w:tcPr>
          <w:p w14:paraId="62F486CC" w14:textId="77777777" w:rsidR="00E523FD" w:rsidRDefault="00E523FD" w:rsidP="001E3A24">
            <w:pPr>
              <w:keepNext/>
              <w:keepLines/>
              <w:rPr>
                <w:rFonts w:ascii="Times New Roman" w:hAnsi="Times New Roman" w:cs="Times New Roman"/>
                <w:b/>
              </w:rPr>
            </w:pPr>
            <w:r>
              <w:rPr>
                <w:rFonts w:ascii="Times New Roman" w:hAnsi="Times New Roman" w:cs="Times New Roman"/>
                <w:b/>
              </w:rPr>
              <w:t>Maximum Days</w:t>
            </w:r>
          </w:p>
        </w:tc>
        <w:tc>
          <w:tcPr>
            <w:tcW w:w="1620" w:type="dxa"/>
            <w:tcBorders>
              <w:top w:val="triple" w:sz="4" w:space="0" w:color="auto"/>
              <w:left w:val="single" w:sz="18" w:space="0" w:color="auto"/>
              <w:bottom w:val="triple" w:sz="4" w:space="0" w:color="auto"/>
            </w:tcBorders>
          </w:tcPr>
          <w:p w14:paraId="59E436DF"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48</w:t>
            </w:r>
          </w:p>
        </w:tc>
        <w:tc>
          <w:tcPr>
            <w:tcW w:w="1710" w:type="dxa"/>
            <w:tcBorders>
              <w:top w:val="triple" w:sz="4" w:space="0" w:color="auto"/>
              <w:bottom w:val="triple" w:sz="4" w:space="0" w:color="auto"/>
              <w:right w:val="single" w:sz="18" w:space="0" w:color="auto"/>
            </w:tcBorders>
          </w:tcPr>
          <w:p w14:paraId="2319DF08"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128</w:t>
            </w:r>
          </w:p>
        </w:tc>
        <w:tc>
          <w:tcPr>
            <w:tcW w:w="1530" w:type="dxa"/>
            <w:tcBorders>
              <w:top w:val="triple" w:sz="4" w:space="0" w:color="auto"/>
              <w:left w:val="single" w:sz="18" w:space="0" w:color="auto"/>
              <w:bottom w:val="triple" w:sz="4" w:space="0" w:color="auto"/>
            </w:tcBorders>
          </w:tcPr>
          <w:p w14:paraId="328DFD77"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1,362</w:t>
            </w:r>
          </w:p>
        </w:tc>
        <w:tc>
          <w:tcPr>
            <w:tcW w:w="1458" w:type="dxa"/>
            <w:tcBorders>
              <w:top w:val="triple" w:sz="4" w:space="0" w:color="auto"/>
              <w:bottom w:val="triple" w:sz="4" w:space="0" w:color="auto"/>
              <w:right w:val="single" w:sz="18" w:space="0" w:color="auto"/>
            </w:tcBorders>
          </w:tcPr>
          <w:p w14:paraId="0C41839E"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490</w:t>
            </w:r>
          </w:p>
        </w:tc>
      </w:tr>
      <w:tr w:rsidR="00E523FD" w14:paraId="5514A0A8" w14:textId="77777777" w:rsidTr="00DB4EAD">
        <w:tc>
          <w:tcPr>
            <w:tcW w:w="2538" w:type="dxa"/>
            <w:tcBorders>
              <w:top w:val="triple" w:sz="4" w:space="0" w:color="auto"/>
              <w:right w:val="single" w:sz="18" w:space="0" w:color="auto"/>
            </w:tcBorders>
            <w:vAlign w:val="bottom"/>
          </w:tcPr>
          <w:p w14:paraId="18F150DC" w14:textId="77777777" w:rsidR="00E523FD" w:rsidRDefault="00E523FD" w:rsidP="001E3A24">
            <w:pPr>
              <w:keepNext/>
              <w:keepLines/>
              <w:rPr>
                <w:rFonts w:ascii="Times New Roman" w:hAnsi="Times New Roman" w:cs="Times New Roman"/>
                <w:b/>
              </w:rPr>
            </w:pPr>
            <w:r w:rsidRPr="00FB1F9F">
              <w:rPr>
                <w:rFonts w:ascii="Times New Roman" w:eastAsia="Times New Roman" w:hAnsi="Times New Roman" w:cs="Times New Roman"/>
                <w:b/>
                <w:bCs/>
                <w:color w:val="000000"/>
              </w:rPr>
              <w:t>Average Days</w:t>
            </w:r>
          </w:p>
        </w:tc>
        <w:tc>
          <w:tcPr>
            <w:tcW w:w="1620" w:type="dxa"/>
            <w:tcBorders>
              <w:top w:val="triple" w:sz="4" w:space="0" w:color="auto"/>
              <w:left w:val="single" w:sz="18" w:space="0" w:color="auto"/>
            </w:tcBorders>
          </w:tcPr>
          <w:p w14:paraId="7CB7BC98"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12</w:t>
            </w:r>
          </w:p>
        </w:tc>
        <w:tc>
          <w:tcPr>
            <w:tcW w:w="1710" w:type="dxa"/>
            <w:tcBorders>
              <w:top w:val="triple" w:sz="4" w:space="0" w:color="auto"/>
              <w:right w:val="single" w:sz="18" w:space="0" w:color="auto"/>
            </w:tcBorders>
          </w:tcPr>
          <w:p w14:paraId="2FCB07A9"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13</w:t>
            </w:r>
          </w:p>
        </w:tc>
        <w:tc>
          <w:tcPr>
            <w:tcW w:w="1530" w:type="dxa"/>
            <w:tcBorders>
              <w:top w:val="triple" w:sz="4" w:space="0" w:color="auto"/>
              <w:left w:val="single" w:sz="18" w:space="0" w:color="auto"/>
            </w:tcBorders>
          </w:tcPr>
          <w:p w14:paraId="1AF19C5D"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120</w:t>
            </w:r>
          </w:p>
        </w:tc>
        <w:tc>
          <w:tcPr>
            <w:tcW w:w="1458" w:type="dxa"/>
            <w:tcBorders>
              <w:top w:val="triple" w:sz="4" w:space="0" w:color="auto"/>
              <w:right w:val="single" w:sz="18" w:space="0" w:color="auto"/>
            </w:tcBorders>
          </w:tcPr>
          <w:p w14:paraId="42085794"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68</w:t>
            </w:r>
          </w:p>
        </w:tc>
      </w:tr>
      <w:tr w:rsidR="00E523FD" w14:paraId="3D60555E" w14:textId="77777777" w:rsidTr="00DB4EAD">
        <w:tc>
          <w:tcPr>
            <w:tcW w:w="2538" w:type="dxa"/>
            <w:tcBorders>
              <w:right w:val="single" w:sz="18" w:space="0" w:color="auto"/>
            </w:tcBorders>
            <w:vAlign w:val="bottom"/>
          </w:tcPr>
          <w:p w14:paraId="13642959" w14:textId="77777777" w:rsidR="00E523FD" w:rsidRDefault="00E523FD" w:rsidP="001E3A24">
            <w:pPr>
              <w:keepNext/>
              <w:keepLines/>
              <w:rPr>
                <w:rFonts w:ascii="Times New Roman" w:hAnsi="Times New Roman" w:cs="Times New Roman"/>
                <w:b/>
              </w:rPr>
            </w:pPr>
            <w:r w:rsidRPr="00FB1F9F">
              <w:rPr>
                <w:rFonts w:ascii="Times New Roman" w:eastAsia="Times New Roman" w:hAnsi="Times New Roman" w:cs="Times New Roman"/>
                <w:b/>
                <w:bCs/>
                <w:color w:val="000000"/>
              </w:rPr>
              <w:t>Median</w:t>
            </w:r>
            <w:r>
              <w:rPr>
                <w:rFonts w:ascii="Times New Roman" w:eastAsia="Times New Roman" w:hAnsi="Times New Roman" w:cs="Times New Roman"/>
                <w:b/>
                <w:bCs/>
                <w:color w:val="000000"/>
              </w:rPr>
              <w:t xml:space="preserve"> Days</w:t>
            </w:r>
          </w:p>
        </w:tc>
        <w:tc>
          <w:tcPr>
            <w:tcW w:w="1620" w:type="dxa"/>
            <w:tcBorders>
              <w:left w:val="single" w:sz="18" w:space="0" w:color="auto"/>
            </w:tcBorders>
          </w:tcPr>
          <w:p w14:paraId="0492E66B"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14</w:t>
            </w:r>
          </w:p>
        </w:tc>
        <w:tc>
          <w:tcPr>
            <w:tcW w:w="1710" w:type="dxa"/>
            <w:tcBorders>
              <w:right w:val="single" w:sz="18" w:space="0" w:color="auto"/>
            </w:tcBorders>
          </w:tcPr>
          <w:p w14:paraId="129E5B5C"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13</w:t>
            </w:r>
          </w:p>
        </w:tc>
        <w:tc>
          <w:tcPr>
            <w:tcW w:w="1530" w:type="dxa"/>
            <w:tcBorders>
              <w:left w:val="single" w:sz="18" w:space="0" w:color="auto"/>
            </w:tcBorders>
          </w:tcPr>
          <w:p w14:paraId="60238CA5"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36</w:t>
            </w:r>
          </w:p>
        </w:tc>
        <w:tc>
          <w:tcPr>
            <w:tcW w:w="1458" w:type="dxa"/>
            <w:tcBorders>
              <w:right w:val="single" w:sz="18" w:space="0" w:color="auto"/>
            </w:tcBorders>
          </w:tcPr>
          <w:p w14:paraId="4ED786EF" w14:textId="77777777" w:rsidR="00E523FD" w:rsidRDefault="00E523FD" w:rsidP="001E3A24">
            <w:pPr>
              <w:keepNext/>
              <w:keepLines/>
              <w:jc w:val="right"/>
              <w:rPr>
                <w:rFonts w:ascii="Times New Roman" w:eastAsiaTheme="majorEastAsia" w:hAnsi="Times New Roman" w:cs="Times New Roman"/>
                <w:b/>
                <w:i/>
                <w:iCs/>
                <w:color w:val="404040" w:themeColor="text1" w:themeTint="BF"/>
                <w:sz w:val="20"/>
                <w:szCs w:val="20"/>
              </w:rPr>
            </w:pPr>
            <w:r w:rsidRPr="00FB1F9F">
              <w:rPr>
                <w:rFonts w:ascii="Times New Roman" w:eastAsia="Times New Roman" w:hAnsi="Times New Roman" w:cs="Times New Roman"/>
                <w:color w:val="000000"/>
              </w:rPr>
              <w:t>30</w:t>
            </w:r>
          </w:p>
        </w:tc>
      </w:tr>
    </w:tbl>
    <w:p w14:paraId="33B7C91F" w14:textId="77777777" w:rsidR="00E523FD" w:rsidRPr="00995C17" w:rsidRDefault="00E523FD" w:rsidP="00E523FD">
      <w:pPr>
        <w:spacing w:line="480" w:lineRule="auto"/>
        <w:ind w:firstLine="360"/>
        <w:rPr>
          <w:rFonts w:ascii="Times New Roman" w:hAnsi="Times New Roman" w:cs="Times New Roman"/>
          <w:b/>
          <w:i/>
        </w:rPr>
      </w:pPr>
    </w:p>
    <w:p w14:paraId="2CAB792A" w14:textId="7EDC1CB2" w:rsidR="00E523FD" w:rsidRPr="001A7BAC" w:rsidRDefault="007E4F0D" w:rsidP="00E523FD">
      <w:pPr>
        <w:spacing w:line="480" w:lineRule="auto"/>
        <w:ind w:firstLine="720"/>
        <w:rPr>
          <w:rFonts w:ascii="Times New Roman" w:hAnsi="Times New Roman" w:cs="Times New Roman"/>
        </w:rPr>
      </w:pPr>
      <w:r>
        <w:rPr>
          <w:rFonts w:ascii="Times New Roman" w:hAnsi="Times New Roman" w:cs="Times New Roman"/>
        </w:rPr>
        <w:t>While a</w:t>
      </w:r>
      <w:r w:rsidR="00E523FD" w:rsidRPr="00995C17">
        <w:rPr>
          <w:rFonts w:ascii="Times New Roman" w:hAnsi="Times New Roman" w:cs="Times New Roman"/>
        </w:rPr>
        <w:t xml:space="preserve"> few debtors never filed any schedules</w:t>
      </w:r>
      <w:r>
        <w:rPr>
          <w:rFonts w:ascii="Times New Roman" w:hAnsi="Times New Roman" w:cs="Times New Roman"/>
        </w:rPr>
        <w:t>, o</w:t>
      </w:r>
      <w:r w:rsidR="00E523FD" w:rsidRPr="00995C17">
        <w:rPr>
          <w:rFonts w:ascii="Times New Roman" w:hAnsi="Times New Roman" w:cs="Times New Roman"/>
        </w:rPr>
        <w:t xml:space="preserve">f those who did, the median time </w:t>
      </w:r>
      <w:r w:rsidR="00E523FD">
        <w:rPr>
          <w:rFonts w:ascii="Times New Roman" w:hAnsi="Times New Roman" w:cs="Times New Roman"/>
        </w:rPr>
        <w:t>for filing</w:t>
      </w:r>
      <w:r w:rsidR="00E523FD" w:rsidRPr="00995C17">
        <w:rPr>
          <w:rFonts w:ascii="Times New Roman" w:hAnsi="Times New Roman" w:cs="Times New Roman"/>
        </w:rPr>
        <w:t xml:space="preserve"> the summary of schedules was fourteen days</w:t>
      </w:r>
      <w:r>
        <w:rPr>
          <w:rFonts w:ascii="Times New Roman" w:hAnsi="Times New Roman" w:cs="Times New Roman"/>
        </w:rPr>
        <w:t>. O</w:t>
      </w:r>
      <w:r w:rsidR="00E523FD" w:rsidRPr="00995C17">
        <w:rPr>
          <w:rFonts w:ascii="Times New Roman" w:hAnsi="Times New Roman" w:cs="Times New Roman"/>
        </w:rPr>
        <w:t xml:space="preserve">nly about </w:t>
      </w:r>
      <w:r w:rsidR="00E523FD">
        <w:rPr>
          <w:rFonts w:ascii="Times New Roman" w:hAnsi="Times New Roman" w:cs="Times New Roman"/>
        </w:rPr>
        <w:t>5%</w:t>
      </w:r>
      <w:r w:rsidR="00E523FD" w:rsidRPr="00995C17">
        <w:rPr>
          <w:rFonts w:ascii="Times New Roman" w:hAnsi="Times New Roman" w:cs="Times New Roman"/>
        </w:rPr>
        <w:t xml:space="preserve"> of all debtors waited more than </w:t>
      </w:r>
      <w:r w:rsidR="001E3A24">
        <w:rPr>
          <w:rFonts w:ascii="Times New Roman" w:hAnsi="Times New Roman" w:cs="Times New Roman"/>
        </w:rPr>
        <w:t>thirty</w:t>
      </w:r>
      <w:r w:rsidR="00E523FD" w:rsidRPr="00995C17">
        <w:rPr>
          <w:rFonts w:ascii="Times New Roman" w:hAnsi="Times New Roman" w:cs="Times New Roman"/>
        </w:rPr>
        <w:t xml:space="preserve"> days to file their </w:t>
      </w:r>
      <w:r w:rsidR="00E523FD">
        <w:rPr>
          <w:rFonts w:ascii="Times New Roman" w:hAnsi="Times New Roman" w:cs="Times New Roman"/>
        </w:rPr>
        <w:t xml:space="preserve">first </w:t>
      </w:r>
      <w:r w:rsidR="00E523FD" w:rsidRPr="00995C17">
        <w:rPr>
          <w:rFonts w:ascii="Times New Roman" w:hAnsi="Times New Roman" w:cs="Times New Roman"/>
        </w:rPr>
        <w:t>summary of schedules.</w:t>
      </w:r>
      <w:r w:rsidR="00E523FD">
        <w:rPr>
          <w:rFonts w:ascii="Times New Roman" w:hAnsi="Times New Roman" w:cs="Times New Roman"/>
        </w:rPr>
        <w:t xml:space="preserve"> </w:t>
      </w:r>
      <w:r w:rsidR="001A7BAC">
        <w:rPr>
          <w:rFonts w:ascii="Times New Roman" w:hAnsi="Times New Roman" w:cs="Times New Roman"/>
          <w:i/>
        </w:rPr>
        <w:t xml:space="preserve">See </w:t>
      </w:r>
      <w:r w:rsidR="001A7BAC">
        <w:rPr>
          <w:rFonts w:ascii="Times New Roman" w:hAnsi="Times New Roman" w:cs="Times New Roman"/>
        </w:rPr>
        <w:t xml:space="preserve">Column (A), Rows (1)-(6). </w:t>
      </w:r>
      <w:r w:rsidR="00E523FD">
        <w:rPr>
          <w:rFonts w:ascii="Times New Roman" w:hAnsi="Times New Roman" w:cs="Times New Roman"/>
        </w:rPr>
        <w:t>M</w:t>
      </w:r>
      <w:r w:rsidR="00E523FD" w:rsidRPr="00995C17">
        <w:rPr>
          <w:rFonts w:ascii="Times New Roman" w:hAnsi="Times New Roman" w:cs="Times New Roman"/>
        </w:rPr>
        <w:t>any schedules were later amended or supplemented</w:t>
      </w:r>
      <w:r w:rsidR="00E523FD">
        <w:rPr>
          <w:rFonts w:ascii="Times New Roman" w:hAnsi="Times New Roman" w:cs="Times New Roman"/>
        </w:rPr>
        <w:t>, however</w:t>
      </w:r>
      <w:r w:rsidR="00E523FD" w:rsidRPr="00995C17">
        <w:rPr>
          <w:rFonts w:ascii="Times New Roman" w:hAnsi="Times New Roman" w:cs="Times New Roman"/>
        </w:rPr>
        <w:t xml:space="preserve">. The median time between filing of the petition and the filing of the last schedules </w:t>
      </w:r>
      <w:r w:rsidR="00E523FD">
        <w:rPr>
          <w:rFonts w:ascii="Times New Roman" w:hAnsi="Times New Roman" w:cs="Times New Roman"/>
        </w:rPr>
        <w:t xml:space="preserve">in the chapter 11 case </w:t>
      </w:r>
      <w:r w:rsidR="00E523FD" w:rsidRPr="00995C17">
        <w:rPr>
          <w:rFonts w:ascii="Times New Roman" w:hAnsi="Times New Roman" w:cs="Times New Roman"/>
        </w:rPr>
        <w:t xml:space="preserve">was around one month </w:t>
      </w:r>
      <w:r w:rsidR="001E3A24">
        <w:rPr>
          <w:rFonts w:ascii="Times New Roman" w:hAnsi="Times New Roman" w:cs="Times New Roman"/>
        </w:rPr>
        <w:t>(thirty-six days in 2010 and thirty</w:t>
      </w:r>
      <w:r w:rsidR="00E523FD" w:rsidRPr="00995C17">
        <w:rPr>
          <w:rFonts w:ascii="Times New Roman" w:hAnsi="Times New Roman" w:cs="Times New Roman"/>
        </w:rPr>
        <w:t xml:space="preserve"> in 2013), and </w:t>
      </w:r>
      <w:r w:rsidR="001A7BAC">
        <w:rPr>
          <w:rFonts w:ascii="Times New Roman" w:hAnsi="Times New Roman" w:cs="Times New Roman"/>
        </w:rPr>
        <w:t>more than 28%</w:t>
      </w:r>
      <w:r w:rsidR="00851918">
        <w:rPr>
          <w:rFonts w:ascii="Times New Roman" w:hAnsi="Times New Roman" w:cs="Times New Roman"/>
        </w:rPr>
        <w:t xml:space="preserve"> </w:t>
      </w:r>
      <w:r w:rsidR="00E523FD" w:rsidRPr="00995C17">
        <w:rPr>
          <w:rFonts w:ascii="Times New Roman" w:hAnsi="Times New Roman" w:cs="Times New Roman"/>
        </w:rPr>
        <w:t xml:space="preserve">of all debtors were still amending their schedules more than six months after filing. </w:t>
      </w:r>
      <w:r w:rsidR="001A7BAC">
        <w:rPr>
          <w:rFonts w:ascii="Times New Roman" w:hAnsi="Times New Roman" w:cs="Times New Roman"/>
          <w:i/>
        </w:rPr>
        <w:t xml:space="preserve">See </w:t>
      </w:r>
      <w:r w:rsidR="001A7BAC">
        <w:rPr>
          <w:rFonts w:ascii="Times New Roman" w:hAnsi="Times New Roman" w:cs="Times New Roman"/>
        </w:rPr>
        <w:t>Column (B), Rows (1)-(5).</w:t>
      </w:r>
    </w:p>
    <w:p w14:paraId="4953FE00" w14:textId="5A2ABF27" w:rsidR="00E523FD" w:rsidRDefault="00E523FD" w:rsidP="00E523FD">
      <w:pPr>
        <w:spacing w:line="480" w:lineRule="auto"/>
        <w:ind w:firstLine="720"/>
        <w:rPr>
          <w:rFonts w:ascii="Times New Roman" w:hAnsi="Times New Roman" w:cs="Times New Roman"/>
        </w:rPr>
      </w:pPr>
      <w:r w:rsidRPr="00995C17">
        <w:rPr>
          <w:rFonts w:ascii="Times New Roman" w:hAnsi="Times New Roman" w:cs="Times New Roman"/>
        </w:rPr>
        <w:t>The large number of amendments may suggest that debtors do</w:t>
      </w:r>
      <w:r>
        <w:rPr>
          <w:rFonts w:ascii="Times New Roman" w:hAnsi="Times New Roman" w:cs="Times New Roman"/>
        </w:rPr>
        <w:t xml:space="preserve"> not</w:t>
      </w:r>
      <w:r w:rsidRPr="00995C17">
        <w:rPr>
          <w:rFonts w:ascii="Times New Roman" w:hAnsi="Times New Roman" w:cs="Times New Roman"/>
        </w:rPr>
        <w:t xml:space="preserve"> have a good understanding of their financial affairs </w:t>
      </w:r>
      <w:r>
        <w:rPr>
          <w:rFonts w:ascii="Times New Roman" w:hAnsi="Times New Roman" w:cs="Times New Roman"/>
        </w:rPr>
        <w:t xml:space="preserve">at the start of the case </w:t>
      </w:r>
      <w:r w:rsidRPr="00995C17">
        <w:rPr>
          <w:rFonts w:ascii="Times New Roman" w:hAnsi="Times New Roman" w:cs="Times New Roman"/>
        </w:rPr>
        <w:t xml:space="preserve">and need time to sort them out. If that is true, then a rigid system like </w:t>
      </w:r>
      <w:r>
        <w:rPr>
          <w:rFonts w:ascii="Times New Roman" w:hAnsi="Times New Roman" w:cs="Times New Roman"/>
        </w:rPr>
        <w:t>chapter</w:t>
      </w:r>
      <w:r w:rsidRPr="00995C17">
        <w:rPr>
          <w:rFonts w:ascii="Times New Roman" w:hAnsi="Times New Roman" w:cs="Times New Roman"/>
        </w:rPr>
        <w:t xml:space="preserve"> 13 may not work so well. On the other hand, it may mean that nobody is pressing the </w:t>
      </w:r>
      <w:r>
        <w:rPr>
          <w:rFonts w:ascii="Times New Roman" w:hAnsi="Times New Roman" w:cs="Times New Roman"/>
        </w:rPr>
        <w:t xml:space="preserve">chapter 11 </w:t>
      </w:r>
      <w:r w:rsidRPr="00995C17">
        <w:rPr>
          <w:rFonts w:ascii="Times New Roman" w:hAnsi="Times New Roman" w:cs="Times New Roman"/>
        </w:rPr>
        <w:t>d</w:t>
      </w:r>
      <w:r>
        <w:rPr>
          <w:rFonts w:ascii="Times New Roman" w:hAnsi="Times New Roman" w:cs="Times New Roman"/>
        </w:rPr>
        <w:t xml:space="preserve">ebtor to move forward. If </w:t>
      </w:r>
      <w:r w:rsidR="0008535A">
        <w:rPr>
          <w:rFonts w:ascii="Times New Roman" w:hAnsi="Times New Roman" w:cs="Times New Roman"/>
        </w:rPr>
        <w:t>so</w:t>
      </w:r>
      <w:r w:rsidRPr="00995C17">
        <w:rPr>
          <w:rFonts w:ascii="Times New Roman" w:hAnsi="Times New Roman" w:cs="Times New Roman"/>
        </w:rPr>
        <w:t>,</w:t>
      </w:r>
      <w:r>
        <w:rPr>
          <w:rFonts w:ascii="Times New Roman" w:hAnsi="Times New Roman" w:cs="Times New Roman"/>
        </w:rPr>
        <w:t xml:space="preserve"> having trustee oversight, as in chapter</w:t>
      </w:r>
      <w:r w:rsidRPr="00995C17">
        <w:rPr>
          <w:rFonts w:ascii="Times New Roman" w:hAnsi="Times New Roman" w:cs="Times New Roman"/>
        </w:rPr>
        <w:t xml:space="preserve"> 13</w:t>
      </w:r>
      <w:r>
        <w:rPr>
          <w:rFonts w:ascii="Times New Roman" w:hAnsi="Times New Roman" w:cs="Times New Roman"/>
        </w:rPr>
        <w:t>,</w:t>
      </w:r>
      <w:r w:rsidRPr="00995C17">
        <w:rPr>
          <w:rFonts w:ascii="Times New Roman" w:hAnsi="Times New Roman" w:cs="Times New Roman"/>
        </w:rPr>
        <w:t xml:space="preserve"> may </w:t>
      </w:r>
      <w:r w:rsidR="007E4F0D">
        <w:rPr>
          <w:rFonts w:ascii="Times New Roman" w:hAnsi="Times New Roman" w:cs="Times New Roman"/>
        </w:rPr>
        <w:t xml:space="preserve">prod debtors to settle on a set of final schedules and move onto plan negotiation and proposal.  </w:t>
      </w:r>
    </w:p>
    <w:p w14:paraId="465203FB" w14:textId="6AE7C7BE" w:rsidR="00D45BD3" w:rsidRDefault="00E523FD" w:rsidP="00E523FD">
      <w:pPr>
        <w:spacing w:line="480" w:lineRule="auto"/>
        <w:ind w:firstLine="720"/>
        <w:rPr>
          <w:rFonts w:ascii="Times New Roman" w:hAnsi="Times New Roman" w:cs="Times New Roman"/>
        </w:rPr>
      </w:pPr>
      <w:r>
        <w:rPr>
          <w:rFonts w:ascii="Times New Roman" w:hAnsi="Times New Roman" w:cs="Times New Roman"/>
        </w:rPr>
        <w:t xml:space="preserve">Plan proposal is another measure of case progress. </w:t>
      </w:r>
      <w:r w:rsidR="00D45BD3">
        <w:rPr>
          <w:rFonts w:ascii="Times New Roman" w:hAnsi="Times New Roman" w:cs="Times New Roman"/>
        </w:rPr>
        <w:t>In a</w:t>
      </w:r>
      <w:r w:rsidRPr="00995C17">
        <w:rPr>
          <w:rFonts w:ascii="Times New Roman" w:hAnsi="Times New Roman" w:cs="Times New Roman"/>
        </w:rPr>
        <w:t xml:space="preserve">bout </w:t>
      </w:r>
      <w:r>
        <w:rPr>
          <w:rFonts w:ascii="Times New Roman" w:hAnsi="Times New Roman" w:cs="Times New Roman"/>
        </w:rPr>
        <w:t>60%</w:t>
      </w:r>
      <w:r w:rsidRPr="00995C17">
        <w:rPr>
          <w:rFonts w:ascii="Times New Roman" w:hAnsi="Times New Roman" w:cs="Times New Roman"/>
        </w:rPr>
        <w:t xml:space="preserve"> of our </w:t>
      </w:r>
      <w:r w:rsidR="00D45BD3">
        <w:rPr>
          <w:rFonts w:ascii="Times New Roman" w:hAnsi="Times New Roman" w:cs="Times New Roman"/>
        </w:rPr>
        <w:t xml:space="preserve">random sample cases </w:t>
      </w:r>
      <w:r w:rsidRPr="00995C17">
        <w:rPr>
          <w:rFonts w:ascii="Times New Roman" w:hAnsi="Times New Roman" w:cs="Times New Roman"/>
        </w:rPr>
        <w:t>(</w:t>
      </w:r>
      <w:r>
        <w:rPr>
          <w:rFonts w:ascii="Times New Roman" w:hAnsi="Times New Roman" w:cs="Times New Roman"/>
        </w:rPr>
        <w:t>61</w:t>
      </w:r>
      <w:r w:rsidRPr="00995C17">
        <w:rPr>
          <w:rFonts w:ascii="Times New Roman" w:hAnsi="Times New Roman" w:cs="Times New Roman"/>
        </w:rPr>
        <w:t>% in 2010 and 5</w:t>
      </w:r>
      <w:r>
        <w:rPr>
          <w:rFonts w:ascii="Times New Roman" w:hAnsi="Times New Roman" w:cs="Times New Roman"/>
        </w:rPr>
        <w:t>8</w:t>
      </w:r>
      <w:r w:rsidRPr="00995C17">
        <w:rPr>
          <w:rFonts w:ascii="Times New Roman" w:hAnsi="Times New Roman" w:cs="Times New Roman"/>
        </w:rPr>
        <w:t>% in 2013)</w:t>
      </w:r>
      <w:r w:rsidR="00D45BD3">
        <w:rPr>
          <w:rFonts w:ascii="Times New Roman" w:hAnsi="Times New Roman" w:cs="Times New Roman"/>
        </w:rPr>
        <w:t>, a plan was</w:t>
      </w:r>
      <w:r w:rsidRPr="00995C17">
        <w:rPr>
          <w:rFonts w:ascii="Times New Roman" w:hAnsi="Times New Roman" w:cs="Times New Roman"/>
        </w:rPr>
        <w:t xml:space="preserve"> proposed</w:t>
      </w:r>
      <w:r w:rsidR="00D45BD3">
        <w:rPr>
          <w:rFonts w:ascii="Times New Roman" w:hAnsi="Times New Roman" w:cs="Times New Roman"/>
        </w:rPr>
        <w:t>.</w:t>
      </w:r>
      <w:bookmarkStart w:id="36" w:name="_Ref333733573"/>
      <w:r>
        <w:rPr>
          <w:rStyle w:val="FootnoteReference"/>
          <w:rFonts w:ascii="Times New Roman" w:hAnsi="Times New Roman" w:cs="Times New Roman"/>
        </w:rPr>
        <w:footnoteReference w:id="298"/>
      </w:r>
      <w:bookmarkEnd w:id="36"/>
      <w:r>
        <w:rPr>
          <w:rFonts w:ascii="Times New Roman" w:hAnsi="Times New Roman" w:cs="Times New Roman"/>
        </w:rPr>
        <w:t xml:space="preserve"> </w:t>
      </w:r>
      <w:r w:rsidR="0008535A">
        <w:rPr>
          <w:rFonts w:ascii="Times New Roman" w:hAnsi="Times New Roman" w:cs="Times New Roman"/>
        </w:rPr>
        <w:t>The debtor proposed the plan i</w:t>
      </w:r>
      <w:r w:rsidR="00D45BD3">
        <w:rPr>
          <w:rFonts w:ascii="Times New Roman" w:hAnsi="Times New Roman" w:cs="Times New Roman"/>
        </w:rPr>
        <w:t xml:space="preserve">n the overwhelming majority of cases. We found only one case in 2010 and two in 2013 in which a party other than the debtor offered a reorganization plan. </w:t>
      </w:r>
      <w:r w:rsidR="00D45BD3">
        <w:rPr>
          <w:rFonts w:ascii="Times New Roman" w:hAnsi="Times New Roman" w:cs="Times New Roman"/>
          <w:i/>
        </w:rPr>
        <w:t xml:space="preserve">See </w:t>
      </w:r>
      <w:r w:rsidR="00D45BD3">
        <w:rPr>
          <w:rFonts w:ascii="Times New Roman" w:hAnsi="Times New Roman" w:cs="Times New Roman"/>
        </w:rPr>
        <w:t>Table</w:t>
      </w:r>
      <w:r w:rsidR="00DB4EAD">
        <w:rPr>
          <w:rFonts w:ascii="Times New Roman" w:hAnsi="Times New Roman" w:cs="Times New Roman"/>
        </w:rPr>
        <w:t xml:space="preserve"> 54</w:t>
      </w:r>
      <w:r w:rsidR="00D45BD3">
        <w:rPr>
          <w:rFonts w:ascii="Times New Roman" w:hAnsi="Times New Roman" w:cs="Times New Roman"/>
        </w:rPr>
        <w:t xml:space="preserve">.  </w:t>
      </w:r>
    </w:p>
    <w:p w14:paraId="5099480E" w14:textId="66CCDD7C" w:rsidR="00D45BD3" w:rsidRDefault="00D45BD3" w:rsidP="001E3A24">
      <w:pPr>
        <w:keepNext/>
        <w:keepLines/>
        <w:spacing w:line="480" w:lineRule="auto"/>
        <w:jc w:val="center"/>
        <w:rPr>
          <w:rFonts w:ascii="Times New Roman" w:hAnsi="Times New Roman" w:cs="Times New Roman"/>
          <w:b/>
        </w:rPr>
      </w:pPr>
      <w:r>
        <w:rPr>
          <w:rFonts w:ascii="Times New Roman" w:hAnsi="Times New Roman" w:cs="Times New Roman"/>
          <w:b/>
        </w:rPr>
        <w:t xml:space="preserve">Table </w:t>
      </w:r>
      <w:r w:rsidR="00DB4EAD">
        <w:rPr>
          <w:rFonts w:ascii="Times New Roman" w:hAnsi="Times New Roman" w:cs="Times New Roman"/>
          <w:b/>
        </w:rPr>
        <w:t>54</w:t>
      </w:r>
      <w:r>
        <w:rPr>
          <w:rFonts w:ascii="Times New Roman" w:hAnsi="Times New Roman" w:cs="Times New Roman"/>
          <w:b/>
        </w:rPr>
        <w:t>: Plan Proposed by Non-Debtor</w:t>
      </w:r>
    </w:p>
    <w:tbl>
      <w:tblPr>
        <w:tblStyle w:val="TableGrid"/>
        <w:tblW w:w="0" w:type="auto"/>
        <w:tblInd w:w="468" w:type="dxa"/>
        <w:tblLook w:val="04A0" w:firstRow="1" w:lastRow="0" w:firstColumn="1" w:lastColumn="0" w:noHBand="0" w:noVBand="1"/>
      </w:tblPr>
      <w:tblGrid>
        <w:gridCol w:w="2484"/>
        <w:gridCol w:w="2952"/>
        <w:gridCol w:w="2394"/>
      </w:tblGrid>
      <w:tr w:rsidR="00D45BD3" w14:paraId="44A99932" w14:textId="77777777" w:rsidTr="00DB4EAD">
        <w:tc>
          <w:tcPr>
            <w:tcW w:w="2484" w:type="dxa"/>
            <w:tcBorders>
              <w:top w:val="nil"/>
              <w:left w:val="nil"/>
              <w:bottom w:val="single" w:sz="12" w:space="0" w:color="auto"/>
              <w:right w:val="single" w:sz="12" w:space="0" w:color="auto"/>
            </w:tcBorders>
          </w:tcPr>
          <w:p w14:paraId="236E14A2" w14:textId="77777777" w:rsidR="00D45BD3" w:rsidRDefault="00D45BD3" w:rsidP="001E3A24">
            <w:pPr>
              <w:keepNext/>
              <w:keepLines/>
              <w:rPr>
                <w:rFonts w:ascii="Times New Roman" w:hAnsi="Times New Roman" w:cs="Times New Roman"/>
                <w:b/>
              </w:rPr>
            </w:pPr>
          </w:p>
        </w:tc>
        <w:tc>
          <w:tcPr>
            <w:tcW w:w="2952" w:type="dxa"/>
            <w:tcBorders>
              <w:top w:val="single" w:sz="18" w:space="0" w:color="auto"/>
              <w:left w:val="single" w:sz="12" w:space="0" w:color="auto"/>
              <w:bottom w:val="single" w:sz="12" w:space="0" w:color="auto"/>
              <w:right w:val="single" w:sz="12" w:space="0" w:color="auto"/>
            </w:tcBorders>
          </w:tcPr>
          <w:p w14:paraId="511A52A2" w14:textId="77777777" w:rsidR="00D45BD3" w:rsidRDefault="00D45BD3" w:rsidP="001E3A24">
            <w:pPr>
              <w:keepNext/>
              <w:keepLines/>
              <w:jc w:val="center"/>
              <w:rPr>
                <w:rFonts w:ascii="Times New Roman" w:hAnsi="Times New Roman" w:cs="Times New Roman"/>
                <w:b/>
              </w:rPr>
            </w:pPr>
            <w:r>
              <w:rPr>
                <w:rFonts w:ascii="Times New Roman" w:hAnsi="Times New Roman" w:cs="Times New Roman"/>
                <w:b/>
              </w:rPr>
              <w:t>2010</w:t>
            </w:r>
          </w:p>
        </w:tc>
        <w:tc>
          <w:tcPr>
            <w:tcW w:w="2394" w:type="dxa"/>
            <w:tcBorders>
              <w:top w:val="single" w:sz="18" w:space="0" w:color="auto"/>
              <w:left w:val="single" w:sz="12" w:space="0" w:color="auto"/>
              <w:bottom w:val="single" w:sz="12" w:space="0" w:color="auto"/>
              <w:right w:val="single" w:sz="18" w:space="0" w:color="auto"/>
            </w:tcBorders>
          </w:tcPr>
          <w:p w14:paraId="79E0EB23" w14:textId="77777777" w:rsidR="00D45BD3" w:rsidRDefault="00D45BD3" w:rsidP="001E3A24">
            <w:pPr>
              <w:keepNext/>
              <w:keepLines/>
              <w:jc w:val="center"/>
              <w:rPr>
                <w:rFonts w:ascii="Times New Roman" w:hAnsi="Times New Roman" w:cs="Times New Roman"/>
                <w:b/>
              </w:rPr>
            </w:pPr>
            <w:r>
              <w:rPr>
                <w:rFonts w:ascii="Times New Roman" w:hAnsi="Times New Roman" w:cs="Times New Roman"/>
                <w:b/>
              </w:rPr>
              <w:t>2013</w:t>
            </w:r>
          </w:p>
        </w:tc>
      </w:tr>
      <w:tr w:rsidR="00D45BD3" w14:paraId="06A2C84F" w14:textId="77777777" w:rsidTr="00DB4EAD">
        <w:tc>
          <w:tcPr>
            <w:tcW w:w="2484" w:type="dxa"/>
            <w:tcBorders>
              <w:top w:val="single" w:sz="12" w:space="0" w:color="auto"/>
              <w:right w:val="single" w:sz="18" w:space="0" w:color="auto"/>
            </w:tcBorders>
          </w:tcPr>
          <w:p w14:paraId="3966FA31" w14:textId="77777777" w:rsidR="00D45BD3" w:rsidRDefault="00D45BD3" w:rsidP="001E3A24">
            <w:pPr>
              <w:keepNext/>
              <w:keepLines/>
              <w:rPr>
                <w:rFonts w:ascii="Times New Roman" w:hAnsi="Times New Roman" w:cs="Times New Roman"/>
                <w:b/>
              </w:rPr>
            </w:pPr>
            <w:r>
              <w:rPr>
                <w:rFonts w:ascii="Times New Roman" w:hAnsi="Times New Roman" w:cs="Times New Roman"/>
                <w:b/>
              </w:rPr>
              <w:t>Yes</w:t>
            </w:r>
          </w:p>
        </w:tc>
        <w:tc>
          <w:tcPr>
            <w:tcW w:w="2952" w:type="dxa"/>
            <w:tcBorders>
              <w:top w:val="single" w:sz="12" w:space="0" w:color="auto"/>
              <w:left w:val="single" w:sz="18" w:space="0" w:color="auto"/>
              <w:right w:val="single" w:sz="18" w:space="0" w:color="auto"/>
            </w:tcBorders>
            <w:vAlign w:val="bottom"/>
          </w:tcPr>
          <w:p w14:paraId="3E98FA46" w14:textId="77777777" w:rsidR="00D45BD3" w:rsidRDefault="00D45BD3" w:rsidP="001E3A24">
            <w:pPr>
              <w:keepNext/>
              <w:keepLines/>
              <w:jc w:val="center"/>
              <w:rPr>
                <w:rFonts w:ascii="Times New Roman" w:hAnsi="Times New Roman" w:cs="Times New Roman"/>
                <w:b/>
              </w:rPr>
            </w:pPr>
            <w:r w:rsidRPr="00FB1F9F">
              <w:rPr>
                <w:rFonts w:ascii="Times New Roman" w:eastAsia="Times New Roman" w:hAnsi="Times New Roman" w:cs="Times New Roman"/>
                <w:color w:val="000000"/>
              </w:rPr>
              <w:t>0.9%</w:t>
            </w:r>
          </w:p>
        </w:tc>
        <w:tc>
          <w:tcPr>
            <w:tcW w:w="2394" w:type="dxa"/>
            <w:tcBorders>
              <w:top w:val="single" w:sz="12" w:space="0" w:color="auto"/>
              <w:left w:val="single" w:sz="18" w:space="0" w:color="auto"/>
              <w:right w:val="single" w:sz="18" w:space="0" w:color="auto"/>
            </w:tcBorders>
            <w:vAlign w:val="bottom"/>
          </w:tcPr>
          <w:p w14:paraId="0DC62C6B" w14:textId="77777777" w:rsidR="00D45BD3" w:rsidRDefault="00D45BD3" w:rsidP="001E3A24">
            <w:pPr>
              <w:keepNext/>
              <w:keepLines/>
              <w:jc w:val="center"/>
              <w:rPr>
                <w:rFonts w:ascii="Times New Roman" w:hAnsi="Times New Roman" w:cs="Times New Roman"/>
                <w:b/>
              </w:rPr>
            </w:pPr>
            <w:r w:rsidRPr="00FB1F9F">
              <w:rPr>
                <w:rFonts w:ascii="Times New Roman" w:eastAsia="Times New Roman" w:hAnsi="Times New Roman" w:cs="Times New Roman"/>
                <w:color w:val="000000"/>
              </w:rPr>
              <w:t>2.6%</w:t>
            </w:r>
          </w:p>
        </w:tc>
      </w:tr>
      <w:tr w:rsidR="00D45BD3" w14:paraId="16CBCFF5" w14:textId="77777777" w:rsidTr="00DB4EAD">
        <w:tc>
          <w:tcPr>
            <w:tcW w:w="2484" w:type="dxa"/>
            <w:tcBorders>
              <w:right w:val="single" w:sz="18" w:space="0" w:color="auto"/>
            </w:tcBorders>
          </w:tcPr>
          <w:p w14:paraId="2DEB4475" w14:textId="77777777" w:rsidR="00D45BD3" w:rsidRDefault="00D45BD3" w:rsidP="001E3A24">
            <w:pPr>
              <w:keepNext/>
              <w:keepLines/>
              <w:rPr>
                <w:rFonts w:ascii="Times New Roman" w:hAnsi="Times New Roman" w:cs="Times New Roman"/>
                <w:b/>
              </w:rPr>
            </w:pPr>
            <w:r>
              <w:rPr>
                <w:rFonts w:ascii="Times New Roman" w:hAnsi="Times New Roman" w:cs="Times New Roman"/>
                <w:b/>
              </w:rPr>
              <w:t>No</w:t>
            </w:r>
          </w:p>
        </w:tc>
        <w:tc>
          <w:tcPr>
            <w:tcW w:w="2952" w:type="dxa"/>
            <w:tcBorders>
              <w:left w:val="single" w:sz="18" w:space="0" w:color="auto"/>
              <w:right w:val="single" w:sz="18" w:space="0" w:color="auto"/>
            </w:tcBorders>
            <w:vAlign w:val="bottom"/>
          </w:tcPr>
          <w:p w14:paraId="35AE1A77" w14:textId="77777777" w:rsidR="00D45BD3" w:rsidRDefault="00D45BD3" w:rsidP="001E3A24">
            <w:pPr>
              <w:keepNext/>
              <w:keepLines/>
              <w:jc w:val="center"/>
              <w:rPr>
                <w:rFonts w:ascii="Times New Roman" w:hAnsi="Times New Roman" w:cs="Times New Roman"/>
                <w:b/>
              </w:rPr>
            </w:pPr>
            <w:r w:rsidRPr="00FB1F9F">
              <w:rPr>
                <w:rFonts w:ascii="Times New Roman" w:eastAsia="Times New Roman" w:hAnsi="Times New Roman" w:cs="Times New Roman"/>
                <w:color w:val="000000"/>
              </w:rPr>
              <w:t>99.1%</w:t>
            </w:r>
          </w:p>
        </w:tc>
        <w:tc>
          <w:tcPr>
            <w:tcW w:w="2394" w:type="dxa"/>
            <w:tcBorders>
              <w:left w:val="single" w:sz="18" w:space="0" w:color="auto"/>
              <w:right w:val="single" w:sz="18" w:space="0" w:color="auto"/>
            </w:tcBorders>
            <w:vAlign w:val="bottom"/>
          </w:tcPr>
          <w:p w14:paraId="733A1886" w14:textId="77777777" w:rsidR="00D45BD3" w:rsidRDefault="00D45BD3" w:rsidP="001E3A24">
            <w:pPr>
              <w:keepNext/>
              <w:keepLines/>
              <w:jc w:val="center"/>
              <w:rPr>
                <w:rFonts w:ascii="Times New Roman" w:hAnsi="Times New Roman" w:cs="Times New Roman"/>
                <w:b/>
              </w:rPr>
            </w:pPr>
            <w:r w:rsidRPr="00FB1F9F">
              <w:rPr>
                <w:rFonts w:ascii="Times New Roman" w:eastAsia="Times New Roman" w:hAnsi="Times New Roman" w:cs="Times New Roman"/>
                <w:color w:val="000000"/>
              </w:rPr>
              <w:t>97.4%</w:t>
            </w:r>
          </w:p>
        </w:tc>
      </w:tr>
    </w:tbl>
    <w:p w14:paraId="79D08C0A" w14:textId="77777777" w:rsidR="00D45BD3" w:rsidRDefault="00D45BD3" w:rsidP="00E523FD">
      <w:pPr>
        <w:spacing w:line="480" w:lineRule="auto"/>
        <w:ind w:firstLine="720"/>
        <w:rPr>
          <w:rFonts w:ascii="Times New Roman" w:hAnsi="Times New Roman" w:cs="Times New Roman"/>
        </w:rPr>
      </w:pPr>
    </w:p>
    <w:p w14:paraId="36441341" w14:textId="020744A2" w:rsidR="00E523FD" w:rsidRDefault="00D45BD3" w:rsidP="00D45BD3">
      <w:pPr>
        <w:spacing w:line="480" w:lineRule="auto"/>
        <w:ind w:firstLine="720"/>
        <w:rPr>
          <w:rFonts w:ascii="Times New Roman" w:hAnsi="Times New Roman" w:cs="Times New Roman"/>
        </w:rPr>
      </w:pPr>
      <w:r>
        <w:rPr>
          <w:rFonts w:ascii="Times New Roman" w:hAnsi="Times New Roman" w:cs="Times New Roman"/>
        </w:rPr>
        <w:t>Virtually none of the plans were</w:t>
      </w:r>
      <w:r w:rsidR="001E3A24">
        <w:rPr>
          <w:rFonts w:ascii="Times New Roman" w:hAnsi="Times New Roman" w:cs="Times New Roman"/>
        </w:rPr>
        <w:t xml:space="preserve"> filed within the fourteen</w:t>
      </w:r>
      <w:r w:rsidR="00E523FD">
        <w:rPr>
          <w:rFonts w:ascii="Times New Roman" w:hAnsi="Times New Roman" w:cs="Times New Roman"/>
        </w:rPr>
        <w:t>-day limit imposed on chapter 13 debtors</w:t>
      </w:r>
      <w:r>
        <w:rPr>
          <w:rFonts w:ascii="Times New Roman" w:hAnsi="Times New Roman" w:cs="Times New Roman"/>
        </w:rPr>
        <w:t>;</w:t>
      </w:r>
      <w:r w:rsidR="00E523FD" w:rsidRPr="00537498">
        <w:rPr>
          <w:rStyle w:val="FootnoteReference"/>
          <w:rFonts w:ascii="Times New Roman" w:hAnsi="Times New Roman" w:cs="Times New Roman"/>
        </w:rPr>
        <w:footnoteReference w:id="299"/>
      </w:r>
      <w:r w:rsidR="00E523FD">
        <w:rPr>
          <w:rFonts w:ascii="Times New Roman" w:hAnsi="Times New Roman" w:cs="Times New Roman"/>
        </w:rPr>
        <w:t xml:space="preserve"> </w:t>
      </w:r>
      <w:r>
        <w:rPr>
          <w:rFonts w:ascii="Times New Roman" w:hAnsi="Times New Roman" w:cs="Times New Roman"/>
        </w:rPr>
        <w:t xml:space="preserve">few, however, were filed past </w:t>
      </w:r>
      <w:r w:rsidR="00E523FD">
        <w:rPr>
          <w:rFonts w:ascii="Times New Roman" w:hAnsi="Times New Roman" w:cs="Times New Roman"/>
        </w:rPr>
        <w:t>the 300-day limit imposed on small businesses.</w:t>
      </w:r>
      <w:r w:rsidR="00E523FD" w:rsidRPr="00546738">
        <w:rPr>
          <w:rStyle w:val="FootnoteReference"/>
          <w:rFonts w:ascii="Times New Roman" w:hAnsi="Times New Roman" w:cs="Times New Roman"/>
        </w:rPr>
        <w:t xml:space="preserve"> </w:t>
      </w:r>
      <w:r w:rsidR="00E523FD">
        <w:rPr>
          <w:rStyle w:val="FootnoteReference"/>
          <w:rFonts w:ascii="Times New Roman" w:hAnsi="Times New Roman" w:cs="Times New Roman"/>
        </w:rPr>
        <w:footnoteReference w:id="300"/>
      </w:r>
      <w:r w:rsidR="00E523FD">
        <w:rPr>
          <w:rFonts w:ascii="Times New Roman" w:hAnsi="Times New Roman" w:cs="Times New Roman"/>
        </w:rPr>
        <w:t xml:space="preserve">  Table </w:t>
      </w:r>
      <w:r w:rsidR="00DB4EAD">
        <w:rPr>
          <w:rFonts w:ascii="Times New Roman" w:hAnsi="Times New Roman" w:cs="Times New Roman"/>
        </w:rPr>
        <w:t>55</w:t>
      </w:r>
      <w:r w:rsidR="00E523FD">
        <w:rPr>
          <w:rFonts w:ascii="Times New Roman" w:hAnsi="Times New Roman" w:cs="Times New Roman"/>
        </w:rPr>
        <w:t xml:space="preserve"> provides data on the time to first plan proposal and to plan confirmation from the start of the chapter 11 case. </w:t>
      </w:r>
      <w:r w:rsidR="00D061DC">
        <w:rPr>
          <w:rFonts w:ascii="Times New Roman" w:hAnsi="Times New Roman" w:cs="Times New Roman"/>
        </w:rPr>
        <w:t>The data include</w:t>
      </w:r>
      <w:r w:rsidR="00E523FD">
        <w:rPr>
          <w:rFonts w:ascii="Times New Roman" w:hAnsi="Times New Roman" w:cs="Times New Roman"/>
        </w:rPr>
        <w:t xml:space="preserve"> cases initiated in chapter 11 and also those converted to chapter 11. For cases that began in chapter 11, we ran the period from the filing of the petition. For cases converted from another chapter, we ran the period from the order of conversion to chapter 11. </w:t>
      </w:r>
      <w:r w:rsidR="009E554A">
        <w:rPr>
          <w:rFonts w:ascii="Times New Roman" w:hAnsi="Times New Roman" w:cs="Times New Roman"/>
        </w:rPr>
        <w:t>Six</w:t>
      </w:r>
      <w:r w:rsidR="00E523FD">
        <w:rPr>
          <w:rFonts w:ascii="Times New Roman" w:hAnsi="Times New Roman" w:cs="Times New Roman"/>
        </w:rPr>
        <w:t xml:space="preserve"> of the 2013 cases counted as “None” in Column (B) are still open without disposition; the debtor has proposed a plan in three cases, but in none has the court confirmed a plan, or converted or dismissed the case.</w:t>
      </w:r>
      <w:bookmarkStart w:id="37" w:name="_Ref333839114"/>
      <w:r w:rsidR="00E523FD">
        <w:rPr>
          <w:rStyle w:val="FootnoteReference"/>
          <w:rFonts w:ascii="Times New Roman" w:hAnsi="Times New Roman" w:cs="Times New Roman"/>
        </w:rPr>
        <w:footnoteReference w:id="301"/>
      </w:r>
      <w:bookmarkEnd w:id="37"/>
    </w:p>
    <w:p w14:paraId="6CA36280" w14:textId="11E9854E" w:rsidR="00E523FD" w:rsidRDefault="00E523FD" w:rsidP="001E3A24">
      <w:pPr>
        <w:keepNext/>
        <w:keepLines/>
        <w:spacing w:line="480" w:lineRule="auto"/>
        <w:ind w:firstLine="720"/>
        <w:jc w:val="center"/>
        <w:rPr>
          <w:rFonts w:ascii="Times New Roman" w:hAnsi="Times New Roman" w:cs="Times New Roman"/>
          <w:b/>
        </w:rPr>
      </w:pPr>
      <w:r>
        <w:rPr>
          <w:rFonts w:ascii="Times New Roman" w:hAnsi="Times New Roman" w:cs="Times New Roman"/>
          <w:b/>
        </w:rPr>
        <w:t>Table</w:t>
      </w:r>
      <w:r w:rsidR="00DB4EAD">
        <w:rPr>
          <w:rFonts w:ascii="Times New Roman" w:hAnsi="Times New Roman" w:cs="Times New Roman"/>
          <w:b/>
        </w:rPr>
        <w:t xml:space="preserve"> 55</w:t>
      </w:r>
      <w:r>
        <w:rPr>
          <w:rFonts w:ascii="Times New Roman" w:hAnsi="Times New Roman" w:cs="Times New Roman"/>
          <w:b/>
        </w:rPr>
        <w:t>: Plan Timing</w:t>
      </w:r>
    </w:p>
    <w:tbl>
      <w:tblPr>
        <w:tblStyle w:val="TableGrid"/>
        <w:tblW w:w="0" w:type="auto"/>
        <w:tblLook w:val="04A0" w:firstRow="1" w:lastRow="0" w:firstColumn="1" w:lastColumn="0" w:noHBand="0" w:noVBand="1"/>
      </w:tblPr>
      <w:tblGrid>
        <w:gridCol w:w="2210"/>
        <w:gridCol w:w="1661"/>
        <w:gridCol w:w="1661"/>
        <w:gridCol w:w="1492"/>
        <w:gridCol w:w="1593"/>
      </w:tblGrid>
      <w:tr w:rsidR="00E523FD" w14:paraId="72317F54" w14:textId="77777777" w:rsidTr="00DB4EAD">
        <w:tc>
          <w:tcPr>
            <w:tcW w:w="2268" w:type="dxa"/>
            <w:vMerge w:val="restart"/>
            <w:tcBorders>
              <w:top w:val="nil"/>
              <w:left w:val="nil"/>
              <w:right w:val="single" w:sz="18" w:space="0" w:color="auto"/>
            </w:tcBorders>
          </w:tcPr>
          <w:p w14:paraId="5306CA0D" w14:textId="77777777" w:rsidR="00E523FD" w:rsidRDefault="00E523FD" w:rsidP="001E3A24">
            <w:pPr>
              <w:keepNext/>
              <w:keepLines/>
              <w:rPr>
                <w:rFonts w:ascii="Times New Roman" w:hAnsi="Times New Roman" w:cs="Times New Roman"/>
                <w:b/>
                <w:sz w:val="18"/>
                <w:szCs w:val="18"/>
              </w:rPr>
            </w:pPr>
          </w:p>
        </w:tc>
        <w:tc>
          <w:tcPr>
            <w:tcW w:w="3420" w:type="dxa"/>
            <w:gridSpan w:val="2"/>
            <w:tcBorders>
              <w:top w:val="single" w:sz="18" w:space="0" w:color="auto"/>
              <w:left w:val="single" w:sz="18" w:space="0" w:color="auto"/>
              <w:bottom w:val="single" w:sz="18" w:space="0" w:color="auto"/>
              <w:right w:val="single" w:sz="18" w:space="0" w:color="auto"/>
            </w:tcBorders>
          </w:tcPr>
          <w:p w14:paraId="468230CF" w14:textId="77777777" w:rsidR="00E523FD" w:rsidRDefault="00E523FD" w:rsidP="001E3A24">
            <w:pPr>
              <w:keepNext/>
              <w:keepLines/>
              <w:jc w:val="center"/>
              <w:rPr>
                <w:rFonts w:ascii="Times New Roman" w:hAnsi="Times New Roman" w:cs="Times New Roman"/>
                <w:b/>
              </w:rPr>
            </w:pPr>
            <w:r>
              <w:rPr>
                <w:rFonts w:ascii="Times New Roman" w:hAnsi="Times New Roman" w:cs="Times New Roman"/>
                <w:b/>
              </w:rPr>
              <w:t>(A)</w:t>
            </w:r>
          </w:p>
          <w:p w14:paraId="0B97581C" w14:textId="77777777" w:rsidR="00E523FD" w:rsidRDefault="00E523FD" w:rsidP="001E3A24">
            <w:pPr>
              <w:keepNext/>
              <w:keepLines/>
              <w:jc w:val="center"/>
              <w:rPr>
                <w:rFonts w:ascii="Times New Roman" w:eastAsiaTheme="majorEastAsia" w:hAnsi="Times New Roman" w:cs="Times New Roman"/>
                <w:b/>
                <w:i/>
                <w:iCs/>
                <w:color w:val="404040" w:themeColor="text1" w:themeTint="BF"/>
                <w:sz w:val="20"/>
                <w:szCs w:val="20"/>
              </w:rPr>
            </w:pPr>
            <w:r>
              <w:rPr>
                <w:rFonts w:ascii="Times New Roman" w:hAnsi="Times New Roman" w:cs="Times New Roman"/>
                <w:b/>
              </w:rPr>
              <w:t>Time to First Plan Proposal</w:t>
            </w:r>
          </w:p>
        </w:tc>
        <w:tc>
          <w:tcPr>
            <w:tcW w:w="3168" w:type="dxa"/>
            <w:gridSpan w:val="2"/>
            <w:tcBorders>
              <w:top w:val="single" w:sz="18" w:space="0" w:color="auto"/>
              <w:left w:val="single" w:sz="18" w:space="0" w:color="auto"/>
              <w:bottom w:val="single" w:sz="18" w:space="0" w:color="auto"/>
              <w:right w:val="single" w:sz="18" w:space="0" w:color="auto"/>
            </w:tcBorders>
          </w:tcPr>
          <w:p w14:paraId="481BD4A8" w14:textId="77777777" w:rsidR="00E523FD" w:rsidRDefault="00E523FD" w:rsidP="001E3A24">
            <w:pPr>
              <w:keepNext/>
              <w:keepLines/>
              <w:jc w:val="center"/>
              <w:rPr>
                <w:rFonts w:ascii="Times New Roman" w:hAnsi="Times New Roman" w:cs="Times New Roman"/>
                <w:b/>
              </w:rPr>
            </w:pPr>
            <w:r>
              <w:rPr>
                <w:rFonts w:ascii="Times New Roman" w:hAnsi="Times New Roman" w:cs="Times New Roman"/>
                <w:b/>
              </w:rPr>
              <w:t>(B)</w:t>
            </w:r>
          </w:p>
          <w:p w14:paraId="6EBA0A7E" w14:textId="77777777" w:rsidR="00E523FD" w:rsidRDefault="00E523FD" w:rsidP="001E3A24">
            <w:pPr>
              <w:keepNext/>
              <w:keepLines/>
              <w:jc w:val="center"/>
              <w:rPr>
                <w:rFonts w:ascii="Times New Roman" w:eastAsiaTheme="majorEastAsia" w:hAnsi="Times New Roman" w:cs="Times New Roman"/>
                <w:b/>
                <w:i/>
                <w:iCs/>
                <w:color w:val="404040" w:themeColor="text1" w:themeTint="BF"/>
                <w:sz w:val="20"/>
                <w:szCs w:val="20"/>
              </w:rPr>
            </w:pPr>
            <w:r>
              <w:rPr>
                <w:rFonts w:ascii="Times New Roman" w:hAnsi="Times New Roman" w:cs="Times New Roman"/>
                <w:b/>
              </w:rPr>
              <w:t>Time to Plan Confirmation</w:t>
            </w:r>
          </w:p>
        </w:tc>
      </w:tr>
      <w:tr w:rsidR="00E523FD" w14:paraId="5A12EC8F" w14:textId="77777777" w:rsidTr="00DB4EAD">
        <w:tc>
          <w:tcPr>
            <w:tcW w:w="2268" w:type="dxa"/>
            <w:vMerge/>
            <w:tcBorders>
              <w:left w:val="nil"/>
              <w:bottom w:val="single" w:sz="12" w:space="0" w:color="auto"/>
              <w:right w:val="single" w:sz="18" w:space="0" w:color="auto"/>
            </w:tcBorders>
          </w:tcPr>
          <w:p w14:paraId="6FEEA795" w14:textId="77777777" w:rsidR="00E523FD" w:rsidRDefault="00E523FD" w:rsidP="001E3A24">
            <w:pPr>
              <w:keepNext/>
              <w:keepLines/>
              <w:rPr>
                <w:rFonts w:ascii="Times New Roman" w:hAnsi="Times New Roman" w:cs="Times New Roman"/>
                <w:b/>
                <w:sz w:val="18"/>
                <w:szCs w:val="18"/>
              </w:rPr>
            </w:pPr>
          </w:p>
        </w:tc>
        <w:tc>
          <w:tcPr>
            <w:tcW w:w="1710" w:type="dxa"/>
            <w:tcBorders>
              <w:top w:val="single" w:sz="18" w:space="0" w:color="auto"/>
              <w:left w:val="single" w:sz="18" w:space="0" w:color="auto"/>
              <w:bottom w:val="single" w:sz="12" w:space="0" w:color="auto"/>
            </w:tcBorders>
          </w:tcPr>
          <w:p w14:paraId="319FF8E3" w14:textId="77777777" w:rsidR="00E523FD" w:rsidRDefault="00E523FD" w:rsidP="001E3A24">
            <w:pPr>
              <w:keepNext/>
              <w:keepLines/>
              <w:jc w:val="center"/>
              <w:rPr>
                <w:rFonts w:ascii="Times New Roman" w:eastAsiaTheme="majorEastAsia" w:hAnsi="Times New Roman" w:cs="Times New Roman"/>
                <w:b/>
                <w:i/>
                <w:iCs/>
                <w:color w:val="404040" w:themeColor="text1" w:themeTint="BF"/>
                <w:sz w:val="20"/>
                <w:szCs w:val="20"/>
              </w:rPr>
            </w:pPr>
            <w:r>
              <w:rPr>
                <w:rFonts w:ascii="Times New Roman" w:hAnsi="Times New Roman" w:cs="Times New Roman"/>
                <w:b/>
              </w:rPr>
              <w:t>2010</w:t>
            </w:r>
          </w:p>
        </w:tc>
        <w:tc>
          <w:tcPr>
            <w:tcW w:w="1710" w:type="dxa"/>
            <w:tcBorders>
              <w:top w:val="single" w:sz="18" w:space="0" w:color="auto"/>
              <w:bottom w:val="single" w:sz="12" w:space="0" w:color="auto"/>
              <w:right w:val="single" w:sz="18" w:space="0" w:color="auto"/>
            </w:tcBorders>
          </w:tcPr>
          <w:p w14:paraId="611BFCBF" w14:textId="77777777" w:rsidR="00E523FD" w:rsidRDefault="00E523FD" w:rsidP="001E3A24">
            <w:pPr>
              <w:keepNext/>
              <w:keepLines/>
              <w:jc w:val="center"/>
              <w:rPr>
                <w:rFonts w:ascii="Times New Roman" w:eastAsiaTheme="majorEastAsia" w:hAnsi="Times New Roman" w:cs="Times New Roman"/>
                <w:b/>
                <w:i/>
                <w:iCs/>
                <w:color w:val="404040" w:themeColor="text1" w:themeTint="BF"/>
                <w:sz w:val="20"/>
                <w:szCs w:val="20"/>
              </w:rPr>
            </w:pPr>
            <w:r>
              <w:rPr>
                <w:rFonts w:ascii="Times New Roman" w:hAnsi="Times New Roman" w:cs="Times New Roman"/>
                <w:b/>
              </w:rPr>
              <w:t>2013</w:t>
            </w:r>
          </w:p>
        </w:tc>
        <w:tc>
          <w:tcPr>
            <w:tcW w:w="1530" w:type="dxa"/>
            <w:tcBorders>
              <w:top w:val="single" w:sz="18" w:space="0" w:color="auto"/>
              <w:left w:val="single" w:sz="18" w:space="0" w:color="auto"/>
              <w:bottom w:val="single" w:sz="12" w:space="0" w:color="auto"/>
            </w:tcBorders>
          </w:tcPr>
          <w:p w14:paraId="09BC14E4" w14:textId="77777777" w:rsidR="00E523FD" w:rsidRDefault="00E523FD" w:rsidP="001E3A24">
            <w:pPr>
              <w:keepNext/>
              <w:keepLines/>
              <w:jc w:val="center"/>
              <w:rPr>
                <w:rFonts w:ascii="Times New Roman" w:eastAsiaTheme="majorEastAsia" w:hAnsi="Times New Roman" w:cs="Times New Roman"/>
                <w:b/>
                <w:i/>
                <w:iCs/>
                <w:color w:val="404040" w:themeColor="text1" w:themeTint="BF"/>
                <w:sz w:val="20"/>
                <w:szCs w:val="20"/>
              </w:rPr>
            </w:pPr>
            <w:r>
              <w:rPr>
                <w:rFonts w:ascii="Times New Roman" w:hAnsi="Times New Roman" w:cs="Times New Roman"/>
                <w:b/>
              </w:rPr>
              <w:t>2010</w:t>
            </w:r>
          </w:p>
        </w:tc>
        <w:tc>
          <w:tcPr>
            <w:tcW w:w="1638" w:type="dxa"/>
            <w:tcBorders>
              <w:top w:val="single" w:sz="18" w:space="0" w:color="auto"/>
              <w:bottom w:val="single" w:sz="12" w:space="0" w:color="auto"/>
              <w:right w:val="single" w:sz="18" w:space="0" w:color="auto"/>
            </w:tcBorders>
          </w:tcPr>
          <w:p w14:paraId="0F7A18B7" w14:textId="77777777" w:rsidR="00E523FD" w:rsidRDefault="00E523FD" w:rsidP="001E3A24">
            <w:pPr>
              <w:keepNext/>
              <w:keepLines/>
              <w:jc w:val="center"/>
              <w:rPr>
                <w:rFonts w:ascii="Times New Roman" w:eastAsiaTheme="majorEastAsia" w:hAnsi="Times New Roman" w:cs="Times New Roman"/>
                <w:b/>
                <w:i/>
                <w:iCs/>
                <w:color w:val="404040" w:themeColor="text1" w:themeTint="BF"/>
                <w:sz w:val="20"/>
                <w:szCs w:val="20"/>
              </w:rPr>
            </w:pPr>
            <w:r>
              <w:rPr>
                <w:rFonts w:ascii="Times New Roman" w:hAnsi="Times New Roman" w:cs="Times New Roman"/>
                <w:b/>
              </w:rPr>
              <w:t>2013</w:t>
            </w:r>
          </w:p>
        </w:tc>
      </w:tr>
      <w:tr w:rsidR="00E523FD" w14:paraId="6CB499A5" w14:textId="77777777" w:rsidTr="00DB4EAD">
        <w:tc>
          <w:tcPr>
            <w:tcW w:w="2268" w:type="dxa"/>
            <w:tcBorders>
              <w:top w:val="single" w:sz="12" w:space="0" w:color="auto"/>
              <w:right w:val="single" w:sz="18" w:space="0" w:color="auto"/>
            </w:tcBorders>
            <w:vAlign w:val="bottom"/>
          </w:tcPr>
          <w:p w14:paraId="230A201D" w14:textId="22A01E09" w:rsidR="00E523FD" w:rsidRPr="00021013" w:rsidRDefault="006C68D6" w:rsidP="001E3A24">
            <w:pPr>
              <w:keepNext/>
              <w:keepLines/>
              <w:rPr>
                <w:rFonts w:ascii="Times New Roman" w:hAnsi="Times New Roman" w:cs="Times New Roman"/>
                <w:b/>
                <w:sz w:val="22"/>
                <w:szCs w:val="22"/>
              </w:rPr>
            </w:pPr>
            <w:r>
              <w:rPr>
                <w:rFonts w:ascii="Times New Roman" w:eastAsia="Times New Roman" w:hAnsi="Times New Roman" w:cs="Times New Roman"/>
                <w:b/>
                <w:bCs/>
                <w:color w:val="000000"/>
                <w:sz w:val="22"/>
                <w:szCs w:val="22"/>
              </w:rPr>
              <w:t xml:space="preserve">(1) </w:t>
            </w:r>
            <w:r w:rsidR="00E523FD" w:rsidRPr="00021013">
              <w:rPr>
                <w:rFonts w:ascii="Times New Roman" w:eastAsia="Times New Roman" w:hAnsi="Times New Roman" w:cs="Times New Roman"/>
                <w:b/>
                <w:bCs/>
                <w:color w:val="000000"/>
                <w:sz w:val="22"/>
                <w:szCs w:val="22"/>
              </w:rPr>
              <w:t>More than 2 years</w:t>
            </w:r>
          </w:p>
        </w:tc>
        <w:tc>
          <w:tcPr>
            <w:tcW w:w="1710" w:type="dxa"/>
            <w:tcBorders>
              <w:top w:val="single" w:sz="18" w:space="0" w:color="auto"/>
              <w:left w:val="single" w:sz="18" w:space="0" w:color="auto"/>
            </w:tcBorders>
            <w:vAlign w:val="bottom"/>
          </w:tcPr>
          <w:p w14:paraId="567EBD2B"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0.9%</w:t>
            </w:r>
          </w:p>
        </w:tc>
        <w:tc>
          <w:tcPr>
            <w:tcW w:w="1710" w:type="dxa"/>
            <w:tcBorders>
              <w:top w:val="single" w:sz="18" w:space="0" w:color="auto"/>
              <w:right w:val="single" w:sz="18" w:space="0" w:color="auto"/>
            </w:tcBorders>
            <w:vAlign w:val="bottom"/>
          </w:tcPr>
          <w:p w14:paraId="572C0325"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0.0%</w:t>
            </w:r>
          </w:p>
        </w:tc>
        <w:tc>
          <w:tcPr>
            <w:tcW w:w="1530" w:type="dxa"/>
            <w:tcBorders>
              <w:top w:val="single" w:sz="18" w:space="0" w:color="auto"/>
              <w:left w:val="single" w:sz="18" w:space="0" w:color="auto"/>
            </w:tcBorders>
            <w:vAlign w:val="bottom"/>
          </w:tcPr>
          <w:p w14:paraId="4E818B31"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8.3%</w:t>
            </w:r>
          </w:p>
        </w:tc>
        <w:tc>
          <w:tcPr>
            <w:tcW w:w="1638" w:type="dxa"/>
            <w:tcBorders>
              <w:top w:val="single" w:sz="18" w:space="0" w:color="auto"/>
              <w:right w:val="single" w:sz="18" w:space="0" w:color="auto"/>
            </w:tcBorders>
            <w:vAlign w:val="bottom"/>
          </w:tcPr>
          <w:p w14:paraId="5AC5AE17"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3.5%</w:t>
            </w:r>
          </w:p>
        </w:tc>
      </w:tr>
      <w:tr w:rsidR="00E523FD" w14:paraId="723626D7" w14:textId="77777777" w:rsidTr="00DB4EAD">
        <w:tc>
          <w:tcPr>
            <w:tcW w:w="2268" w:type="dxa"/>
            <w:tcBorders>
              <w:right w:val="single" w:sz="18" w:space="0" w:color="auto"/>
            </w:tcBorders>
            <w:vAlign w:val="bottom"/>
          </w:tcPr>
          <w:p w14:paraId="6777415B" w14:textId="73AD0EB1" w:rsidR="00E523FD" w:rsidRPr="00021013" w:rsidRDefault="006C68D6" w:rsidP="001E3A24">
            <w:pPr>
              <w:keepNext/>
              <w:keepLines/>
              <w:rPr>
                <w:rFonts w:ascii="Times New Roman" w:hAnsi="Times New Roman" w:cs="Times New Roman"/>
                <w:b/>
                <w:sz w:val="22"/>
                <w:szCs w:val="22"/>
              </w:rPr>
            </w:pPr>
            <w:r>
              <w:rPr>
                <w:rFonts w:ascii="Times New Roman" w:eastAsia="Times New Roman" w:hAnsi="Times New Roman" w:cs="Times New Roman"/>
                <w:b/>
                <w:bCs/>
                <w:color w:val="000000"/>
                <w:sz w:val="22"/>
                <w:szCs w:val="22"/>
              </w:rPr>
              <w:t xml:space="preserve">(2) </w:t>
            </w:r>
            <w:r w:rsidR="00E523FD" w:rsidRPr="00021013">
              <w:rPr>
                <w:rFonts w:ascii="Times New Roman" w:eastAsia="Times New Roman" w:hAnsi="Times New Roman" w:cs="Times New Roman"/>
                <w:b/>
                <w:bCs/>
                <w:color w:val="000000"/>
                <w:sz w:val="22"/>
                <w:szCs w:val="22"/>
              </w:rPr>
              <w:t>1 to 2 years</w:t>
            </w:r>
          </w:p>
        </w:tc>
        <w:tc>
          <w:tcPr>
            <w:tcW w:w="1710" w:type="dxa"/>
            <w:tcBorders>
              <w:left w:val="single" w:sz="18" w:space="0" w:color="auto"/>
            </w:tcBorders>
            <w:vAlign w:val="bottom"/>
          </w:tcPr>
          <w:p w14:paraId="651327FB"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11.0%</w:t>
            </w:r>
          </w:p>
        </w:tc>
        <w:tc>
          <w:tcPr>
            <w:tcW w:w="1710" w:type="dxa"/>
            <w:tcBorders>
              <w:right w:val="single" w:sz="18" w:space="0" w:color="auto"/>
            </w:tcBorders>
            <w:vAlign w:val="bottom"/>
          </w:tcPr>
          <w:p w14:paraId="2AF1C5EA"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6.1%</w:t>
            </w:r>
          </w:p>
        </w:tc>
        <w:tc>
          <w:tcPr>
            <w:tcW w:w="1530" w:type="dxa"/>
            <w:tcBorders>
              <w:left w:val="single" w:sz="18" w:space="0" w:color="auto"/>
            </w:tcBorders>
            <w:vAlign w:val="bottom"/>
          </w:tcPr>
          <w:p w14:paraId="184273E8"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17.4%</w:t>
            </w:r>
          </w:p>
        </w:tc>
        <w:tc>
          <w:tcPr>
            <w:tcW w:w="1638" w:type="dxa"/>
            <w:tcBorders>
              <w:right w:val="single" w:sz="18" w:space="0" w:color="auto"/>
            </w:tcBorders>
            <w:vAlign w:val="bottom"/>
          </w:tcPr>
          <w:p w14:paraId="48655336"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17.5%</w:t>
            </w:r>
          </w:p>
        </w:tc>
      </w:tr>
      <w:tr w:rsidR="00E523FD" w14:paraId="149827F0" w14:textId="77777777" w:rsidTr="00DB4EAD">
        <w:tc>
          <w:tcPr>
            <w:tcW w:w="2268" w:type="dxa"/>
            <w:tcBorders>
              <w:right w:val="single" w:sz="18" w:space="0" w:color="auto"/>
            </w:tcBorders>
            <w:vAlign w:val="bottom"/>
          </w:tcPr>
          <w:p w14:paraId="227CF959" w14:textId="51198AD2" w:rsidR="00E523FD" w:rsidRPr="00021013" w:rsidRDefault="006C68D6" w:rsidP="001E3A24">
            <w:pPr>
              <w:keepNext/>
              <w:keepLines/>
              <w:rPr>
                <w:rFonts w:ascii="Times New Roman" w:hAnsi="Times New Roman" w:cs="Times New Roman"/>
                <w:b/>
                <w:sz w:val="22"/>
                <w:szCs w:val="22"/>
              </w:rPr>
            </w:pPr>
            <w:r>
              <w:rPr>
                <w:rFonts w:ascii="Times New Roman" w:eastAsia="Times New Roman" w:hAnsi="Times New Roman" w:cs="Times New Roman"/>
                <w:b/>
                <w:bCs/>
                <w:color w:val="000000"/>
                <w:sz w:val="22"/>
                <w:szCs w:val="22"/>
              </w:rPr>
              <w:t xml:space="preserve">(3) </w:t>
            </w:r>
            <w:r w:rsidR="00E523FD" w:rsidRPr="00021013">
              <w:rPr>
                <w:rFonts w:ascii="Times New Roman" w:eastAsia="Times New Roman" w:hAnsi="Times New Roman" w:cs="Times New Roman"/>
                <w:b/>
                <w:bCs/>
                <w:color w:val="000000"/>
                <w:sz w:val="22"/>
                <w:szCs w:val="22"/>
              </w:rPr>
              <w:t>181 to 365</w:t>
            </w:r>
          </w:p>
        </w:tc>
        <w:tc>
          <w:tcPr>
            <w:tcW w:w="1710" w:type="dxa"/>
            <w:tcBorders>
              <w:left w:val="single" w:sz="18" w:space="0" w:color="auto"/>
            </w:tcBorders>
            <w:vAlign w:val="bottom"/>
          </w:tcPr>
          <w:p w14:paraId="2F768CE5"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8</w:t>
            </w:r>
            <w:r w:rsidRPr="00021013">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3</w:t>
            </w:r>
            <w:r w:rsidRPr="00021013">
              <w:rPr>
                <w:rFonts w:ascii="Times New Roman" w:eastAsia="Times New Roman" w:hAnsi="Times New Roman" w:cs="Times New Roman"/>
                <w:color w:val="000000"/>
                <w:sz w:val="22"/>
                <w:szCs w:val="22"/>
              </w:rPr>
              <w:t>%</w:t>
            </w:r>
          </w:p>
        </w:tc>
        <w:tc>
          <w:tcPr>
            <w:tcW w:w="1710" w:type="dxa"/>
            <w:tcBorders>
              <w:right w:val="single" w:sz="18" w:space="0" w:color="auto"/>
            </w:tcBorders>
            <w:vAlign w:val="bottom"/>
          </w:tcPr>
          <w:p w14:paraId="7208048E"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19.3%</w:t>
            </w:r>
          </w:p>
        </w:tc>
        <w:tc>
          <w:tcPr>
            <w:tcW w:w="1530" w:type="dxa"/>
            <w:tcBorders>
              <w:left w:val="single" w:sz="18" w:space="0" w:color="auto"/>
            </w:tcBorders>
            <w:vAlign w:val="bottom"/>
          </w:tcPr>
          <w:p w14:paraId="38A3B3D9"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8.3%</w:t>
            </w:r>
          </w:p>
        </w:tc>
        <w:tc>
          <w:tcPr>
            <w:tcW w:w="1638" w:type="dxa"/>
            <w:tcBorders>
              <w:right w:val="single" w:sz="18" w:space="0" w:color="auto"/>
            </w:tcBorders>
            <w:vAlign w:val="bottom"/>
          </w:tcPr>
          <w:p w14:paraId="7B3753D6"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9.6%</w:t>
            </w:r>
          </w:p>
        </w:tc>
      </w:tr>
      <w:tr w:rsidR="00E523FD" w14:paraId="2748D4D2" w14:textId="77777777" w:rsidTr="00DB4EAD">
        <w:tc>
          <w:tcPr>
            <w:tcW w:w="2268" w:type="dxa"/>
            <w:tcBorders>
              <w:right w:val="single" w:sz="18" w:space="0" w:color="auto"/>
            </w:tcBorders>
            <w:vAlign w:val="bottom"/>
          </w:tcPr>
          <w:p w14:paraId="2C40EAF2" w14:textId="5BEF7121" w:rsidR="00E523FD" w:rsidRPr="00021013" w:rsidRDefault="006C68D6" w:rsidP="001E3A24">
            <w:pPr>
              <w:keepNext/>
              <w:keepLines/>
              <w:rPr>
                <w:rFonts w:ascii="Times New Roman" w:hAnsi="Times New Roman" w:cs="Times New Roman"/>
                <w:b/>
                <w:sz w:val="22"/>
                <w:szCs w:val="22"/>
              </w:rPr>
            </w:pPr>
            <w:r>
              <w:rPr>
                <w:rFonts w:ascii="Times New Roman" w:eastAsia="Times New Roman" w:hAnsi="Times New Roman" w:cs="Times New Roman"/>
                <w:b/>
                <w:bCs/>
                <w:color w:val="000000"/>
                <w:sz w:val="22"/>
                <w:szCs w:val="22"/>
              </w:rPr>
              <w:t xml:space="preserve">(4) </w:t>
            </w:r>
            <w:r w:rsidR="00E523FD" w:rsidRPr="00021013">
              <w:rPr>
                <w:rFonts w:ascii="Times New Roman" w:eastAsia="Times New Roman" w:hAnsi="Times New Roman" w:cs="Times New Roman"/>
                <w:b/>
                <w:bCs/>
                <w:color w:val="000000"/>
                <w:sz w:val="22"/>
                <w:szCs w:val="22"/>
              </w:rPr>
              <w:t>91 to 180</w:t>
            </w:r>
          </w:p>
        </w:tc>
        <w:tc>
          <w:tcPr>
            <w:tcW w:w="1710" w:type="dxa"/>
            <w:tcBorders>
              <w:left w:val="single" w:sz="18" w:space="0" w:color="auto"/>
            </w:tcBorders>
            <w:vAlign w:val="bottom"/>
          </w:tcPr>
          <w:p w14:paraId="518207B3"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6</w:t>
            </w:r>
            <w:r w:rsidRPr="00021013">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6</w:t>
            </w:r>
            <w:r w:rsidRPr="00021013">
              <w:rPr>
                <w:rFonts w:ascii="Times New Roman" w:eastAsia="Times New Roman" w:hAnsi="Times New Roman" w:cs="Times New Roman"/>
                <w:color w:val="000000"/>
                <w:sz w:val="22"/>
                <w:szCs w:val="22"/>
              </w:rPr>
              <w:t>%</w:t>
            </w:r>
          </w:p>
        </w:tc>
        <w:tc>
          <w:tcPr>
            <w:tcW w:w="1710" w:type="dxa"/>
            <w:tcBorders>
              <w:right w:val="single" w:sz="18" w:space="0" w:color="auto"/>
            </w:tcBorders>
            <w:vAlign w:val="bottom"/>
          </w:tcPr>
          <w:p w14:paraId="046E4A4D"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26.3%</w:t>
            </w:r>
          </w:p>
        </w:tc>
        <w:tc>
          <w:tcPr>
            <w:tcW w:w="1530" w:type="dxa"/>
            <w:tcBorders>
              <w:left w:val="single" w:sz="18" w:space="0" w:color="auto"/>
            </w:tcBorders>
            <w:vAlign w:val="bottom"/>
          </w:tcPr>
          <w:p w14:paraId="16253182"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0.9%</w:t>
            </w:r>
          </w:p>
        </w:tc>
        <w:tc>
          <w:tcPr>
            <w:tcW w:w="1638" w:type="dxa"/>
            <w:tcBorders>
              <w:right w:val="single" w:sz="18" w:space="0" w:color="auto"/>
            </w:tcBorders>
            <w:vAlign w:val="bottom"/>
          </w:tcPr>
          <w:p w14:paraId="2BE91148"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4.4%</w:t>
            </w:r>
          </w:p>
        </w:tc>
      </w:tr>
      <w:tr w:rsidR="00E523FD" w14:paraId="795BE906" w14:textId="77777777" w:rsidTr="00DB4EAD">
        <w:tc>
          <w:tcPr>
            <w:tcW w:w="2268" w:type="dxa"/>
            <w:tcBorders>
              <w:right w:val="single" w:sz="18" w:space="0" w:color="auto"/>
            </w:tcBorders>
            <w:vAlign w:val="bottom"/>
          </w:tcPr>
          <w:p w14:paraId="301931B7" w14:textId="0BD3ECD6" w:rsidR="00E523FD" w:rsidRPr="00021013" w:rsidRDefault="006C68D6" w:rsidP="001E3A24">
            <w:pPr>
              <w:keepNext/>
              <w:keepLines/>
              <w:rPr>
                <w:rFonts w:ascii="Times New Roman" w:hAnsi="Times New Roman" w:cs="Times New Roman"/>
                <w:b/>
                <w:sz w:val="22"/>
                <w:szCs w:val="22"/>
              </w:rPr>
            </w:pPr>
            <w:r>
              <w:rPr>
                <w:rFonts w:ascii="Times New Roman" w:eastAsia="Times New Roman" w:hAnsi="Times New Roman" w:cs="Times New Roman"/>
                <w:b/>
                <w:bCs/>
                <w:color w:val="000000"/>
                <w:sz w:val="22"/>
                <w:szCs w:val="22"/>
              </w:rPr>
              <w:t xml:space="preserve">(5) </w:t>
            </w:r>
            <w:r w:rsidR="00E523FD" w:rsidRPr="00021013">
              <w:rPr>
                <w:rFonts w:ascii="Times New Roman" w:eastAsia="Times New Roman" w:hAnsi="Times New Roman" w:cs="Times New Roman"/>
                <w:b/>
                <w:bCs/>
                <w:color w:val="000000"/>
                <w:sz w:val="22"/>
                <w:szCs w:val="22"/>
              </w:rPr>
              <w:t>31 to 90</w:t>
            </w:r>
          </w:p>
        </w:tc>
        <w:tc>
          <w:tcPr>
            <w:tcW w:w="1710" w:type="dxa"/>
            <w:tcBorders>
              <w:left w:val="single" w:sz="18" w:space="0" w:color="auto"/>
            </w:tcBorders>
            <w:vAlign w:val="bottom"/>
          </w:tcPr>
          <w:p w14:paraId="51950083"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1.8%</w:t>
            </w:r>
          </w:p>
        </w:tc>
        <w:tc>
          <w:tcPr>
            <w:tcW w:w="1710" w:type="dxa"/>
            <w:tcBorders>
              <w:right w:val="single" w:sz="18" w:space="0" w:color="auto"/>
            </w:tcBorders>
            <w:vAlign w:val="bottom"/>
          </w:tcPr>
          <w:p w14:paraId="5C4182EC"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4.4%</w:t>
            </w:r>
          </w:p>
        </w:tc>
        <w:tc>
          <w:tcPr>
            <w:tcW w:w="1530" w:type="dxa"/>
            <w:tcBorders>
              <w:left w:val="single" w:sz="18" w:space="0" w:color="auto"/>
            </w:tcBorders>
            <w:vAlign w:val="bottom"/>
          </w:tcPr>
          <w:p w14:paraId="58486FB3"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0.9%</w:t>
            </w:r>
          </w:p>
        </w:tc>
        <w:tc>
          <w:tcPr>
            <w:tcW w:w="1638" w:type="dxa"/>
            <w:tcBorders>
              <w:right w:val="single" w:sz="18" w:space="0" w:color="auto"/>
            </w:tcBorders>
            <w:vAlign w:val="bottom"/>
          </w:tcPr>
          <w:p w14:paraId="6DF2094E"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0.0%</w:t>
            </w:r>
          </w:p>
        </w:tc>
      </w:tr>
      <w:tr w:rsidR="00E523FD" w14:paraId="5EA47414" w14:textId="77777777" w:rsidTr="00DB4EAD">
        <w:tc>
          <w:tcPr>
            <w:tcW w:w="2268" w:type="dxa"/>
            <w:tcBorders>
              <w:right w:val="single" w:sz="18" w:space="0" w:color="auto"/>
            </w:tcBorders>
            <w:vAlign w:val="bottom"/>
          </w:tcPr>
          <w:p w14:paraId="56077667" w14:textId="5C318C28" w:rsidR="00E523FD" w:rsidRPr="00021013" w:rsidRDefault="006C68D6" w:rsidP="001E3A24">
            <w:pPr>
              <w:keepNext/>
              <w:keepLines/>
              <w:rPr>
                <w:rFonts w:ascii="Times New Roman" w:hAnsi="Times New Roman" w:cs="Times New Roman"/>
                <w:b/>
                <w:sz w:val="22"/>
                <w:szCs w:val="22"/>
              </w:rPr>
            </w:pPr>
            <w:r>
              <w:rPr>
                <w:rFonts w:ascii="Times New Roman" w:eastAsia="Times New Roman" w:hAnsi="Times New Roman" w:cs="Times New Roman"/>
                <w:b/>
                <w:bCs/>
                <w:color w:val="000000"/>
                <w:sz w:val="22"/>
                <w:szCs w:val="22"/>
              </w:rPr>
              <w:t xml:space="preserve">(6) </w:t>
            </w:r>
            <w:r w:rsidR="00E523FD" w:rsidRPr="00021013">
              <w:rPr>
                <w:rFonts w:ascii="Times New Roman" w:eastAsia="Times New Roman" w:hAnsi="Times New Roman" w:cs="Times New Roman"/>
                <w:b/>
                <w:bCs/>
                <w:color w:val="000000"/>
                <w:sz w:val="22"/>
                <w:szCs w:val="22"/>
              </w:rPr>
              <w:t>15 to 30</w:t>
            </w:r>
          </w:p>
        </w:tc>
        <w:tc>
          <w:tcPr>
            <w:tcW w:w="1710" w:type="dxa"/>
            <w:tcBorders>
              <w:left w:val="single" w:sz="18" w:space="0" w:color="auto"/>
            </w:tcBorders>
            <w:vAlign w:val="bottom"/>
          </w:tcPr>
          <w:p w14:paraId="7756248E"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0.9%</w:t>
            </w:r>
          </w:p>
        </w:tc>
        <w:tc>
          <w:tcPr>
            <w:tcW w:w="1710" w:type="dxa"/>
            <w:tcBorders>
              <w:right w:val="single" w:sz="18" w:space="0" w:color="auto"/>
            </w:tcBorders>
            <w:vAlign w:val="bottom"/>
          </w:tcPr>
          <w:p w14:paraId="3EC5654E"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0.9%</w:t>
            </w:r>
          </w:p>
        </w:tc>
        <w:tc>
          <w:tcPr>
            <w:tcW w:w="1530" w:type="dxa"/>
            <w:tcBorders>
              <w:left w:val="single" w:sz="18" w:space="0" w:color="auto"/>
            </w:tcBorders>
            <w:vAlign w:val="bottom"/>
          </w:tcPr>
          <w:p w14:paraId="35CC35C8"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0.0%</w:t>
            </w:r>
          </w:p>
        </w:tc>
        <w:tc>
          <w:tcPr>
            <w:tcW w:w="1638" w:type="dxa"/>
            <w:tcBorders>
              <w:right w:val="single" w:sz="18" w:space="0" w:color="auto"/>
            </w:tcBorders>
            <w:vAlign w:val="bottom"/>
          </w:tcPr>
          <w:p w14:paraId="76380854"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0.0%</w:t>
            </w:r>
          </w:p>
        </w:tc>
      </w:tr>
      <w:tr w:rsidR="00E523FD" w14:paraId="09549531" w14:textId="77777777" w:rsidTr="00DB4EAD">
        <w:tc>
          <w:tcPr>
            <w:tcW w:w="2268" w:type="dxa"/>
            <w:tcBorders>
              <w:right w:val="single" w:sz="18" w:space="0" w:color="auto"/>
            </w:tcBorders>
            <w:vAlign w:val="bottom"/>
          </w:tcPr>
          <w:p w14:paraId="6605FCF4" w14:textId="73DAC022" w:rsidR="00E523FD" w:rsidRPr="00021013" w:rsidRDefault="006C68D6" w:rsidP="001E3A24">
            <w:pPr>
              <w:keepNext/>
              <w:keepLines/>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(7) </w:t>
            </w:r>
            <w:r w:rsidR="00E523FD" w:rsidRPr="00021013">
              <w:rPr>
                <w:rFonts w:ascii="Times New Roman" w:eastAsia="Times New Roman" w:hAnsi="Times New Roman" w:cs="Times New Roman"/>
                <w:b/>
                <w:bCs/>
                <w:color w:val="000000"/>
                <w:sz w:val="22"/>
                <w:szCs w:val="22"/>
              </w:rPr>
              <w:t>1 to 14</w:t>
            </w:r>
          </w:p>
        </w:tc>
        <w:tc>
          <w:tcPr>
            <w:tcW w:w="1710" w:type="dxa"/>
            <w:tcBorders>
              <w:left w:val="single" w:sz="18" w:space="0" w:color="auto"/>
            </w:tcBorders>
            <w:vAlign w:val="bottom"/>
          </w:tcPr>
          <w:p w14:paraId="0EC606BE" w14:textId="77777777" w:rsidR="00E523FD" w:rsidRPr="00021013" w:rsidRDefault="00E523FD" w:rsidP="001E3A24">
            <w:pPr>
              <w:keepNext/>
              <w:keepLines/>
              <w:jc w:val="right"/>
              <w:rPr>
                <w:rFonts w:ascii="Times New Roman" w:eastAsia="Times New Roman" w:hAnsi="Times New Roman" w:cs="Times New Roman"/>
                <w:color w:val="000000"/>
                <w:sz w:val="22"/>
                <w:szCs w:val="22"/>
              </w:rPr>
            </w:pPr>
            <w:r w:rsidRPr="00021013">
              <w:rPr>
                <w:rFonts w:ascii="Times New Roman" w:eastAsia="Times New Roman" w:hAnsi="Times New Roman" w:cs="Times New Roman"/>
                <w:color w:val="000000"/>
                <w:sz w:val="22"/>
                <w:szCs w:val="22"/>
              </w:rPr>
              <w:t>0.0%</w:t>
            </w:r>
          </w:p>
        </w:tc>
        <w:tc>
          <w:tcPr>
            <w:tcW w:w="1710" w:type="dxa"/>
            <w:tcBorders>
              <w:right w:val="single" w:sz="18" w:space="0" w:color="auto"/>
            </w:tcBorders>
            <w:vAlign w:val="bottom"/>
          </w:tcPr>
          <w:p w14:paraId="5DFD624A" w14:textId="77777777" w:rsidR="00E523FD" w:rsidRPr="00021013" w:rsidRDefault="00E523FD" w:rsidP="001E3A24">
            <w:pPr>
              <w:keepNext/>
              <w:keepLines/>
              <w:jc w:val="right"/>
              <w:rPr>
                <w:rFonts w:ascii="Times New Roman" w:eastAsia="Times New Roman" w:hAnsi="Times New Roman" w:cs="Times New Roman"/>
                <w:color w:val="000000"/>
                <w:sz w:val="22"/>
                <w:szCs w:val="22"/>
              </w:rPr>
            </w:pPr>
            <w:r w:rsidRPr="00021013">
              <w:rPr>
                <w:rFonts w:ascii="Times New Roman" w:eastAsia="Times New Roman" w:hAnsi="Times New Roman" w:cs="Times New Roman"/>
                <w:color w:val="000000"/>
                <w:sz w:val="22"/>
                <w:szCs w:val="22"/>
              </w:rPr>
              <w:t>0.9%</w:t>
            </w:r>
          </w:p>
        </w:tc>
        <w:tc>
          <w:tcPr>
            <w:tcW w:w="1530" w:type="dxa"/>
            <w:tcBorders>
              <w:left w:val="single" w:sz="18" w:space="0" w:color="auto"/>
            </w:tcBorders>
            <w:vAlign w:val="bottom"/>
          </w:tcPr>
          <w:p w14:paraId="5CB0A4B8" w14:textId="77777777" w:rsidR="00E523FD" w:rsidRPr="00021013" w:rsidRDefault="00E523FD" w:rsidP="001E3A24">
            <w:pPr>
              <w:keepNext/>
              <w:keepLines/>
              <w:jc w:val="right"/>
              <w:rPr>
                <w:rFonts w:ascii="Times New Roman" w:eastAsia="Times New Roman" w:hAnsi="Times New Roman" w:cs="Times New Roman"/>
                <w:color w:val="000000"/>
                <w:sz w:val="22"/>
                <w:szCs w:val="22"/>
              </w:rPr>
            </w:pPr>
            <w:r w:rsidRPr="00021013">
              <w:rPr>
                <w:rFonts w:ascii="Times New Roman" w:eastAsia="Times New Roman" w:hAnsi="Times New Roman" w:cs="Times New Roman"/>
                <w:color w:val="000000"/>
                <w:sz w:val="22"/>
                <w:szCs w:val="22"/>
              </w:rPr>
              <w:t>0.0%</w:t>
            </w:r>
          </w:p>
        </w:tc>
        <w:tc>
          <w:tcPr>
            <w:tcW w:w="1638" w:type="dxa"/>
            <w:tcBorders>
              <w:right w:val="single" w:sz="18" w:space="0" w:color="auto"/>
            </w:tcBorders>
            <w:vAlign w:val="bottom"/>
          </w:tcPr>
          <w:p w14:paraId="7FAC2000" w14:textId="77777777" w:rsidR="00E523FD" w:rsidRPr="00021013" w:rsidRDefault="00E523FD" w:rsidP="001E3A24">
            <w:pPr>
              <w:keepNext/>
              <w:keepLines/>
              <w:jc w:val="right"/>
              <w:rPr>
                <w:rFonts w:ascii="Times New Roman" w:eastAsia="Times New Roman" w:hAnsi="Times New Roman" w:cs="Times New Roman"/>
                <w:color w:val="000000"/>
                <w:sz w:val="22"/>
                <w:szCs w:val="22"/>
              </w:rPr>
            </w:pPr>
            <w:r w:rsidRPr="00021013">
              <w:rPr>
                <w:rFonts w:ascii="Times New Roman" w:eastAsia="Times New Roman" w:hAnsi="Times New Roman" w:cs="Times New Roman"/>
                <w:color w:val="000000"/>
                <w:sz w:val="22"/>
                <w:szCs w:val="22"/>
              </w:rPr>
              <w:t>0.0%</w:t>
            </w:r>
          </w:p>
        </w:tc>
      </w:tr>
      <w:tr w:rsidR="00E523FD" w14:paraId="555A96B1" w14:textId="77777777" w:rsidTr="00DB4EAD">
        <w:tc>
          <w:tcPr>
            <w:tcW w:w="2268" w:type="dxa"/>
            <w:tcBorders>
              <w:right w:val="single" w:sz="18" w:space="0" w:color="auto"/>
            </w:tcBorders>
            <w:vAlign w:val="bottom"/>
          </w:tcPr>
          <w:p w14:paraId="0CEC2F94" w14:textId="2A09BDE2" w:rsidR="00E523FD" w:rsidRPr="00021013" w:rsidRDefault="006C68D6" w:rsidP="001E3A24">
            <w:pPr>
              <w:keepNext/>
              <w:keepLines/>
              <w:rPr>
                <w:rFonts w:ascii="Times New Roman" w:hAnsi="Times New Roman" w:cs="Times New Roman"/>
                <w:b/>
                <w:sz w:val="22"/>
                <w:szCs w:val="22"/>
              </w:rPr>
            </w:pPr>
            <w:r>
              <w:rPr>
                <w:rFonts w:ascii="Times New Roman" w:eastAsia="Times New Roman" w:hAnsi="Times New Roman" w:cs="Times New Roman"/>
                <w:b/>
                <w:bCs/>
                <w:color w:val="000000"/>
                <w:sz w:val="22"/>
                <w:szCs w:val="22"/>
              </w:rPr>
              <w:t xml:space="preserve">(8) </w:t>
            </w:r>
            <w:r w:rsidR="00E523FD" w:rsidRPr="00021013">
              <w:rPr>
                <w:rFonts w:ascii="Times New Roman" w:eastAsia="Times New Roman" w:hAnsi="Times New Roman" w:cs="Times New Roman"/>
                <w:b/>
                <w:bCs/>
                <w:color w:val="000000"/>
                <w:sz w:val="22"/>
                <w:szCs w:val="22"/>
              </w:rPr>
              <w:t>0</w:t>
            </w:r>
          </w:p>
        </w:tc>
        <w:tc>
          <w:tcPr>
            <w:tcW w:w="1710" w:type="dxa"/>
            <w:tcBorders>
              <w:left w:val="single" w:sz="18" w:space="0" w:color="auto"/>
            </w:tcBorders>
            <w:vAlign w:val="bottom"/>
          </w:tcPr>
          <w:p w14:paraId="5BE9EBC6"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0.9%</w:t>
            </w:r>
          </w:p>
        </w:tc>
        <w:tc>
          <w:tcPr>
            <w:tcW w:w="1710" w:type="dxa"/>
            <w:tcBorders>
              <w:right w:val="single" w:sz="18" w:space="0" w:color="auto"/>
            </w:tcBorders>
            <w:vAlign w:val="bottom"/>
          </w:tcPr>
          <w:p w14:paraId="3806EECF"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0.0%</w:t>
            </w:r>
          </w:p>
        </w:tc>
        <w:tc>
          <w:tcPr>
            <w:tcW w:w="1530" w:type="dxa"/>
            <w:tcBorders>
              <w:left w:val="single" w:sz="18" w:space="0" w:color="auto"/>
            </w:tcBorders>
            <w:vAlign w:val="bottom"/>
          </w:tcPr>
          <w:p w14:paraId="7D0459E8"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0.0%</w:t>
            </w:r>
          </w:p>
        </w:tc>
        <w:tc>
          <w:tcPr>
            <w:tcW w:w="1638" w:type="dxa"/>
            <w:tcBorders>
              <w:right w:val="single" w:sz="18" w:space="0" w:color="auto"/>
            </w:tcBorders>
            <w:vAlign w:val="bottom"/>
          </w:tcPr>
          <w:p w14:paraId="2AFA09E6"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0.0%</w:t>
            </w:r>
          </w:p>
        </w:tc>
      </w:tr>
      <w:tr w:rsidR="00E523FD" w14:paraId="26A9C8BB" w14:textId="77777777" w:rsidTr="00DB4EAD">
        <w:tc>
          <w:tcPr>
            <w:tcW w:w="2268" w:type="dxa"/>
            <w:tcBorders>
              <w:right w:val="single" w:sz="18" w:space="0" w:color="auto"/>
            </w:tcBorders>
            <w:vAlign w:val="bottom"/>
          </w:tcPr>
          <w:p w14:paraId="0F53F1D9" w14:textId="52C63F5F" w:rsidR="00E523FD" w:rsidRPr="00021013" w:rsidRDefault="006C68D6" w:rsidP="001E3A24">
            <w:pPr>
              <w:keepNext/>
              <w:keepLines/>
              <w:rPr>
                <w:rFonts w:ascii="Times New Roman" w:hAnsi="Times New Roman" w:cs="Times New Roman"/>
                <w:b/>
                <w:sz w:val="22"/>
                <w:szCs w:val="22"/>
              </w:rPr>
            </w:pPr>
            <w:r>
              <w:rPr>
                <w:rFonts w:ascii="Times New Roman" w:eastAsia="Times New Roman" w:hAnsi="Times New Roman" w:cs="Times New Roman"/>
                <w:b/>
                <w:bCs/>
                <w:color w:val="000000"/>
                <w:sz w:val="22"/>
                <w:szCs w:val="22"/>
              </w:rPr>
              <w:t xml:space="preserve">(9) </w:t>
            </w:r>
            <w:r w:rsidR="00E523FD" w:rsidRPr="00021013">
              <w:rPr>
                <w:rFonts w:ascii="Times New Roman" w:eastAsia="Times New Roman" w:hAnsi="Times New Roman" w:cs="Times New Roman"/>
                <w:b/>
                <w:bCs/>
                <w:color w:val="000000"/>
                <w:sz w:val="22"/>
                <w:szCs w:val="22"/>
              </w:rPr>
              <w:t>None</w:t>
            </w:r>
          </w:p>
        </w:tc>
        <w:tc>
          <w:tcPr>
            <w:tcW w:w="1710" w:type="dxa"/>
            <w:tcBorders>
              <w:left w:val="single" w:sz="18" w:space="0" w:color="auto"/>
            </w:tcBorders>
            <w:vAlign w:val="bottom"/>
          </w:tcPr>
          <w:p w14:paraId="2271DABD"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39.4%</w:t>
            </w:r>
          </w:p>
        </w:tc>
        <w:tc>
          <w:tcPr>
            <w:tcW w:w="1710" w:type="dxa"/>
            <w:tcBorders>
              <w:right w:val="single" w:sz="18" w:space="0" w:color="auto"/>
            </w:tcBorders>
            <w:vAlign w:val="bottom"/>
          </w:tcPr>
          <w:p w14:paraId="04E15463"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42.1%</w:t>
            </w:r>
          </w:p>
        </w:tc>
        <w:tc>
          <w:tcPr>
            <w:tcW w:w="1530" w:type="dxa"/>
            <w:tcBorders>
              <w:left w:val="single" w:sz="18" w:space="0" w:color="auto"/>
            </w:tcBorders>
            <w:vAlign w:val="bottom"/>
          </w:tcPr>
          <w:p w14:paraId="536F17A1"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64.2%</w:t>
            </w:r>
          </w:p>
        </w:tc>
        <w:tc>
          <w:tcPr>
            <w:tcW w:w="1638" w:type="dxa"/>
            <w:tcBorders>
              <w:right w:val="single" w:sz="18" w:space="0" w:color="auto"/>
            </w:tcBorders>
            <w:vAlign w:val="bottom"/>
          </w:tcPr>
          <w:p w14:paraId="67EA6822"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64.9%</w:t>
            </w:r>
          </w:p>
        </w:tc>
      </w:tr>
      <w:tr w:rsidR="00E523FD" w14:paraId="436C58B9" w14:textId="77777777" w:rsidTr="00DB4EAD">
        <w:tc>
          <w:tcPr>
            <w:tcW w:w="2268" w:type="dxa"/>
            <w:tcBorders>
              <w:top w:val="triple" w:sz="4" w:space="0" w:color="auto"/>
              <w:bottom w:val="triple" w:sz="4" w:space="0" w:color="auto"/>
              <w:right w:val="single" w:sz="18" w:space="0" w:color="auto"/>
            </w:tcBorders>
            <w:vAlign w:val="bottom"/>
          </w:tcPr>
          <w:p w14:paraId="5A866262" w14:textId="77777777" w:rsidR="00E523FD" w:rsidRPr="00021013" w:rsidRDefault="00E523FD" w:rsidP="001E3A24">
            <w:pPr>
              <w:keepNext/>
              <w:keepLines/>
              <w:rPr>
                <w:rFonts w:ascii="Times New Roman" w:hAnsi="Times New Roman" w:cs="Times New Roman"/>
                <w:b/>
                <w:sz w:val="22"/>
                <w:szCs w:val="22"/>
              </w:rPr>
            </w:pPr>
            <w:r w:rsidRPr="00021013">
              <w:rPr>
                <w:rFonts w:ascii="Times New Roman" w:hAnsi="Times New Roman" w:cs="Times New Roman"/>
                <w:b/>
                <w:sz w:val="22"/>
                <w:szCs w:val="22"/>
              </w:rPr>
              <w:t>Maximum</w:t>
            </w:r>
          </w:p>
        </w:tc>
        <w:tc>
          <w:tcPr>
            <w:tcW w:w="1710" w:type="dxa"/>
            <w:tcBorders>
              <w:top w:val="triple" w:sz="4" w:space="0" w:color="auto"/>
              <w:left w:val="single" w:sz="18" w:space="0" w:color="auto"/>
              <w:bottom w:val="triple" w:sz="4" w:space="0" w:color="auto"/>
            </w:tcBorders>
            <w:vAlign w:val="bottom"/>
          </w:tcPr>
          <w:p w14:paraId="70792922"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741</w:t>
            </w:r>
          </w:p>
        </w:tc>
        <w:tc>
          <w:tcPr>
            <w:tcW w:w="1710" w:type="dxa"/>
            <w:tcBorders>
              <w:top w:val="triple" w:sz="4" w:space="0" w:color="auto"/>
              <w:bottom w:val="triple" w:sz="4" w:space="0" w:color="auto"/>
              <w:right w:val="single" w:sz="18" w:space="0" w:color="auto"/>
            </w:tcBorders>
            <w:vAlign w:val="bottom"/>
          </w:tcPr>
          <w:p w14:paraId="732BEDE4"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696</w:t>
            </w:r>
          </w:p>
        </w:tc>
        <w:tc>
          <w:tcPr>
            <w:tcW w:w="1530" w:type="dxa"/>
            <w:tcBorders>
              <w:top w:val="triple" w:sz="4" w:space="0" w:color="auto"/>
              <w:left w:val="single" w:sz="18" w:space="0" w:color="auto"/>
              <w:bottom w:val="triple" w:sz="4" w:space="0" w:color="auto"/>
            </w:tcBorders>
            <w:vAlign w:val="bottom"/>
          </w:tcPr>
          <w:p w14:paraId="77523D6F"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1,120</w:t>
            </w:r>
          </w:p>
        </w:tc>
        <w:tc>
          <w:tcPr>
            <w:tcW w:w="1638" w:type="dxa"/>
            <w:tcBorders>
              <w:top w:val="triple" w:sz="4" w:space="0" w:color="auto"/>
              <w:bottom w:val="triple" w:sz="4" w:space="0" w:color="auto"/>
              <w:right w:val="single" w:sz="18" w:space="0" w:color="auto"/>
            </w:tcBorders>
            <w:vAlign w:val="bottom"/>
          </w:tcPr>
          <w:p w14:paraId="290BC409"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930</w:t>
            </w:r>
          </w:p>
        </w:tc>
      </w:tr>
      <w:tr w:rsidR="00E523FD" w14:paraId="672BBC52" w14:textId="77777777" w:rsidTr="00DB4EAD">
        <w:tc>
          <w:tcPr>
            <w:tcW w:w="2268" w:type="dxa"/>
            <w:tcBorders>
              <w:top w:val="triple" w:sz="4" w:space="0" w:color="auto"/>
              <w:right w:val="single" w:sz="18" w:space="0" w:color="auto"/>
            </w:tcBorders>
            <w:vAlign w:val="bottom"/>
          </w:tcPr>
          <w:p w14:paraId="2E9487AD" w14:textId="77777777" w:rsidR="00E523FD" w:rsidRPr="00021013" w:rsidRDefault="00E523FD" w:rsidP="001E3A24">
            <w:pPr>
              <w:keepNext/>
              <w:keepLines/>
              <w:rPr>
                <w:rFonts w:ascii="Times New Roman" w:hAnsi="Times New Roman" w:cs="Times New Roman"/>
                <w:b/>
                <w:sz w:val="22"/>
                <w:szCs w:val="22"/>
              </w:rPr>
            </w:pPr>
            <w:r w:rsidRPr="00021013">
              <w:rPr>
                <w:rFonts w:ascii="Times New Roman" w:eastAsia="Times New Roman" w:hAnsi="Times New Roman" w:cs="Times New Roman"/>
                <w:b/>
                <w:bCs/>
                <w:color w:val="000000"/>
                <w:sz w:val="22"/>
                <w:szCs w:val="22"/>
              </w:rPr>
              <w:t>Average</w:t>
            </w:r>
          </w:p>
        </w:tc>
        <w:tc>
          <w:tcPr>
            <w:tcW w:w="1710" w:type="dxa"/>
            <w:tcBorders>
              <w:top w:val="triple" w:sz="4" w:space="0" w:color="auto"/>
              <w:left w:val="single" w:sz="18" w:space="0" w:color="auto"/>
            </w:tcBorders>
            <w:vAlign w:val="bottom"/>
          </w:tcPr>
          <w:p w14:paraId="1325C2DB"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24</w:t>
            </w:r>
            <w:r>
              <w:rPr>
                <w:rFonts w:ascii="Times New Roman" w:eastAsia="Times New Roman" w:hAnsi="Times New Roman" w:cs="Times New Roman"/>
                <w:color w:val="000000"/>
                <w:sz w:val="22"/>
                <w:szCs w:val="22"/>
              </w:rPr>
              <w:t>7</w:t>
            </w:r>
          </w:p>
        </w:tc>
        <w:tc>
          <w:tcPr>
            <w:tcW w:w="1710" w:type="dxa"/>
            <w:tcBorders>
              <w:top w:val="triple" w:sz="4" w:space="0" w:color="auto"/>
              <w:right w:val="single" w:sz="18" w:space="0" w:color="auto"/>
            </w:tcBorders>
            <w:vAlign w:val="bottom"/>
          </w:tcPr>
          <w:p w14:paraId="2AB0F838"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208</w:t>
            </w:r>
          </w:p>
        </w:tc>
        <w:tc>
          <w:tcPr>
            <w:tcW w:w="1530" w:type="dxa"/>
            <w:tcBorders>
              <w:top w:val="triple" w:sz="4" w:space="0" w:color="auto"/>
              <w:left w:val="single" w:sz="18" w:space="0" w:color="auto"/>
            </w:tcBorders>
            <w:vAlign w:val="bottom"/>
          </w:tcPr>
          <w:p w14:paraId="622F39B5"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530</w:t>
            </w:r>
          </w:p>
        </w:tc>
        <w:tc>
          <w:tcPr>
            <w:tcW w:w="1638" w:type="dxa"/>
            <w:tcBorders>
              <w:top w:val="triple" w:sz="4" w:space="0" w:color="auto"/>
              <w:right w:val="single" w:sz="18" w:space="0" w:color="auto"/>
            </w:tcBorders>
            <w:vAlign w:val="bottom"/>
          </w:tcPr>
          <w:p w14:paraId="48C5CBE4"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450</w:t>
            </w:r>
          </w:p>
        </w:tc>
      </w:tr>
      <w:tr w:rsidR="00E523FD" w14:paraId="1BF984CF" w14:textId="77777777" w:rsidTr="00DB4EAD">
        <w:tc>
          <w:tcPr>
            <w:tcW w:w="2268" w:type="dxa"/>
            <w:tcBorders>
              <w:right w:val="single" w:sz="18" w:space="0" w:color="auto"/>
            </w:tcBorders>
            <w:vAlign w:val="bottom"/>
          </w:tcPr>
          <w:p w14:paraId="13E49578" w14:textId="77777777" w:rsidR="00E523FD" w:rsidRPr="00021013" w:rsidRDefault="00E523FD" w:rsidP="001E3A24">
            <w:pPr>
              <w:keepNext/>
              <w:keepLines/>
              <w:rPr>
                <w:rFonts w:ascii="Times New Roman" w:eastAsia="Times New Roman" w:hAnsi="Times New Roman" w:cs="Times New Roman"/>
                <w:b/>
                <w:bCs/>
                <w:color w:val="000000"/>
                <w:sz w:val="22"/>
                <w:szCs w:val="22"/>
              </w:rPr>
            </w:pPr>
            <w:r w:rsidRPr="00021013">
              <w:rPr>
                <w:rFonts w:ascii="Times New Roman" w:eastAsia="Times New Roman" w:hAnsi="Times New Roman" w:cs="Times New Roman"/>
                <w:b/>
                <w:bCs/>
                <w:color w:val="000000"/>
                <w:sz w:val="22"/>
                <w:szCs w:val="22"/>
              </w:rPr>
              <w:t>Median</w:t>
            </w:r>
          </w:p>
        </w:tc>
        <w:tc>
          <w:tcPr>
            <w:tcW w:w="1710" w:type="dxa"/>
            <w:tcBorders>
              <w:left w:val="single" w:sz="18" w:space="0" w:color="auto"/>
            </w:tcBorders>
            <w:vAlign w:val="bottom"/>
          </w:tcPr>
          <w:p w14:paraId="4346E3DA"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18</w:t>
            </w:r>
            <w:r>
              <w:rPr>
                <w:rFonts w:ascii="Times New Roman" w:eastAsia="Times New Roman" w:hAnsi="Times New Roman" w:cs="Times New Roman"/>
                <w:color w:val="000000"/>
                <w:sz w:val="22"/>
                <w:szCs w:val="22"/>
              </w:rPr>
              <w:t>1</w:t>
            </w:r>
          </w:p>
        </w:tc>
        <w:tc>
          <w:tcPr>
            <w:tcW w:w="1710" w:type="dxa"/>
            <w:tcBorders>
              <w:right w:val="single" w:sz="18" w:space="0" w:color="auto"/>
            </w:tcBorders>
            <w:vAlign w:val="bottom"/>
          </w:tcPr>
          <w:p w14:paraId="119FF212"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175</w:t>
            </w:r>
          </w:p>
        </w:tc>
        <w:tc>
          <w:tcPr>
            <w:tcW w:w="1530" w:type="dxa"/>
            <w:tcBorders>
              <w:left w:val="single" w:sz="18" w:space="0" w:color="auto"/>
            </w:tcBorders>
            <w:vAlign w:val="bottom"/>
          </w:tcPr>
          <w:p w14:paraId="40166824"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485</w:t>
            </w:r>
          </w:p>
        </w:tc>
        <w:tc>
          <w:tcPr>
            <w:tcW w:w="1638" w:type="dxa"/>
            <w:tcBorders>
              <w:right w:val="single" w:sz="18" w:space="0" w:color="auto"/>
            </w:tcBorders>
            <w:vAlign w:val="bottom"/>
          </w:tcPr>
          <w:p w14:paraId="36A6117C" w14:textId="77777777" w:rsidR="00E523FD" w:rsidRPr="00021013" w:rsidRDefault="00E523FD" w:rsidP="001E3A24">
            <w:pPr>
              <w:keepNext/>
              <w:keepLines/>
              <w:jc w:val="right"/>
              <w:rPr>
                <w:rFonts w:ascii="Times New Roman" w:eastAsiaTheme="majorEastAsia" w:hAnsi="Times New Roman" w:cs="Times New Roman"/>
                <w:b/>
                <w:i/>
                <w:iCs/>
                <w:color w:val="404040" w:themeColor="text1" w:themeTint="BF"/>
                <w:sz w:val="22"/>
                <w:szCs w:val="22"/>
              </w:rPr>
            </w:pPr>
            <w:r w:rsidRPr="00021013">
              <w:rPr>
                <w:rFonts w:ascii="Times New Roman" w:eastAsia="Times New Roman" w:hAnsi="Times New Roman" w:cs="Times New Roman"/>
                <w:color w:val="000000"/>
                <w:sz w:val="22"/>
                <w:szCs w:val="22"/>
              </w:rPr>
              <w:t>440</w:t>
            </w:r>
          </w:p>
        </w:tc>
      </w:tr>
    </w:tbl>
    <w:p w14:paraId="1897EADF" w14:textId="77777777" w:rsidR="00DB4EAD" w:rsidRDefault="00DB4EAD" w:rsidP="00E523FD">
      <w:pPr>
        <w:spacing w:line="480" w:lineRule="auto"/>
        <w:ind w:firstLine="720"/>
        <w:rPr>
          <w:rFonts w:ascii="Times New Roman" w:hAnsi="Times New Roman" w:cs="Times New Roman"/>
        </w:rPr>
      </w:pPr>
    </w:p>
    <w:p w14:paraId="0E2D7AFA" w14:textId="08E324FA" w:rsidR="00E523FD" w:rsidRPr="002C6306" w:rsidRDefault="00E523FD" w:rsidP="00E523FD">
      <w:pPr>
        <w:spacing w:line="480" w:lineRule="auto"/>
        <w:ind w:firstLine="720"/>
        <w:rPr>
          <w:rFonts w:ascii="Times New Roman" w:hAnsi="Times New Roman" w:cs="Times New Roman"/>
        </w:rPr>
      </w:pPr>
      <w:r>
        <w:rPr>
          <w:rFonts w:ascii="Times New Roman" w:hAnsi="Times New Roman" w:cs="Times New Roman"/>
        </w:rPr>
        <w:t xml:space="preserve">The figures in Column (A) of Table </w:t>
      </w:r>
      <w:r w:rsidR="00DB4EAD">
        <w:rPr>
          <w:rFonts w:ascii="Times New Roman" w:hAnsi="Times New Roman" w:cs="Times New Roman"/>
        </w:rPr>
        <w:t>55</w:t>
      </w:r>
      <w:r>
        <w:rPr>
          <w:rFonts w:ascii="Times New Roman" w:hAnsi="Times New Roman" w:cs="Times New Roman"/>
        </w:rPr>
        <w:t xml:space="preserve"> show that just one debtor (0.9%) in each of 2010 and</w:t>
      </w:r>
      <w:r w:rsidR="001E3A24">
        <w:rPr>
          <w:rFonts w:ascii="Times New Roman" w:hAnsi="Times New Roman" w:cs="Times New Roman"/>
        </w:rPr>
        <w:t xml:space="preserve"> 2013 filed a plan within the fourteen</w:t>
      </w:r>
      <w:r>
        <w:rPr>
          <w:rFonts w:ascii="Times New Roman" w:hAnsi="Times New Roman" w:cs="Times New Roman"/>
        </w:rPr>
        <w:t>-day limit applicable to chapter 13 debtors</w:t>
      </w:r>
      <w:r w:rsidR="006C68D6">
        <w:rPr>
          <w:rFonts w:ascii="Times New Roman" w:hAnsi="Times New Roman" w:cs="Times New Roman"/>
        </w:rPr>
        <w:t xml:space="preserve">. </w:t>
      </w:r>
      <w:r w:rsidR="006C68D6">
        <w:rPr>
          <w:rFonts w:ascii="Times New Roman" w:hAnsi="Times New Roman" w:cs="Times New Roman"/>
          <w:i/>
        </w:rPr>
        <w:t xml:space="preserve">See </w:t>
      </w:r>
      <w:r w:rsidR="006C68D6">
        <w:rPr>
          <w:rFonts w:ascii="Times New Roman" w:hAnsi="Times New Roman" w:cs="Times New Roman"/>
        </w:rPr>
        <w:t>Column (A), Rows (7) &amp; (8). H</w:t>
      </w:r>
      <w:r>
        <w:rPr>
          <w:rFonts w:ascii="Times New Roman" w:hAnsi="Times New Roman" w:cs="Times New Roman"/>
        </w:rPr>
        <w:t>alf of the individual debtors who proposed plans in 2010 and 2013</w:t>
      </w:r>
      <w:r w:rsidR="006C68D6">
        <w:rPr>
          <w:rFonts w:ascii="Times New Roman" w:hAnsi="Times New Roman" w:cs="Times New Roman"/>
        </w:rPr>
        <w:t xml:space="preserve">, however, </w:t>
      </w:r>
      <w:r>
        <w:rPr>
          <w:rFonts w:ascii="Times New Roman" w:hAnsi="Times New Roman" w:cs="Times New Roman"/>
        </w:rPr>
        <w:t xml:space="preserve">did so within six months of the start of their chapter 11 cases. Outliers do exist. Of those debtors who proposed plans, 88% in 2010 and 94% in 2013 did so within one year of the beginning of their chapter 11 cases. </w:t>
      </w:r>
      <w:r w:rsidR="006C68D6">
        <w:rPr>
          <w:rFonts w:ascii="Times New Roman" w:hAnsi="Times New Roman" w:cs="Times New Roman"/>
          <w:i/>
        </w:rPr>
        <w:t xml:space="preserve">See </w:t>
      </w:r>
      <w:r w:rsidR="006C68D6">
        <w:rPr>
          <w:rFonts w:ascii="Times New Roman" w:hAnsi="Times New Roman" w:cs="Times New Roman"/>
        </w:rPr>
        <w:t>Column (A), Rows (3)-(8).</w:t>
      </w:r>
      <w:r>
        <w:rPr>
          <w:rFonts w:ascii="Times New Roman" w:hAnsi="Times New Roman" w:cs="Times New Roman"/>
        </w:rPr>
        <w:t xml:space="preserve">While approximately 60% of our debtors proposed a plan, only about </w:t>
      </w:r>
      <w:r w:rsidRPr="00995C17">
        <w:rPr>
          <w:rFonts w:ascii="Times New Roman" w:hAnsi="Times New Roman" w:cs="Times New Roman"/>
        </w:rPr>
        <w:t>3</w:t>
      </w:r>
      <w:r>
        <w:rPr>
          <w:rFonts w:ascii="Times New Roman" w:hAnsi="Times New Roman" w:cs="Times New Roman"/>
        </w:rPr>
        <w:t>5</w:t>
      </w:r>
      <w:r w:rsidRPr="00995C17">
        <w:rPr>
          <w:rFonts w:ascii="Times New Roman" w:hAnsi="Times New Roman" w:cs="Times New Roman"/>
        </w:rPr>
        <w:t>% had a plan approved. This confirmation rate is similar to the 30</w:t>
      </w:r>
      <w:r w:rsidR="001E3A24">
        <w:rPr>
          <w:rFonts w:ascii="Times New Roman" w:hAnsi="Times New Roman" w:cs="Times New Roman"/>
        </w:rPr>
        <w:t>% to</w:t>
      </w:r>
      <w:r w:rsidR="00962897">
        <w:rPr>
          <w:rFonts w:ascii="Times New Roman" w:hAnsi="Times New Roman" w:cs="Times New Roman"/>
        </w:rPr>
        <w:t xml:space="preserve"> </w:t>
      </w:r>
      <w:r w:rsidRPr="00995C17">
        <w:rPr>
          <w:rFonts w:ascii="Times New Roman" w:hAnsi="Times New Roman" w:cs="Times New Roman"/>
        </w:rPr>
        <w:t xml:space="preserve">33% confirmation rate found by Warren and Westbrook in their study of all </w:t>
      </w:r>
      <w:r>
        <w:rPr>
          <w:rFonts w:ascii="Times New Roman" w:hAnsi="Times New Roman" w:cs="Times New Roman"/>
        </w:rPr>
        <w:t>chapter</w:t>
      </w:r>
      <w:r w:rsidRPr="00995C17">
        <w:rPr>
          <w:rFonts w:ascii="Times New Roman" w:hAnsi="Times New Roman" w:cs="Times New Roman"/>
        </w:rPr>
        <w:t xml:space="preserve"> 11 filings</w:t>
      </w:r>
      <w:r>
        <w:rPr>
          <w:rFonts w:ascii="Times New Roman" w:hAnsi="Times New Roman" w:cs="Times New Roman"/>
        </w:rPr>
        <w:t>,</w:t>
      </w:r>
      <w:r w:rsidRPr="00995C17">
        <w:rPr>
          <w:rStyle w:val="FootnoteReference"/>
          <w:rFonts w:ascii="Times New Roman" w:hAnsi="Times New Roman" w:cs="Times New Roman"/>
        </w:rPr>
        <w:footnoteReference w:id="302"/>
      </w:r>
      <w:r>
        <w:rPr>
          <w:rFonts w:ascii="Times New Roman" w:hAnsi="Times New Roman" w:cs="Times New Roman"/>
        </w:rPr>
        <w:t xml:space="preserve"> and the 34% confirmation rate one of us found in a study of chapter 11 filings in 2004.</w:t>
      </w:r>
      <w:r>
        <w:rPr>
          <w:rStyle w:val="FootnoteReference"/>
          <w:rFonts w:ascii="Times New Roman" w:hAnsi="Times New Roman" w:cs="Times New Roman"/>
        </w:rPr>
        <w:footnoteReference w:id="303"/>
      </w:r>
      <w:r w:rsidRPr="00995C17">
        <w:rPr>
          <w:rFonts w:ascii="Times New Roman" w:hAnsi="Times New Roman" w:cs="Times New Roman"/>
        </w:rPr>
        <w:t xml:space="preserve"> </w:t>
      </w:r>
      <w:r>
        <w:rPr>
          <w:rFonts w:ascii="Times New Roman" w:hAnsi="Times New Roman" w:cs="Times New Roman"/>
        </w:rPr>
        <w:t xml:space="preserve">Plan confirmation took time. Column (B) of Table </w:t>
      </w:r>
      <w:r w:rsidR="00DB4EAD">
        <w:rPr>
          <w:rFonts w:ascii="Times New Roman" w:hAnsi="Times New Roman" w:cs="Times New Roman"/>
        </w:rPr>
        <w:t>55</w:t>
      </w:r>
      <w:r>
        <w:rPr>
          <w:rFonts w:ascii="Times New Roman" w:hAnsi="Times New Roman" w:cs="Times New Roman"/>
        </w:rPr>
        <w:t xml:space="preserve"> shows that the median time to plan confirmation for the debtors in our sample was between fifteen and sixteen months from the start of the chapter 11 case. T</w:t>
      </w:r>
      <w:r w:rsidRPr="00995C17">
        <w:rPr>
          <w:rFonts w:ascii="Times New Roman" w:hAnsi="Times New Roman" w:cs="Times New Roman"/>
        </w:rPr>
        <w:t xml:space="preserve">he time </w:t>
      </w:r>
      <w:r>
        <w:rPr>
          <w:rFonts w:ascii="Times New Roman" w:hAnsi="Times New Roman" w:cs="Times New Roman"/>
        </w:rPr>
        <w:t xml:space="preserve">from the start of the chapter 11 case </w:t>
      </w:r>
      <w:r w:rsidRPr="00995C17">
        <w:rPr>
          <w:rFonts w:ascii="Times New Roman" w:hAnsi="Times New Roman" w:cs="Times New Roman"/>
        </w:rPr>
        <w:t xml:space="preserve">until confirmation appears to be </w:t>
      </w:r>
      <w:r w:rsidR="001E3A24">
        <w:rPr>
          <w:rFonts w:ascii="Times New Roman" w:hAnsi="Times New Roman" w:cs="Times New Roman"/>
        </w:rPr>
        <w:t xml:space="preserve">25% to </w:t>
      </w:r>
      <w:r>
        <w:rPr>
          <w:rFonts w:ascii="Times New Roman" w:hAnsi="Times New Roman" w:cs="Times New Roman"/>
        </w:rPr>
        <w:t xml:space="preserve">30% </w:t>
      </w:r>
      <w:r w:rsidRPr="00995C17">
        <w:rPr>
          <w:rFonts w:ascii="Times New Roman" w:hAnsi="Times New Roman" w:cs="Times New Roman"/>
        </w:rPr>
        <w:t xml:space="preserve">longer than that found by Warren and Westbrook. In their study, </w:t>
      </w:r>
      <w:r>
        <w:rPr>
          <w:rFonts w:ascii="Times New Roman" w:hAnsi="Times New Roman" w:cs="Times New Roman"/>
        </w:rPr>
        <w:t>the median time to confirmation was about one year</w:t>
      </w:r>
      <w:r w:rsidRPr="00995C17">
        <w:rPr>
          <w:rFonts w:ascii="Times New Roman" w:hAnsi="Times New Roman" w:cs="Times New Roman"/>
        </w:rPr>
        <w:t>.</w:t>
      </w:r>
      <w:r w:rsidRPr="00995C17">
        <w:rPr>
          <w:rStyle w:val="FootnoteReference"/>
          <w:rFonts w:ascii="Times New Roman" w:hAnsi="Times New Roman" w:cs="Times New Roman"/>
        </w:rPr>
        <w:footnoteReference w:id="304"/>
      </w:r>
    </w:p>
    <w:p w14:paraId="4C4BF4F1" w14:textId="7DFC1C5C" w:rsidR="006C68D6" w:rsidRDefault="006C68D6" w:rsidP="006C68D6">
      <w:pPr>
        <w:spacing w:line="480" w:lineRule="auto"/>
        <w:ind w:firstLine="720"/>
        <w:rPr>
          <w:rFonts w:ascii="Times New Roman" w:hAnsi="Times New Roman" w:cs="Times New Roman"/>
          <w:i/>
        </w:rPr>
      </w:pPr>
      <w:r>
        <w:rPr>
          <w:rFonts w:ascii="Times New Roman" w:hAnsi="Times New Roman" w:cs="Times New Roman"/>
        </w:rPr>
        <w:t>The figures in Table 55 include the few individual debtors who identified as small businesses—seventeen in 2010 and thirteen in 2013.</w:t>
      </w:r>
      <w:r>
        <w:rPr>
          <w:rStyle w:val="FootnoteReference"/>
          <w:rFonts w:ascii="Times New Roman" w:hAnsi="Times New Roman" w:cs="Times New Roman"/>
        </w:rPr>
        <w:footnoteReference w:id="305"/>
      </w:r>
      <w:r>
        <w:rPr>
          <w:rFonts w:ascii="Times New Roman" w:hAnsi="Times New Roman" w:cs="Times New Roman"/>
        </w:rPr>
        <w:t xml:space="preserve"> Congress amended the Bankruptcy Code in 2005 to require debtors in small business cases to file a plan “not later than 300 days after the date of the order for relief.”</w:t>
      </w:r>
      <w:bookmarkStart w:id="38" w:name="_Ref333749470"/>
      <w:r>
        <w:rPr>
          <w:rStyle w:val="FootnoteReference"/>
          <w:rFonts w:ascii="Times New Roman" w:hAnsi="Times New Roman" w:cs="Times New Roman"/>
        </w:rPr>
        <w:footnoteReference w:id="306"/>
      </w:r>
      <w:bookmarkEnd w:id="38"/>
      <w:r>
        <w:rPr>
          <w:rFonts w:ascii="Times New Roman" w:hAnsi="Times New Roman" w:cs="Times New Roman"/>
        </w:rPr>
        <w:t xml:space="preserve"> Of the debtors who identified as small businesses, the vast majority satisfied the Code’s 300-day plan-proposal requirement.</w:t>
      </w:r>
      <w:r>
        <w:rPr>
          <w:rStyle w:val="FootnoteReference"/>
          <w:rFonts w:ascii="Times New Roman" w:hAnsi="Times New Roman" w:cs="Times New Roman"/>
        </w:rPr>
        <w:footnoteReference w:id="307"/>
      </w:r>
      <w:r>
        <w:rPr>
          <w:rFonts w:ascii="Times New Roman" w:hAnsi="Times New Roman" w:cs="Times New Roman"/>
        </w:rPr>
        <w:t xml:space="preserve"> As Table 56 shows, thirteen of 2010’s seventeen small business debtors proposed plans; nine did so within 300 days of the start of their chapter 11 cases.</w:t>
      </w:r>
      <w:r>
        <w:rPr>
          <w:rStyle w:val="FootnoteReference"/>
          <w:rFonts w:ascii="Times New Roman" w:hAnsi="Times New Roman" w:cs="Times New Roman"/>
        </w:rPr>
        <w:footnoteReference w:id="308"/>
      </w:r>
      <w:r>
        <w:rPr>
          <w:rFonts w:ascii="Times New Roman" w:hAnsi="Times New Roman" w:cs="Times New Roman"/>
        </w:rPr>
        <w:t xml:space="preserve">  All of 2013’s small business debtors who proposed plans did so within the Code’s 300-day window. Less than a quarter of the small business debtors in 2010 failed to propose a plan; more than half failed to do so in 2013. One should not overemphasize these differences, however, because we are dealing with so few debtors.</w:t>
      </w:r>
    </w:p>
    <w:p w14:paraId="01D381D8" w14:textId="48D72B63" w:rsidR="00E523FD" w:rsidRDefault="00E523FD" w:rsidP="00123BE5">
      <w:pPr>
        <w:keepNext/>
        <w:keepLines/>
        <w:spacing w:line="480" w:lineRule="auto"/>
        <w:jc w:val="center"/>
        <w:rPr>
          <w:rFonts w:ascii="Times New Roman" w:hAnsi="Times New Roman" w:cs="Times New Roman"/>
          <w:b/>
        </w:rPr>
      </w:pPr>
      <w:r w:rsidRPr="00ED2537">
        <w:rPr>
          <w:rFonts w:ascii="Times New Roman" w:hAnsi="Times New Roman" w:cs="Times New Roman"/>
          <w:b/>
        </w:rPr>
        <w:t xml:space="preserve">Table </w:t>
      </w:r>
      <w:r w:rsidR="00DB4EAD">
        <w:rPr>
          <w:rFonts w:ascii="Times New Roman" w:hAnsi="Times New Roman" w:cs="Times New Roman"/>
          <w:b/>
        </w:rPr>
        <w:t>56</w:t>
      </w:r>
      <w:r w:rsidRPr="00ED2537">
        <w:rPr>
          <w:rFonts w:ascii="Times New Roman" w:hAnsi="Times New Roman" w:cs="Times New Roman"/>
          <w:b/>
        </w:rPr>
        <w:t xml:space="preserve">: Small Business Debtors and </w:t>
      </w:r>
      <w:r>
        <w:rPr>
          <w:rFonts w:ascii="Times New Roman" w:hAnsi="Times New Roman" w:cs="Times New Roman"/>
          <w:b/>
        </w:rPr>
        <w:t>Time to First Plan Proposal</w:t>
      </w:r>
    </w:p>
    <w:tbl>
      <w:tblPr>
        <w:tblStyle w:val="TableGrid"/>
        <w:tblW w:w="0" w:type="auto"/>
        <w:tblLook w:val="04A0" w:firstRow="1" w:lastRow="0" w:firstColumn="1" w:lastColumn="0" w:noHBand="0" w:noVBand="1"/>
      </w:tblPr>
      <w:tblGrid>
        <w:gridCol w:w="2792"/>
        <w:gridCol w:w="1392"/>
        <w:gridCol w:w="1520"/>
        <w:gridCol w:w="1434"/>
        <w:gridCol w:w="1479"/>
      </w:tblGrid>
      <w:tr w:rsidR="00E523FD" w14:paraId="72701659" w14:textId="77777777" w:rsidTr="00DB4EAD">
        <w:trPr>
          <w:trHeight w:hRule="exact" w:val="288"/>
        </w:trPr>
        <w:tc>
          <w:tcPr>
            <w:tcW w:w="2952" w:type="dxa"/>
            <w:vMerge w:val="restart"/>
            <w:tcBorders>
              <w:top w:val="nil"/>
              <w:left w:val="nil"/>
              <w:right w:val="single" w:sz="18" w:space="0" w:color="auto"/>
            </w:tcBorders>
          </w:tcPr>
          <w:p w14:paraId="2A28F7B6" w14:textId="77777777" w:rsidR="00E523FD" w:rsidRDefault="00E523FD" w:rsidP="00123BE5">
            <w:pPr>
              <w:keepNext/>
              <w:keepLines/>
              <w:spacing w:line="480" w:lineRule="auto"/>
              <w:jc w:val="center"/>
              <w:rPr>
                <w:rFonts w:ascii="Times New Roman" w:hAnsi="Times New Roman" w:cs="Times New Roman"/>
                <w:b/>
              </w:rPr>
            </w:pPr>
          </w:p>
        </w:tc>
        <w:tc>
          <w:tcPr>
            <w:tcW w:w="2952" w:type="dxa"/>
            <w:gridSpan w:val="2"/>
            <w:tcBorders>
              <w:top w:val="single" w:sz="18" w:space="0" w:color="auto"/>
              <w:left w:val="single" w:sz="18" w:space="0" w:color="auto"/>
              <w:bottom w:val="single" w:sz="12" w:space="0" w:color="auto"/>
              <w:right w:val="single" w:sz="18" w:space="0" w:color="auto"/>
            </w:tcBorders>
          </w:tcPr>
          <w:p w14:paraId="00B3DC76" w14:textId="77777777" w:rsidR="00E523FD" w:rsidRDefault="00E523FD" w:rsidP="00123BE5">
            <w:pPr>
              <w:keepNext/>
              <w:keepLines/>
              <w:spacing w:line="480" w:lineRule="auto"/>
              <w:jc w:val="center"/>
              <w:rPr>
                <w:rFonts w:ascii="Times New Roman" w:hAnsi="Times New Roman" w:cs="Times New Roman"/>
                <w:b/>
              </w:rPr>
            </w:pPr>
            <w:r>
              <w:rPr>
                <w:rFonts w:ascii="Times New Roman" w:hAnsi="Times New Roman" w:cs="Times New Roman"/>
                <w:b/>
              </w:rPr>
              <w:t>2010</w:t>
            </w:r>
          </w:p>
        </w:tc>
        <w:tc>
          <w:tcPr>
            <w:tcW w:w="2952" w:type="dxa"/>
            <w:gridSpan w:val="2"/>
            <w:tcBorders>
              <w:top w:val="single" w:sz="18" w:space="0" w:color="auto"/>
              <w:left w:val="single" w:sz="18" w:space="0" w:color="auto"/>
              <w:bottom w:val="single" w:sz="12" w:space="0" w:color="auto"/>
              <w:right w:val="single" w:sz="18" w:space="0" w:color="auto"/>
            </w:tcBorders>
          </w:tcPr>
          <w:p w14:paraId="0F1D4F18" w14:textId="77777777" w:rsidR="00E523FD" w:rsidRDefault="00E523FD" w:rsidP="00123BE5">
            <w:pPr>
              <w:keepNext/>
              <w:keepLines/>
              <w:spacing w:line="480" w:lineRule="auto"/>
              <w:jc w:val="center"/>
              <w:rPr>
                <w:rFonts w:ascii="Times New Roman" w:hAnsi="Times New Roman" w:cs="Times New Roman"/>
                <w:b/>
              </w:rPr>
            </w:pPr>
            <w:r>
              <w:rPr>
                <w:rFonts w:ascii="Times New Roman" w:hAnsi="Times New Roman" w:cs="Times New Roman"/>
                <w:b/>
              </w:rPr>
              <w:t>2013</w:t>
            </w:r>
          </w:p>
        </w:tc>
      </w:tr>
      <w:tr w:rsidR="00E523FD" w14:paraId="4863E50C" w14:textId="77777777" w:rsidTr="00DB4EAD">
        <w:trPr>
          <w:trHeight w:hRule="exact" w:val="288"/>
        </w:trPr>
        <w:tc>
          <w:tcPr>
            <w:tcW w:w="2952" w:type="dxa"/>
            <w:vMerge/>
            <w:tcBorders>
              <w:left w:val="nil"/>
              <w:right w:val="single" w:sz="18" w:space="0" w:color="auto"/>
            </w:tcBorders>
          </w:tcPr>
          <w:p w14:paraId="51163660" w14:textId="77777777" w:rsidR="00E523FD" w:rsidRDefault="00E523FD" w:rsidP="00123BE5">
            <w:pPr>
              <w:keepNext/>
              <w:keepLines/>
              <w:spacing w:line="480" w:lineRule="auto"/>
              <w:jc w:val="center"/>
              <w:rPr>
                <w:rFonts w:ascii="Times New Roman" w:hAnsi="Times New Roman" w:cs="Times New Roman"/>
                <w:b/>
              </w:rPr>
            </w:pPr>
          </w:p>
        </w:tc>
        <w:tc>
          <w:tcPr>
            <w:tcW w:w="1418" w:type="dxa"/>
            <w:tcBorders>
              <w:top w:val="single" w:sz="12" w:space="0" w:color="auto"/>
              <w:left w:val="single" w:sz="18" w:space="0" w:color="auto"/>
              <w:right w:val="single" w:sz="6" w:space="0" w:color="auto"/>
            </w:tcBorders>
          </w:tcPr>
          <w:p w14:paraId="5C30E19B" w14:textId="77777777" w:rsidR="00E523FD" w:rsidRDefault="00E523FD" w:rsidP="00123BE5">
            <w:pPr>
              <w:keepNext/>
              <w:keepLines/>
              <w:spacing w:line="480" w:lineRule="auto"/>
              <w:jc w:val="center"/>
              <w:rPr>
                <w:rFonts w:ascii="Times New Roman" w:hAnsi="Times New Roman" w:cs="Times New Roman"/>
                <w:b/>
              </w:rPr>
            </w:pPr>
            <w:r>
              <w:rPr>
                <w:rFonts w:ascii="Times New Roman" w:hAnsi="Times New Roman" w:cs="Times New Roman"/>
                <w:b/>
              </w:rPr>
              <w:t>Number</w:t>
            </w:r>
          </w:p>
        </w:tc>
        <w:tc>
          <w:tcPr>
            <w:tcW w:w="1534" w:type="dxa"/>
            <w:tcBorders>
              <w:top w:val="single" w:sz="12" w:space="0" w:color="auto"/>
              <w:left w:val="single" w:sz="6" w:space="0" w:color="auto"/>
              <w:right w:val="single" w:sz="18" w:space="0" w:color="auto"/>
            </w:tcBorders>
          </w:tcPr>
          <w:p w14:paraId="5A4BE441" w14:textId="77777777" w:rsidR="00E523FD" w:rsidRDefault="00E523FD" w:rsidP="00123BE5">
            <w:pPr>
              <w:keepNext/>
              <w:keepLines/>
              <w:spacing w:line="480" w:lineRule="auto"/>
              <w:jc w:val="center"/>
              <w:rPr>
                <w:rFonts w:ascii="Times New Roman" w:hAnsi="Times New Roman" w:cs="Times New Roman"/>
                <w:b/>
              </w:rPr>
            </w:pPr>
            <w:r>
              <w:rPr>
                <w:rFonts w:ascii="Times New Roman" w:hAnsi="Times New Roman" w:cs="Times New Roman"/>
                <w:b/>
              </w:rPr>
              <w:t>Percentage</w:t>
            </w:r>
          </w:p>
        </w:tc>
        <w:tc>
          <w:tcPr>
            <w:tcW w:w="1463" w:type="dxa"/>
            <w:tcBorders>
              <w:top w:val="single" w:sz="12" w:space="0" w:color="auto"/>
              <w:left w:val="single" w:sz="18" w:space="0" w:color="auto"/>
              <w:right w:val="single" w:sz="6" w:space="0" w:color="auto"/>
            </w:tcBorders>
          </w:tcPr>
          <w:p w14:paraId="2C806F80" w14:textId="77777777" w:rsidR="00E523FD" w:rsidRDefault="00E523FD" w:rsidP="00123BE5">
            <w:pPr>
              <w:keepNext/>
              <w:keepLines/>
              <w:spacing w:line="480" w:lineRule="auto"/>
              <w:jc w:val="center"/>
              <w:rPr>
                <w:rFonts w:ascii="Times New Roman" w:hAnsi="Times New Roman" w:cs="Times New Roman"/>
                <w:b/>
              </w:rPr>
            </w:pPr>
            <w:r>
              <w:rPr>
                <w:rFonts w:ascii="Times New Roman" w:hAnsi="Times New Roman" w:cs="Times New Roman"/>
                <w:b/>
              </w:rPr>
              <w:t>Number</w:t>
            </w:r>
          </w:p>
        </w:tc>
        <w:tc>
          <w:tcPr>
            <w:tcW w:w="1489" w:type="dxa"/>
            <w:tcBorders>
              <w:top w:val="single" w:sz="12" w:space="0" w:color="auto"/>
              <w:left w:val="single" w:sz="6" w:space="0" w:color="auto"/>
              <w:right w:val="single" w:sz="18" w:space="0" w:color="auto"/>
            </w:tcBorders>
          </w:tcPr>
          <w:p w14:paraId="56424BD4" w14:textId="77777777" w:rsidR="00E523FD" w:rsidRDefault="00E523FD" w:rsidP="00123BE5">
            <w:pPr>
              <w:keepNext/>
              <w:keepLines/>
              <w:spacing w:line="480" w:lineRule="auto"/>
              <w:jc w:val="center"/>
              <w:rPr>
                <w:rFonts w:ascii="Times New Roman" w:hAnsi="Times New Roman" w:cs="Times New Roman"/>
                <w:b/>
              </w:rPr>
            </w:pPr>
            <w:r>
              <w:rPr>
                <w:rFonts w:ascii="Times New Roman" w:hAnsi="Times New Roman" w:cs="Times New Roman"/>
                <w:b/>
              </w:rPr>
              <w:t>Percentage</w:t>
            </w:r>
          </w:p>
        </w:tc>
      </w:tr>
      <w:tr w:rsidR="00E523FD" w14:paraId="5064B176" w14:textId="77777777" w:rsidTr="00DB4EAD">
        <w:trPr>
          <w:trHeight w:hRule="exact" w:val="288"/>
        </w:trPr>
        <w:tc>
          <w:tcPr>
            <w:tcW w:w="2952" w:type="dxa"/>
            <w:tcBorders>
              <w:right w:val="single" w:sz="18" w:space="0" w:color="auto"/>
            </w:tcBorders>
          </w:tcPr>
          <w:p w14:paraId="3B56DFD1" w14:textId="77777777" w:rsidR="00E523FD" w:rsidRPr="00ED2537" w:rsidRDefault="00E523FD" w:rsidP="00123BE5">
            <w:pPr>
              <w:keepNext/>
              <w:keepLines/>
              <w:spacing w:line="480" w:lineRule="auto"/>
              <w:rPr>
                <w:rFonts w:ascii="Times New Roman" w:hAnsi="Times New Roman" w:cs="Times New Roman"/>
                <w:b/>
              </w:rPr>
            </w:pPr>
            <w:r w:rsidRPr="00ED2537">
              <w:rPr>
                <w:rFonts w:ascii="Times New Roman" w:hAnsi="Times New Roman" w:cs="Times New Roman"/>
                <w:b/>
              </w:rPr>
              <w:t>&gt;1 year</w:t>
            </w:r>
          </w:p>
        </w:tc>
        <w:tc>
          <w:tcPr>
            <w:tcW w:w="1418" w:type="dxa"/>
            <w:tcBorders>
              <w:left w:val="single" w:sz="18" w:space="0" w:color="auto"/>
              <w:right w:val="single" w:sz="6" w:space="0" w:color="auto"/>
            </w:tcBorders>
          </w:tcPr>
          <w:p w14:paraId="0ED52254"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2</w:t>
            </w:r>
          </w:p>
        </w:tc>
        <w:tc>
          <w:tcPr>
            <w:tcW w:w="1534" w:type="dxa"/>
            <w:tcBorders>
              <w:left w:val="single" w:sz="6" w:space="0" w:color="auto"/>
              <w:right w:val="single" w:sz="18" w:space="0" w:color="auto"/>
            </w:tcBorders>
          </w:tcPr>
          <w:p w14:paraId="2192BC58"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11.8%</w:t>
            </w:r>
          </w:p>
        </w:tc>
        <w:tc>
          <w:tcPr>
            <w:tcW w:w="1463" w:type="dxa"/>
            <w:tcBorders>
              <w:left w:val="single" w:sz="18" w:space="0" w:color="auto"/>
              <w:right w:val="single" w:sz="6" w:space="0" w:color="auto"/>
            </w:tcBorders>
          </w:tcPr>
          <w:p w14:paraId="15504EEB"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0</w:t>
            </w:r>
          </w:p>
        </w:tc>
        <w:tc>
          <w:tcPr>
            <w:tcW w:w="1489" w:type="dxa"/>
            <w:tcBorders>
              <w:left w:val="single" w:sz="6" w:space="0" w:color="auto"/>
              <w:right w:val="single" w:sz="18" w:space="0" w:color="auto"/>
            </w:tcBorders>
          </w:tcPr>
          <w:p w14:paraId="44F043C5"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0%</w:t>
            </w:r>
          </w:p>
        </w:tc>
      </w:tr>
      <w:tr w:rsidR="00E523FD" w14:paraId="44495A2A" w14:textId="77777777" w:rsidTr="00DB4EAD">
        <w:trPr>
          <w:trHeight w:hRule="exact" w:val="288"/>
        </w:trPr>
        <w:tc>
          <w:tcPr>
            <w:tcW w:w="2952" w:type="dxa"/>
            <w:tcBorders>
              <w:right w:val="single" w:sz="18" w:space="0" w:color="auto"/>
            </w:tcBorders>
          </w:tcPr>
          <w:p w14:paraId="41F8CDFD" w14:textId="77777777" w:rsidR="00E523FD" w:rsidRDefault="00E523FD" w:rsidP="00123BE5">
            <w:pPr>
              <w:keepNext/>
              <w:keepLines/>
              <w:spacing w:line="480" w:lineRule="auto"/>
              <w:rPr>
                <w:rFonts w:ascii="Times New Roman" w:hAnsi="Times New Roman" w:cs="Times New Roman"/>
                <w:b/>
              </w:rPr>
            </w:pPr>
            <w:r>
              <w:rPr>
                <w:rFonts w:ascii="Times New Roman" w:hAnsi="Times New Roman" w:cs="Times New Roman"/>
                <w:b/>
              </w:rPr>
              <w:t>301-365 days</w:t>
            </w:r>
          </w:p>
        </w:tc>
        <w:tc>
          <w:tcPr>
            <w:tcW w:w="1418" w:type="dxa"/>
            <w:tcBorders>
              <w:left w:val="single" w:sz="18" w:space="0" w:color="auto"/>
              <w:right w:val="single" w:sz="6" w:space="0" w:color="auto"/>
            </w:tcBorders>
          </w:tcPr>
          <w:p w14:paraId="01033FC0"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2</w:t>
            </w:r>
          </w:p>
        </w:tc>
        <w:tc>
          <w:tcPr>
            <w:tcW w:w="1534" w:type="dxa"/>
            <w:tcBorders>
              <w:left w:val="single" w:sz="6" w:space="0" w:color="auto"/>
              <w:right w:val="single" w:sz="18" w:space="0" w:color="auto"/>
            </w:tcBorders>
          </w:tcPr>
          <w:p w14:paraId="74B15E3F"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11.8%</w:t>
            </w:r>
          </w:p>
        </w:tc>
        <w:tc>
          <w:tcPr>
            <w:tcW w:w="1463" w:type="dxa"/>
            <w:tcBorders>
              <w:left w:val="single" w:sz="18" w:space="0" w:color="auto"/>
              <w:right w:val="single" w:sz="6" w:space="0" w:color="auto"/>
            </w:tcBorders>
          </w:tcPr>
          <w:p w14:paraId="53798B40"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0</w:t>
            </w:r>
          </w:p>
        </w:tc>
        <w:tc>
          <w:tcPr>
            <w:tcW w:w="1489" w:type="dxa"/>
            <w:tcBorders>
              <w:left w:val="single" w:sz="6" w:space="0" w:color="auto"/>
              <w:right w:val="single" w:sz="18" w:space="0" w:color="auto"/>
            </w:tcBorders>
          </w:tcPr>
          <w:p w14:paraId="78DFFF12"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0%</w:t>
            </w:r>
          </w:p>
        </w:tc>
      </w:tr>
      <w:tr w:rsidR="00E523FD" w14:paraId="4EF196BA" w14:textId="77777777" w:rsidTr="00DB4EAD">
        <w:trPr>
          <w:trHeight w:hRule="exact" w:val="288"/>
        </w:trPr>
        <w:tc>
          <w:tcPr>
            <w:tcW w:w="2952" w:type="dxa"/>
            <w:tcBorders>
              <w:right w:val="single" w:sz="18" w:space="0" w:color="auto"/>
            </w:tcBorders>
          </w:tcPr>
          <w:p w14:paraId="4D14C437" w14:textId="77777777" w:rsidR="00E523FD" w:rsidRDefault="00E523FD" w:rsidP="00123BE5">
            <w:pPr>
              <w:keepNext/>
              <w:keepLines/>
              <w:spacing w:line="480" w:lineRule="auto"/>
              <w:rPr>
                <w:rFonts w:ascii="Times New Roman" w:hAnsi="Times New Roman" w:cs="Times New Roman"/>
                <w:b/>
              </w:rPr>
            </w:pPr>
            <w:r>
              <w:rPr>
                <w:rFonts w:ascii="Times New Roman" w:hAnsi="Times New Roman" w:cs="Times New Roman"/>
                <w:b/>
              </w:rPr>
              <w:t>181-300 days</w:t>
            </w:r>
          </w:p>
        </w:tc>
        <w:tc>
          <w:tcPr>
            <w:tcW w:w="1418" w:type="dxa"/>
            <w:tcBorders>
              <w:left w:val="single" w:sz="18" w:space="0" w:color="auto"/>
              <w:right w:val="single" w:sz="6" w:space="0" w:color="auto"/>
            </w:tcBorders>
          </w:tcPr>
          <w:p w14:paraId="30B84C58"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4</w:t>
            </w:r>
          </w:p>
        </w:tc>
        <w:tc>
          <w:tcPr>
            <w:tcW w:w="1534" w:type="dxa"/>
            <w:tcBorders>
              <w:left w:val="single" w:sz="6" w:space="0" w:color="auto"/>
              <w:right w:val="single" w:sz="18" w:space="0" w:color="auto"/>
            </w:tcBorders>
          </w:tcPr>
          <w:p w14:paraId="2955A80F" w14:textId="4A3329FA" w:rsidR="00E523FD" w:rsidRDefault="00E523FD" w:rsidP="006C68D6">
            <w:pPr>
              <w:keepNext/>
              <w:keepLines/>
              <w:spacing w:line="480" w:lineRule="auto"/>
              <w:jc w:val="right"/>
              <w:rPr>
                <w:rFonts w:ascii="Times New Roman" w:hAnsi="Times New Roman" w:cs="Times New Roman"/>
                <w:b/>
              </w:rPr>
            </w:pPr>
            <w:r>
              <w:rPr>
                <w:rFonts w:ascii="Times New Roman" w:hAnsi="Times New Roman" w:cs="Times New Roman"/>
                <w:b/>
              </w:rPr>
              <w:t>23.</w:t>
            </w:r>
            <w:r w:rsidR="006C68D6">
              <w:rPr>
                <w:rFonts w:ascii="Times New Roman" w:hAnsi="Times New Roman" w:cs="Times New Roman"/>
                <w:b/>
              </w:rPr>
              <w:t>5</w:t>
            </w:r>
            <w:r>
              <w:rPr>
                <w:rFonts w:ascii="Times New Roman" w:hAnsi="Times New Roman" w:cs="Times New Roman"/>
                <w:b/>
              </w:rPr>
              <w:t>%</w:t>
            </w:r>
          </w:p>
        </w:tc>
        <w:tc>
          <w:tcPr>
            <w:tcW w:w="1463" w:type="dxa"/>
            <w:tcBorders>
              <w:left w:val="single" w:sz="18" w:space="0" w:color="auto"/>
              <w:right w:val="single" w:sz="6" w:space="0" w:color="auto"/>
            </w:tcBorders>
          </w:tcPr>
          <w:p w14:paraId="561D03FE"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3</w:t>
            </w:r>
          </w:p>
        </w:tc>
        <w:tc>
          <w:tcPr>
            <w:tcW w:w="1489" w:type="dxa"/>
            <w:tcBorders>
              <w:left w:val="single" w:sz="6" w:space="0" w:color="auto"/>
              <w:right w:val="single" w:sz="18" w:space="0" w:color="auto"/>
            </w:tcBorders>
          </w:tcPr>
          <w:p w14:paraId="322EF81F"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23.1%</w:t>
            </w:r>
          </w:p>
        </w:tc>
      </w:tr>
      <w:tr w:rsidR="00E523FD" w14:paraId="7D4A2902" w14:textId="77777777" w:rsidTr="00DB4EAD">
        <w:trPr>
          <w:trHeight w:hRule="exact" w:val="288"/>
        </w:trPr>
        <w:tc>
          <w:tcPr>
            <w:tcW w:w="2952" w:type="dxa"/>
            <w:tcBorders>
              <w:right w:val="single" w:sz="18" w:space="0" w:color="auto"/>
            </w:tcBorders>
          </w:tcPr>
          <w:p w14:paraId="253032C4" w14:textId="77777777" w:rsidR="00E523FD" w:rsidRDefault="00E523FD" w:rsidP="00123BE5">
            <w:pPr>
              <w:keepNext/>
              <w:keepLines/>
              <w:spacing w:line="480" w:lineRule="auto"/>
              <w:rPr>
                <w:rFonts w:ascii="Times New Roman" w:hAnsi="Times New Roman" w:cs="Times New Roman"/>
                <w:b/>
              </w:rPr>
            </w:pPr>
            <w:r>
              <w:rPr>
                <w:rFonts w:ascii="Times New Roman" w:hAnsi="Times New Roman" w:cs="Times New Roman"/>
                <w:b/>
              </w:rPr>
              <w:t>91-180 days</w:t>
            </w:r>
          </w:p>
        </w:tc>
        <w:tc>
          <w:tcPr>
            <w:tcW w:w="1418" w:type="dxa"/>
            <w:tcBorders>
              <w:left w:val="single" w:sz="18" w:space="0" w:color="auto"/>
              <w:right w:val="single" w:sz="6" w:space="0" w:color="auto"/>
            </w:tcBorders>
          </w:tcPr>
          <w:p w14:paraId="451850D6"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5</w:t>
            </w:r>
          </w:p>
        </w:tc>
        <w:tc>
          <w:tcPr>
            <w:tcW w:w="1534" w:type="dxa"/>
            <w:tcBorders>
              <w:left w:val="single" w:sz="6" w:space="0" w:color="auto"/>
              <w:right w:val="single" w:sz="18" w:space="0" w:color="auto"/>
            </w:tcBorders>
          </w:tcPr>
          <w:p w14:paraId="50E1EE18"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29.4%</w:t>
            </w:r>
          </w:p>
        </w:tc>
        <w:tc>
          <w:tcPr>
            <w:tcW w:w="1463" w:type="dxa"/>
            <w:tcBorders>
              <w:left w:val="single" w:sz="18" w:space="0" w:color="auto"/>
              <w:right w:val="single" w:sz="6" w:space="0" w:color="auto"/>
            </w:tcBorders>
          </w:tcPr>
          <w:p w14:paraId="0677EC15"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2</w:t>
            </w:r>
          </w:p>
        </w:tc>
        <w:tc>
          <w:tcPr>
            <w:tcW w:w="1489" w:type="dxa"/>
            <w:tcBorders>
              <w:left w:val="single" w:sz="6" w:space="0" w:color="auto"/>
              <w:right w:val="single" w:sz="18" w:space="0" w:color="auto"/>
            </w:tcBorders>
          </w:tcPr>
          <w:p w14:paraId="41A8A18B"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15.4%</w:t>
            </w:r>
          </w:p>
        </w:tc>
      </w:tr>
      <w:tr w:rsidR="00E523FD" w14:paraId="5612B639" w14:textId="77777777" w:rsidTr="00DB4EAD">
        <w:trPr>
          <w:trHeight w:hRule="exact" w:val="288"/>
        </w:trPr>
        <w:tc>
          <w:tcPr>
            <w:tcW w:w="2952" w:type="dxa"/>
            <w:tcBorders>
              <w:right w:val="single" w:sz="18" w:space="0" w:color="auto"/>
            </w:tcBorders>
          </w:tcPr>
          <w:p w14:paraId="211437ED" w14:textId="77777777" w:rsidR="00E523FD" w:rsidRDefault="00E523FD" w:rsidP="00123BE5">
            <w:pPr>
              <w:keepNext/>
              <w:keepLines/>
              <w:spacing w:line="480" w:lineRule="auto"/>
              <w:rPr>
                <w:rFonts w:ascii="Times New Roman" w:hAnsi="Times New Roman" w:cs="Times New Roman"/>
                <w:b/>
              </w:rPr>
            </w:pPr>
            <w:r>
              <w:rPr>
                <w:rFonts w:ascii="Times New Roman" w:hAnsi="Times New Roman" w:cs="Times New Roman"/>
                <w:b/>
              </w:rPr>
              <w:t>1-90 days</w:t>
            </w:r>
          </w:p>
        </w:tc>
        <w:tc>
          <w:tcPr>
            <w:tcW w:w="1418" w:type="dxa"/>
            <w:tcBorders>
              <w:left w:val="single" w:sz="18" w:space="0" w:color="auto"/>
              <w:right w:val="single" w:sz="6" w:space="0" w:color="auto"/>
            </w:tcBorders>
          </w:tcPr>
          <w:p w14:paraId="1FB23EDD"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0</w:t>
            </w:r>
          </w:p>
        </w:tc>
        <w:tc>
          <w:tcPr>
            <w:tcW w:w="1534" w:type="dxa"/>
            <w:tcBorders>
              <w:left w:val="single" w:sz="6" w:space="0" w:color="auto"/>
              <w:right w:val="single" w:sz="18" w:space="0" w:color="auto"/>
            </w:tcBorders>
          </w:tcPr>
          <w:p w14:paraId="14226DDE"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0%</w:t>
            </w:r>
          </w:p>
        </w:tc>
        <w:tc>
          <w:tcPr>
            <w:tcW w:w="1463" w:type="dxa"/>
            <w:tcBorders>
              <w:left w:val="single" w:sz="18" w:space="0" w:color="auto"/>
              <w:right w:val="single" w:sz="6" w:space="0" w:color="auto"/>
            </w:tcBorders>
          </w:tcPr>
          <w:p w14:paraId="07DD9F5D"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1</w:t>
            </w:r>
          </w:p>
        </w:tc>
        <w:tc>
          <w:tcPr>
            <w:tcW w:w="1489" w:type="dxa"/>
            <w:tcBorders>
              <w:left w:val="single" w:sz="6" w:space="0" w:color="auto"/>
              <w:right w:val="single" w:sz="18" w:space="0" w:color="auto"/>
            </w:tcBorders>
          </w:tcPr>
          <w:p w14:paraId="5C3771B9"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7.7%</w:t>
            </w:r>
          </w:p>
        </w:tc>
      </w:tr>
      <w:tr w:rsidR="00E523FD" w14:paraId="3BE89723" w14:textId="77777777" w:rsidTr="00DB4EAD">
        <w:trPr>
          <w:trHeight w:hRule="exact" w:val="288"/>
        </w:trPr>
        <w:tc>
          <w:tcPr>
            <w:tcW w:w="2952" w:type="dxa"/>
            <w:tcBorders>
              <w:bottom w:val="single" w:sz="18" w:space="0" w:color="auto"/>
              <w:right w:val="single" w:sz="18" w:space="0" w:color="auto"/>
            </w:tcBorders>
          </w:tcPr>
          <w:p w14:paraId="26E597C1" w14:textId="77777777" w:rsidR="00E523FD" w:rsidRDefault="00E523FD" w:rsidP="00123BE5">
            <w:pPr>
              <w:keepNext/>
              <w:keepLines/>
              <w:spacing w:line="480" w:lineRule="auto"/>
              <w:rPr>
                <w:rFonts w:ascii="Times New Roman" w:hAnsi="Times New Roman" w:cs="Times New Roman"/>
                <w:b/>
              </w:rPr>
            </w:pPr>
            <w:r>
              <w:rPr>
                <w:rFonts w:ascii="Times New Roman" w:hAnsi="Times New Roman" w:cs="Times New Roman"/>
                <w:b/>
              </w:rPr>
              <w:t>No Plan</w:t>
            </w:r>
          </w:p>
        </w:tc>
        <w:tc>
          <w:tcPr>
            <w:tcW w:w="1418" w:type="dxa"/>
            <w:tcBorders>
              <w:left w:val="single" w:sz="18" w:space="0" w:color="auto"/>
              <w:bottom w:val="single" w:sz="18" w:space="0" w:color="auto"/>
              <w:right w:val="single" w:sz="6" w:space="0" w:color="auto"/>
            </w:tcBorders>
          </w:tcPr>
          <w:p w14:paraId="50FB81EE"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4</w:t>
            </w:r>
          </w:p>
        </w:tc>
        <w:tc>
          <w:tcPr>
            <w:tcW w:w="1534" w:type="dxa"/>
            <w:tcBorders>
              <w:left w:val="single" w:sz="6" w:space="0" w:color="auto"/>
              <w:bottom w:val="single" w:sz="18" w:space="0" w:color="auto"/>
              <w:right w:val="single" w:sz="18" w:space="0" w:color="auto"/>
            </w:tcBorders>
          </w:tcPr>
          <w:p w14:paraId="5BB477DA" w14:textId="27DE40E6" w:rsidR="00E523FD" w:rsidRDefault="00E523FD" w:rsidP="006C68D6">
            <w:pPr>
              <w:keepNext/>
              <w:keepLines/>
              <w:spacing w:line="480" w:lineRule="auto"/>
              <w:jc w:val="right"/>
              <w:rPr>
                <w:rFonts w:ascii="Times New Roman" w:hAnsi="Times New Roman" w:cs="Times New Roman"/>
                <w:b/>
              </w:rPr>
            </w:pPr>
            <w:r>
              <w:rPr>
                <w:rFonts w:ascii="Times New Roman" w:hAnsi="Times New Roman" w:cs="Times New Roman"/>
                <w:b/>
              </w:rPr>
              <w:t>23.</w:t>
            </w:r>
            <w:r w:rsidR="006C68D6">
              <w:rPr>
                <w:rFonts w:ascii="Times New Roman" w:hAnsi="Times New Roman" w:cs="Times New Roman"/>
                <w:b/>
              </w:rPr>
              <w:t>5</w:t>
            </w:r>
            <w:r>
              <w:rPr>
                <w:rFonts w:ascii="Times New Roman" w:hAnsi="Times New Roman" w:cs="Times New Roman"/>
                <w:b/>
              </w:rPr>
              <w:t>%</w:t>
            </w:r>
          </w:p>
        </w:tc>
        <w:tc>
          <w:tcPr>
            <w:tcW w:w="1463" w:type="dxa"/>
            <w:tcBorders>
              <w:left w:val="single" w:sz="18" w:space="0" w:color="auto"/>
              <w:bottom w:val="single" w:sz="18" w:space="0" w:color="auto"/>
              <w:right w:val="single" w:sz="6" w:space="0" w:color="auto"/>
            </w:tcBorders>
          </w:tcPr>
          <w:p w14:paraId="3566D1B8"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7</w:t>
            </w:r>
          </w:p>
        </w:tc>
        <w:tc>
          <w:tcPr>
            <w:tcW w:w="1489" w:type="dxa"/>
            <w:tcBorders>
              <w:left w:val="single" w:sz="6" w:space="0" w:color="auto"/>
              <w:bottom w:val="single" w:sz="18" w:space="0" w:color="auto"/>
              <w:right w:val="single" w:sz="18" w:space="0" w:color="auto"/>
            </w:tcBorders>
          </w:tcPr>
          <w:p w14:paraId="44884C6C"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53.8%</w:t>
            </w:r>
          </w:p>
        </w:tc>
      </w:tr>
      <w:tr w:rsidR="00E523FD" w14:paraId="0575FA60" w14:textId="77777777" w:rsidTr="00DB4EAD">
        <w:trPr>
          <w:trHeight w:hRule="exact" w:val="288"/>
        </w:trPr>
        <w:tc>
          <w:tcPr>
            <w:tcW w:w="2952" w:type="dxa"/>
            <w:tcBorders>
              <w:top w:val="single" w:sz="18" w:space="0" w:color="auto"/>
              <w:right w:val="single" w:sz="18" w:space="0" w:color="auto"/>
            </w:tcBorders>
          </w:tcPr>
          <w:p w14:paraId="64FAF3A0" w14:textId="77777777" w:rsidR="00E523FD" w:rsidRDefault="00E523FD" w:rsidP="00123BE5">
            <w:pPr>
              <w:keepNext/>
              <w:keepLines/>
              <w:spacing w:line="480" w:lineRule="auto"/>
              <w:rPr>
                <w:rFonts w:ascii="Times New Roman" w:hAnsi="Times New Roman" w:cs="Times New Roman"/>
                <w:b/>
              </w:rPr>
            </w:pPr>
            <w:r>
              <w:rPr>
                <w:rFonts w:ascii="Times New Roman" w:hAnsi="Times New Roman" w:cs="Times New Roman"/>
                <w:b/>
              </w:rPr>
              <w:t>Total Cases</w:t>
            </w:r>
          </w:p>
        </w:tc>
        <w:tc>
          <w:tcPr>
            <w:tcW w:w="1418" w:type="dxa"/>
            <w:tcBorders>
              <w:top w:val="single" w:sz="18" w:space="0" w:color="auto"/>
              <w:left w:val="single" w:sz="18" w:space="0" w:color="auto"/>
              <w:right w:val="single" w:sz="6" w:space="0" w:color="auto"/>
            </w:tcBorders>
          </w:tcPr>
          <w:p w14:paraId="0A614022"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17</w:t>
            </w:r>
          </w:p>
        </w:tc>
        <w:tc>
          <w:tcPr>
            <w:tcW w:w="1534" w:type="dxa"/>
            <w:tcBorders>
              <w:top w:val="single" w:sz="18" w:space="0" w:color="auto"/>
              <w:left w:val="single" w:sz="6" w:space="0" w:color="auto"/>
              <w:right w:val="single" w:sz="18" w:space="0" w:color="auto"/>
            </w:tcBorders>
          </w:tcPr>
          <w:p w14:paraId="4FE60742" w14:textId="77777777" w:rsidR="00E523FD" w:rsidRDefault="00E523FD" w:rsidP="00123BE5">
            <w:pPr>
              <w:keepNext/>
              <w:keepLines/>
              <w:spacing w:line="480" w:lineRule="auto"/>
              <w:jc w:val="right"/>
              <w:rPr>
                <w:rFonts w:ascii="Times New Roman" w:hAnsi="Times New Roman" w:cs="Times New Roman"/>
                <w:b/>
              </w:rPr>
            </w:pPr>
          </w:p>
        </w:tc>
        <w:tc>
          <w:tcPr>
            <w:tcW w:w="1463" w:type="dxa"/>
            <w:tcBorders>
              <w:top w:val="single" w:sz="18" w:space="0" w:color="auto"/>
              <w:left w:val="single" w:sz="18" w:space="0" w:color="auto"/>
              <w:right w:val="single" w:sz="6" w:space="0" w:color="auto"/>
            </w:tcBorders>
          </w:tcPr>
          <w:p w14:paraId="46B13D94" w14:textId="77777777" w:rsidR="00E523FD" w:rsidRDefault="00E523FD" w:rsidP="00123BE5">
            <w:pPr>
              <w:keepNext/>
              <w:keepLines/>
              <w:spacing w:line="480" w:lineRule="auto"/>
              <w:jc w:val="right"/>
              <w:rPr>
                <w:rFonts w:ascii="Times New Roman" w:hAnsi="Times New Roman" w:cs="Times New Roman"/>
                <w:b/>
              </w:rPr>
            </w:pPr>
            <w:r>
              <w:rPr>
                <w:rFonts w:ascii="Times New Roman" w:hAnsi="Times New Roman" w:cs="Times New Roman"/>
                <w:b/>
              </w:rPr>
              <w:t>13</w:t>
            </w:r>
          </w:p>
        </w:tc>
        <w:tc>
          <w:tcPr>
            <w:tcW w:w="1489" w:type="dxa"/>
            <w:tcBorders>
              <w:top w:val="single" w:sz="18" w:space="0" w:color="auto"/>
              <w:left w:val="single" w:sz="6" w:space="0" w:color="auto"/>
              <w:right w:val="single" w:sz="18" w:space="0" w:color="auto"/>
            </w:tcBorders>
          </w:tcPr>
          <w:p w14:paraId="18941F00" w14:textId="77777777" w:rsidR="00E523FD" w:rsidRDefault="00E523FD" w:rsidP="00123BE5">
            <w:pPr>
              <w:keepNext/>
              <w:keepLines/>
              <w:spacing w:line="480" w:lineRule="auto"/>
              <w:jc w:val="right"/>
              <w:rPr>
                <w:rFonts w:ascii="Times New Roman" w:hAnsi="Times New Roman" w:cs="Times New Roman"/>
                <w:b/>
              </w:rPr>
            </w:pPr>
          </w:p>
        </w:tc>
      </w:tr>
    </w:tbl>
    <w:p w14:paraId="1A12F145" w14:textId="77777777" w:rsidR="00E523FD" w:rsidRDefault="00E523FD" w:rsidP="00E523FD">
      <w:pPr>
        <w:spacing w:line="480" w:lineRule="auto"/>
        <w:ind w:firstLine="720"/>
        <w:rPr>
          <w:rFonts w:ascii="Times New Roman" w:hAnsi="Times New Roman" w:cs="Times New Roman"/>
        </w:rPr>
      </w:pPr>
    </w:p>
    <w:p w14:paraId="63BEA6FA" w14:textId="243BFEC3" w:rsidR="00E523FD" w:rsidRPr="005B48AA" w:rsidRDefault="00E523FD" w:rsidP="00E523FD">
      <w:pPr>
        <w:spacing w:line="480" w:lineRule="auto"/>
        <w:ind w:firstLine="720"/>
        <w:rPr>
          <w:rFonts w:ascii="Times New Roman" w:hAnsi="Times New Roman" w:cs="Times New Roman"/>
          <w:b/>
        </w:rPr>
      </w:pPr>
      <w:r>
        <w:rPr>
          <w:rFonts w:ascii="Times New Roman" w:hAnsi="Times New Roman" w:cs="Times New Roman"/>
        </w:rPr>
        <w:t>We also looked at the time it took debtors to obtain confirmation once they had proposed a plan. The median time from first-plan proposal to confirmation ranged from more than seven months in 2010 to more than five months in 2013. In small business cases, § 1129(e) requires the bankruptcy court to confirm a plan “not later than 45 days after the plan is filed.”</w:t>
      </w:r>
      <w:r>
        <w:rPr>
          <w:rStyle w:val="FootnoteReference"/>
          <w:rFonts w:ascii="Times New Roman" w:hAnsi="Times New Roman" w:cs="Times New Roman"/>
        </w:rPr>
        <w:footnoteReference w:id="309"/>
      </w:r>
      <w:r>
        <w:rPr>
          <w:rFonts w:ascii="Times New Roman" w:hAnsi="Times New Roman" w:cs="Times New Roman"/>
        </w:rPr>
        <w:t xml:space="preserve"> None of the small business debtors who </w:t>
      </w:r>
      <w:r w:rsidR="00D5123F">
        <w:rPr>
          <w:rFonts w:ascii="Times New Roman" w:hAnsi="Times New Roman" w:cs="Times New Roman"/>
        </w:rPr>
        <w:t xml:space="preserve">obtained confirmation </w:t>
      </w:r>
      <w:r w:rsidR="00123BE5">
        <w:rPr>
          <w:rFonts w:ascii="Times New Roman" w:hAnsi="Times New Roman" w:cs="Times New Roman"/>
        </w:rPr>
        <w:t>met this forty-five</w:t>
      </w:r>
      <w:r>
        <w:rPr>
          <w:rFonts w:ascii="Times New Roman" w:hAnsi="Times New Roman" w:cs="Times New Roman"/>
        </w:rPr>
        <w:t>-day requirement.</w:t>
      </w:r>
      <w:r>
        <w:rPr>
          <w:rStyle w:val="FootnoteReference"/>
          <w:rFonts w:ascii="Times New Roman" w:hAnsi="Times New Roman" w:cs="Times New Roman"/>
        </w:rPr>
        <w:footnoteReference w:id="310"/>
      </w:r>
      <w:r>
        <w:rPr>
          <w:rFonts w:ascii="Times New Roman" w:hAnsi="Times New Roman" w:cs="Times New Roman"/>
        </w:rPr>
        <w:t xml:space="preserve"> In fact, not a single debtor in 2010 or 2013, regardless of his or her small business designation, </w:t>
      </w:r>
      <w:r w:rsidR="00D5123F">
        <w:rPr>
          <w:rFonts w:ascii="Times New Roman" w:hAnsi="Times New Roman" w:cs="Times New Roman"/>
        </w:rPr>
        <w:t xml:space="preserve">obtained confirmation of </w:t>
      </w:r>
      <w:r w:rsidR="00123BE5">
        <w:rPr>
          <w:rFonts w:ascii="Times New Roman" w:hAnsi="Times New Roman" w:cs="Times New Roman"/>
        </w:rPr>
        <w:t>a plan within forty-five</w:t>
      </w:r>
      <w:r>
        <w:rPr>
          <w:rFonts w:ascii="Times New Roman" w:hAnsi="Times New Roman" w:cs="Times New Roman"/>
        </w:rPr>
        <w:t xml:space="preserve"> days of having first proposed </w:t>
      </w:r>
      <w:r w:rsidR="00D5123F">
        <w:rPr>
          <w:rFonts w:ascii="Times New Roman" w:hAnsi="Times New Roman" w:cs="Times New Roman"/>
        </w:rPr>
        <w:t>it</w:t>
      </w:r>
      <w:r>
        <w:rPr>
          <w:rFonts w:ascii="Times New Roman" w:hAnsi="Times New Roman" w:cs="Times New Roman"/>
        </w:rPr>
        <w:t>.</w:t>
      </w:r>
      <w:r w:rsidR="00294AC6">
        <w:rPr>
          <w:rStyle w:val="FootnoteReference"/>
          <w:rFonts w:ascii="Times New Roman" w:hAnsi="Times New Roman" w:cs="Times New Roman"/>
        </w:rPr>
        <w:footnoteReference w:id="311"/>
      </w:r>
      <w:r>
        <w:rPr>
          <w:rFonts w:ascii="Times New Roman" w:hAnsi="Times New Roman" w:cs="Times New Roman"/>
        </w:rPr>
        <w:t xml:space="preserve"> </w:t>
      </w:r>
    </w:p>
    <w:p w14:paraId="1AD7ADB5" w14:textId="6CDBAF46" w:rsidR="007E4F0D" w:rsidRDefault="00E523FD" w:rsidP="00E523FD">
      <w:pPr>
        <w:spacing w:line="480" w:lineRule="auto"/>
        <w:rPr>
          <w:rFonts w:ascii="Times New Roman" w:hAnsi="Times New Roman" w:cs="Times New Roman"/>
        </w:rPr>
      </w:pPr>
      <w:r w:rsidRPr="002C6306">
        <w:rPr>
          <w:rFonts w:ascii="Times New Roman" w:hAnsi="Times New Roman" w:cs="Times New Roman"/>
        </w:rPr>
        <w:tab/>
      </w:r>
      <w:r w:rsidR="00DB4EAD">
        <w:rPr>
          <w:rFonts w:ascii="Times New Roman" w:hAnsi="Times New Roman" w:cs="Times New Roman"/>
        </w:rPr>
        <w:t>A</w:t>
      </w:r>
      <w:r w:rsidR="007E4F0D">
        <w:rPr>
          <w:rFonts w:ascii="Times New Roman" w:hAnsi="Times New Roman" w:cs="Times New Roman"/>
        </w:rPr>
        <w:t xml:space="preserve">pproximately 65% of the debtors in the random sample did not confirm a plan of reorganization. This low rate of plan confirmation, however, does not mean that chapter 11 is </w:t>
      </w:r>
      <w:r w:rsidR="00D5123F">
        <w:rPr>
          <w:rFonts w:ascii="Times New Roman" w:hAnsi="Times New Roman" w:cs="Times New Roman"/>
        </w:rPr>
        <w:t>un</w:t>
      </w:r>
      <w:r w:rsidR="007E4F0D">
        <w:rPr>
          <w:rFonts w:ascii="Times New Roman" w:hAnsi="Times New Roman" w:cs="Times New Roman"/>
        </w:rPr>
        <w:t>success</w:t>
      </w:r>
      <w:r w:rsidR="00D5123F">
        <w:rPr>
          <w:rFonts w:ascii="Times New Roman" w:hAnsi="Times New Roman" w:cs="Times New Roman"/>
        </w:rPr>
        <w:t>ful</w:t>
      </w:r>
      <w:r w:rsidR="007E4F0D">
        <w:rPr>
          <w:rFonts w:ascii="Times New Roman" w:hAnsi="Times New Roman" w:cs="Times New Roman"/>
        </w:rPr>
        <w:t>. One goal of a successful bankruptcy system is to identify early on those cases with “no reasonable prospect of rehabilitation” in order to “reduce the amount of time they consume in Chapter 11.”</w:t>
      </w:r>
      <w:r w:rsidR="007E4F0D">
        <w:rPr>
          <w:rStyle w:val="FootnoteReference"/>
          <w:rFonts w:ascii="Times New Roman" w:hAnsi="Times New Roman" w:cs="Times New Roman"/>
        </w:rPr>
        <w:footnoteReference w:id="312"/>
      </w:r>
      <w:r w:rsidR="007E4F0D">
        <w:rPr>
          <w:rFonts w:ascii="Times New Roman" w:hAnsi="Times New Roman" w:cs="Times New Roman"/>
        </w:rPr>
        <w:t xml:space="preserve"> </w:t>
      </w:r>
    </w:p>
    <w:p w14:paraId="17A26E04" w14:textId="22BFE46A" w:rsidR="007E4F0D" w:rsidRDefault="007E4F0D" w:rsidP="00003007">
      <w:pPr>
        <w:spacing w:line="480" w:lineRule="auto"/>
        <w:ind w:firstLine="720"/>
        <w:rPr>
          <w:rFonts w:ascii="Times New Roman" w:hAnsi="Times New Roman" w:cs="Times New Roman"/>
        </w:rPr>
      </w:pPr>
      <w:r>
        <w:rPr>
          <w:rFonts w:ascii="Times New Roman" w:hAnsi="Times New Roman" w:cs="Times New Roman"/>
        </w:rPr>
        <w:t xml:space="preserve">In </w:t>
      </w:r>
      <w:r w:rsidR="00E523FD">
        <w:rPr>
          <w:rFonts w:ascii="Times New Roman" w:hAnsi="Times New Roman" w:cs="Times New Roman"/>
        </w:rPr>
        <w:t xml:space="preserve">Table </w:t>
      </w:r>
      <w:r w:rsidR="00DB4EAD">
        <w:rPr>
          <w:rFonts w:ascii="Times New Roman" w:hAnsi="Times New Roman" w:cs="Times New Roman"/>
        </w:rPr>
        <w:t>57</w:t>
      </w:r>
      <w:r>
        <w:rPr>
          <w:rFonts w:ascii="Times New Roman" w:hAnsi="Times New Roman" w:cs="Times New Roman"/>
        </w:rPr>
        <w:t>, we provide data on the</w:t>
      </w:r>
      <w:r w:rsidR="00E523FD">
        <w:rPr>
          <w:rFonts w:ascii="Times New Roman" w:hAnsi="Times New Roman" w:cs="Times New Roman"/>
        </w:rPr>
        <w:t xml:space="preserve"> time to conversion or dismissal for</w:t>
      </w:r>
      <w:r w:rsidR="00E523FD" w:rsidRPr="00995C17">
        <w:rPr>
          <w:rFonts w:ascii="Times New Roman" w:hAnsi="Times New Roman" w:cs="Times New Roman"/>
        </w:rPr>
        <w:t xml:space="preserve"> cases that are kicked out of </w:t>
      </w:r>
      <w:r w:rsidR="00E523FD">
        <w:rPr>
          <w:rFonts w:ascii="Times New Roman" w:hAnsi="Times New Roman" w:cs="Times New Roman"/>
        </w:rPr>
        <w:t>chapter</w:t>
      </w:r>
      <w:r w:rsidR="00E523FD" w:rsidRPr="00995C17">
        <w:rPr>
          <w:rFonts w:ascii="Times New Roman" w:hAnsi="Times New Roman" w:cs="Times New Roman"/>
        </w:rPr>
        <w:t xml:space="preserve"> 11</w:t>
      </w:r>
      <w:r w:rsidR="00E523FD">
        <w:rPr>
          <w:rFonts w:ascii="Times New Roman" w:hAnsi="Times New Roman" w:cs="Times New Roman"/>
        </w:rPr>
        <w:t xml:space="preserve">, </w:t>
      </w:r>
      <w:r>
        <w:rPr>
          <w:rFonts w:ascii="Times New Roman" w:hAnsi="Times New Roman" w:cs="Times New Roman"/>
        </w:rPr>
        <w:t xml:space="preserve">using </w:t>
      </w:r>
      <w:r w:rsidR="009C0240">
        <w:rPr>
          <w:rFonts w:ascii="Times New Roman" w:hAnsi="Times New Roman" w:cs="Times New Roman"/>
        </w:rPr>
        <w:t>several different measurements.</w:t>
      </w:r>
      <w:r w:rsidR="00E523FD">
        <w:rPr>
          <w:rFonts w:ascii="Times New Roman" w:hAnsi="Times New Roman" w:cs="Times New Roman"/>
        </w:rPr>
        <w:t xml:space="preserve"> </w:t>
      </w:r>
      <w:r w:rsidR="00123BE5">
        <w:rPr>
          <w:rFonts w:ascii="Times New Roman" w:hAnsi="Times New Roman" w:cs="Times New Roman"/>
        </w:rPr>
        <w:t xml:space="preserve">Since </w:t>
      </w:r>
      <w:r w:rsidR="00E523FD">
        <w:rPr>
          <w:rFonts w:ascii="Times New Roman" w:hAnsi="Times New Roman" w:cs="Times New Roman"/>
        </w:rPr>
        <w:t xml:space="preserve">individual </w:t>
      </w:r>
      <w:r>
        <w:rPr>
          <w:rFonts w:ascii="Times New Roman" w:hAnsi="Times New Roman" w:cs="Times New Roman"/>
        </w:rPr>
        <w:t>debtor</w:t>
      </w:r>
      <w:r w:rsidR="00962897">
        <w:rPr>
          <w:rFonts w:ascii="Times New Roman" w:hAnsi="Times New Roman" w:cs="Times New Roman"/>
        </w:rPr>
        <w:t>s</w:t>
      </w:r>
      <w:r>
        <w:rPr>
          <w:rFonts w:ascii="Times New Roman" w:hAnsi="Times New Roman" w:cs="Times New Roman"/>
        </w:rPr>
        <w:t xml:space="preserve"> </w:t>
      </w:r>
      <w:r w:rsidR="00E523FD">
        <w:rPr>
          <w:rFonts w:ascii="Times New Roman" w:hAnsi="Times New Roman" w:cs="Times New Roman"/>
        </w:rPr>
        <w:t xml:space="preserve">do not </w:t>
      </w:r>
      <w:r w:rsidR="00962897">
        <w:rPr>
          <w:rFonts w:ascii="Times New Roman" w:hAnsi="Times New Roman" w:cs="Times New Roman"/>
        </w:rPr>
        <w:t xml:space="preserve">generally </w:t>
      </w:r>
      <w:r w:rsidR="00E523FD">
        <w:rPr>
          <w:rFonts w:ascii="Times New Roman" w:hAnsi="Times New Roman" w:cs="Times New Roman"/>
        </w:rPr>
        <w:t>receive a chapter 11 discharge until plan payments are completed</w:t>
      </w:r>
      <w:r w:rsidR="00123BE5">
        <w:rPr>
          <w:rFonts w:ascii="Times New Roman" w:hAnsi="Times New Roman" w:cs="Times New Roman"/>
        </w:rPr>
        <w:t>,</w:t>
      </w:r>
      <w:r w:rsidR="00E523FD">
        <w:rPr>
          <w:rStyle w:val="FootnoteReference"/>
          <w:rFonts w:ascii="Times New Roman" w:hAnsi="Times New Roman" w:cs="Times New Roman"/>
        </w:rPr>
        <w:footnoteReference w:id="313"/>
      </w:r>
      <w:r w:rsidR="00E523FD">
        <w:rPr>
          <w:rFonts w:ascii="Times New Roman" w:hAnsi="Times New Roman" w:cs="Times New Roman"/>
        </w:rPr>
        <w:t xml:space="preserve"> </w:t>
      </w:r>
      <w:r>
        <w:rPr>
          <w:rFonts w:ascii="Times New Roman" w:hAnsi="Times New Roman" w:cs="Times New Roman"/>
        </w:rPr>
        <w:t xml:space="preserve">a bankruptcy court may dismiss or convert the case </w:t>
      </w:r>
      <w:r w:rsidR="00E523FD">
        <w:rPr>
          <w:rFonts w:ascii="Times New Roman" w:hAnsi="Times New Roman" w:cs="Times New Roman"/>
        </w:rPr>
        <w:t>after plan approval.</w:t>
      </w:r>
      <w:r w:rsidR="00E523FD">
        <w:rPr>
          <w:rStyle w:val="FootnoteReference"/>
          <w:rFonts w:ascii="Times New Roman" w:hAnsi="Times New Roman" w:cs="Times New Roman"/>
        </w:rPr>
        <w:footnoteReference w:id="314"/>
      </w:r>
      <w:r w:rsidR="009C0240">
        <w:rPr>
          <w:rFonts w:ascii="Times New Roman" w:hAnsi="Times New Roman" w:cs="Times New Roman"/>
        </w:rPr>
        <w:t xml:space="preserve"> </w:t>
      </w:r>
      <w:r w:rsidR="00E523FD">
        <w:rPr>
          <w:rFonts w:ascii="Times New Roman" w:hAnsi="Times New Roman" w:cs="Times New Roman"/>
        </w:rPr>
        <w:t xml:space="preserve">In Columns (A) and (B), we do not include cases in which the bankruptcy court initially confirmed a chapter 11 plan but subsequently ordered conversion or dismissal of the case. Column (A) runs the time to conversion or dismissal from the start of the chapter 11 case. Some of the individual chapter 11 cases in our </w:t>
      </w:r>
      <w:r w:rsidR="006C68D6">
        <w:rPr>
          <w:rFonts w:ascii="Times New Roman" w:hAnsi="Times New Roman" w:cs="Times New Roman"/>
        </w:rPr>
        <w:t xml:space="preserve">random </w:t>
      </w:r>
      <w:r w:rsidR="00E523FD">
        <w:rPr>
          <w:rFonts w:ascii="Times New Roman" w:hAnsi="Times New Roman" w:cs="Times New Roman"/>
        </w:rPr>
        <w:t xml:space="preserve">sample, however, began in chapter 7 or chapter 13; therefore, the data in Column (B) </w:t>
      </w:r>
      <w:r>
        <w:rPr>
          <w:rFonts w:ascii="Times New Roman" w:hAnsi="Times New Roman" w:cs="Times New Roman"/>
        </w:rPr>
        <w:t>are</w:t>
      </w:r>
      <w:r w:rsidR="00E523FD">
        <w:rPr>
          <w:rFonts w:ascii="Times New Roman" w:hAnsi="Times New Roman" w:cs="Times New Roman"/>
        </w:rPr>
        <w:t xml:space="preserve"> based on the time from the start of the bankruptcy case, regardless of starting chapter, to the conversion or dismissal order. </w:t>
      </w:r>
    </w:p>
    <w:p w14:paraId="2418A687" w14:textId="19D30C28" w:rsidR="00E523FD" w:rsidRDefault="00E523FD" w:rsidP="00A82B81">
      <w:pPr>
        <w:spacing w:line="480" w:lineRule="auto"/>
        <w:ind w:firstLine="720"/>
        <w:rPr>
          <w:rFonts w:ascii="Times New Roman" w:hAnsi="Times New Roman" w:cs="Times New Roman"/>
        </w:rPr>
      </w:pPr>
      <w:r>
        <w:rPr>
          <w:rFonts w:ascii="Times New Roman" w:hAnsi="Times New Roman" w:cs="Times New Roman"/>
        </w:rPr>
        <w:t xml:space="preserve">Columns (C) and (D) </w:t>
      </w:r>
      <w:r w:rsidR="007E4F0D">
        <w:rPr>
          <w:rFonts w:ascii="Times New Roman" w:hAnsi="Times New Roman" w:cs="Times New Roman"/>
        </w:rPr>
        <w:t xml:space="preserve">of Table </w:t>
      </w:r>
      <w:r w:rsidR="00DB4EAD">
        <w:rPr>
          <w:rFonts w:ascii="Times New Roman" w:hAnsi="Times New Roman" w:cs="Times New Roman"/>
        </w:rPr>
        <w:t>57</w:t>
      </w:r>
      <w:r w:rsidR="00D5123F">
        <w:rPr>
          <w:rFonts w:ascii="Times New Roman" w:hAnsi="Times New Roman" w:cs="Times New Roman"/>
        </w:rPr>
        <w:t xml:space="preserve"> </w:t>
      </w:r>
      <w:r>
        <w:rPr>
          <w:rFonts w:ascii="Times New Roman" w:hAnsi="Times New Roman" w:cs="Times New Roman"/>
        </w:rPr>
        <w:t xml:space="preserve">include cases with failed plans—that is, those cases, as of the date of our coding, in which the bankruptcy court converted or dismissed the case after plan confirmation. </w:t>
      </w:r>
      <w:r w:rsidR="006C68D6">
        <w:rPr>
          <w:rFonts w:ascii="Times New Roman" w:hAnsi="Times New Roman" w:cs="Times New Roman"/>
        </w:rPr>
        <w:t>Six</w:t>
      </w:r>
      <w:r w:rsidR="007E4F0D">
        <w:rPr>
          <w:rFonts w:ascii="Times New Roman" w:hAnsi="Times New Roman" w:cs="Times New Roman"/>
        </w:rPr>
        <w:t xml:space="preserve"> plans failed post-confirmation and, thus, those cases are included in the figures in Columns (C) and (D) of Table </w:t>
      </w:r>
      <w:r w:rsidR="00DB4EAD">
        <w:rPr>
          <w:rFonts w:ascii="Times New Roman" w:hAnsi="Times New Roman" w:cs="Times New Roman"/>
        </w:rPr>
        <w:t>57</w:t>
      </w:r>
      <w:r w:rsidR="007E4F0D">
        <w:rPr>
          <w:rFonts w:ascii="Times New Roman" w:hAnsi="Times New Roman" w:cs="Times New Roman"/>
        </w:rPr>
        <w:t xml:space="preserve">. </w:t>
      </w:r>
      <w:r>
        <w:rPr>
          <w:rFonts w:ascii="Times New Roman" w:hAnsi="Times New Roman" w:cs="Times New Roman"/>
        </w:rPr>
        <w:t xml:space="preserve">In Column (C), we observe the time to conversion or dismissal from the start of the chapter 11 case, while the data in Column (D) </w:t>
      </w:r>
      <w:r w:rsidR="007E4F0D">
        <w:rPr>
          <w:rFonts w:ascii="Times New Roman" w:hAnsi="Times New Roman" w:cs="Times New Roman"/>
        </w:rPr>
        <w:t>are</w:t>
      </w:r>
      <w:r>
        <w:rPr>
          <w:rFonts w:ascii="Times New Roman" w:hAnsi="Times New Roman" w:cs="Times New Roman"/>
        </w:rPr>
        <w:t xml:space="preserve"> based on the time from the start of the bankruptcy case, regardless of starting chapter.</w:t>
      </w:r>
    </w:p>
    <w:p w14:paraId="60B95D7C" w14:textId="1F44A820" w:rsidR="00E523FD" w:rsidRDefault="00E523FD" w:rsidP="00123BE5">
      <w:pPr>
        <w:keepNext/>
        <w:keepLines/>
        <w:spacing w:line="480" w:lineRule="auto"/>
        <w:ind w:firstLine="360"/>
        <w:jc w:val="center"/>
        <w:rPr>
          <w:rFonts w:ascii="Times New Roman" w:hAnsi="Times New Roman" w:cs="Times New Roman"/>
          <w:b/>
        </w:rPr>
      </w:pPr>
      <w:r>
        <w:rPr>
          <w:rFonts w:ascii="Times New Roman" w:hAnsi="Times New Roman" w:cs="Times New Roman"/>
          <w:b/>
        </w:rPr>
        <w:t>Table</w:t>
      </w:r>
      <w:r w:rsidR="00DB4EAD">
        <w:rPr>
          <w:rFonts w:ascii="Times New Roman" w:hAnsi="Times New Roman" w:cs="Times New Roman"/>
          <w:b/>
        </w:rPr>
        <w:t xml:space="preserve"> 57</w:t>
      </w:r>
      <w:r>
        <w:rPr>
          <w:rFonts w:ascii="Times New Roman" w:hAnsi="Times New Roman" w:cs="Times New Roman"/>
          <w:b/>
        </w:rPr>
        <w:t>: Time in Days to Conversion or Dismissal</w:t>
      </w:r>
      <w:r w:rsidR="00D5123F">
        <w:rPr>
          <w:rFonts w:ascii="Times New Roman" w:hAnsi="Times New Roman" w:cs="Times New Roman"/>
          <w:b/>
        </w:rPr>
        <w:t>—</w:t>
      </w:r>
      <w:r w:rsidR="00BB0158">
        <w:rPr>
          <w:rFonts w:ascii="Times New Roman" w:hAnsi="Times New Roman" w:cs="Times New Roman"/>
          <w:b/>
        </w:rPr>
        <w:t>Random Sample</w:t>
      </w:r>
    </w:p>
    <w:tbl>
      <w:tblPr>
        <w:tblStyle w:val="TableGrid"/>
        <w:tblW w:w="8928" w:type="dxa"/>
        <w:tblLayout w:type="fixed"/>
        <w:tblLook w:val="04A0" w:firstRow="1" w:lastRow="0" w:firstColumn="1" w:lastColumn="0" w:noHBand="0" w:noVBand="1"/>
      </w:tblPr>
      <w:tblGrid>
        <w:gridCol w:w="1548"/>
        <w:gridCol w:w="990"/>
        <w:gridCol w:w="900"/>
        <w:gridCol w:w="990"/>
        <w:gridCol w:w="900"/>
        <w:gridCol w:w="900"/>
        <w:gridCol w:w="900"/>
        <w:gridCol w:w="900"/>
        <w:gridCol w:w="900"/>
      </w:tblGrid>
      <w:tr w:rsidR="00E523FD" w14:paraId="4E7A64A3" w14:textId="77777777" w:rsidTr="00DB4EAD">
        <w:tc>
          <w:tcPr>
            <w:tcW w:w="1548" w:type="dxa"/>
            <w:vMerge w:val="restart"/>
            <w:tcBorders>
              <w:top w:val="nil"/>
              <w:left w:val="nil"/>
              <w:right w:val="single" w:sz="12" w:space="0" w:color="auto"/>
            </w:tcBorders>
          </w:tcPr>
          <w:p w14:paraId="42445316" w14:textId="77777777" w:rsidR="00E523FD" w:rsidRDefault="00E523FD" w:rsidP="00123BE5">
            <w:pPr>
              <w:keepNext/>
              <w:keepLines/>
              <w:rPr>
                <w:rFonts w:ascii="Times New Roman" w:hAnsi="Times New Roman" w:cs="Times New Roman"/>
                <w:b/>
                <w:sz w:val="18"/>
                <w:szCs w:val="18"/>
              </w:rPr>
            </w:pPr>
          </w:p>
        </w:tc>
        <w:tc>
          <w:tcPr>
            <w:tcW w:w="3780" w:type="dxa"/>
            <w:gridSpan w:val="4"/>
            <w:tcBorders>
              <w:top w:val="single" w:sz="18" w:space="0" w:color="auto"/>
              <w:left w:val="single" w:sz="12" w:space="0" w:color="auto"/>
              <w:bottom w:val="single" w:sz="12" w:space="0" w:color="auto"/>
              <w:right w:val="thinThickMediumGap" w:sz="18" w:space="0" w:color="auto"/>
            </w:tcBorders>
          </w:tcPr>
          <w:p w14:paraId="52344231" w14:textId="77777777" w:rsidR="00E523FD" w:rsidRPr="00D06114" w:rsidRDefault="00E523FD" w:rsidP="00123BE5">
            <w:pPr>
              <w:keepNext/>
              <w:keepLines/>
              <w:jc w:val="center"/>
              <w:rPr>
                <w:rFonts w:ascii="Times New Roman" w:hAnsi="Times New Roman" w:cs="Times New Roman"/>
                <w:b/>
                <w:sz w:val="22"/>
                <w:szCs w:val="22"/>
              </w:rPr>
            </w:pPr>
            <w:r>
              <w:rPr>
                <w:rFonts w:ascii="Times New Roman" w:hAnsi="Times New Roman" w:cs="Times New Roman"/>
                <w:b/>
                <w:sz w:val="22"/>
                <w:szCs w:val="22"/>
              </w:rPr>
              <w:t>Failed Plans Not Included</w:t>
            </w:r>
          </w:p>
        </w:tc>
        <w:tc>
          <w:tcPr>
            <w:tcW w:w="3600" w:type="dxa"/>
            <w:gridSpan w:val="4"/>
            <w:tcBorders>
              <w:top w:val="single" w:sz="18" w:space="0" w:color="auto"/>
              <w:left w:val="thinThickMediumGap" w:sz="18" w:space="0" w:color="auto"/>
              <w:bottom w:val="single" w:sz="12" w:space="0" w:color="auto"/>
              <w:right w:val="single" w:sz="18" w:space="0" w:color="auto"/>
            </w:tcBorders>
          </w:tcPr>
          <w:p w14:paraId="39DC2B6A" w14:textId="454649C7" w:rsidR="00E523FD" w:rsidRDefault="007E4F0D" w:rsidP="00123BE5">
            <w:pPr>
              <w:keepNext/>
              <w:keepLines/>
              <w:jc w:val="center"/>
              <w:rPr>
                <w:rFonts w:ascii="Times New Roman" w:hAnsi="Times New Roman" w:cs="Times New Roman"/>
                <w:b/>
                <w:sz w:val="22"/>
                <w:szCs w:val="22"/>
              </w:rPr>
            </w:pPr>
            <w:r>
              <w:rPr>
                <w:rFonts w:ascii="Times New Roman" w:hAnsi="Times New Roman" w:cs="Times New Roman"/>
                <w:b/>
                <w:sz w:val="22"/>
                <w:szCs w:val="22"/>
              </w:rPr>
              <w:t>All Cases</w:t>
            </w:r>
          </w:p>
        </w:tc>
      </w:tr>
      <w:tr w:rsidR="00E523FD" w14:paraId="0A3F5A1B" w14:textId="77777777" w:rsidTr="00DB4EAD">
        <w:tc>
          <w:tcPr>
            <w:tcW w:w="1548" w:type="dxa"/>
            <w:vMerge/>
            <w:tcBorders>
              <w:left w:val="nil"/>
              <w:right w:val="single" w:sz="12" w:space="0" w:color="auto"/>
            </w:tcBorders>
          </w:tcPr>
          <w:p w14:paraId="4873A6F8" w14:textId="77777777" w:rsidR="00E523FD" w:rsidRDefault="00E523FD" w:rsidP="00123BE5">
            <w:pPr>
              <w:keepNext/>
              <w:keepLines/>
              <w:rPr>
                <w:rFonts w:ascii="Times New Roman" w:hAnsi="Times New Roman" w:cs="Times New Roman"/>
                <w:b/>
                <w:sz w:val="18"/>
                <w:szCs w:val="18"/>
              </w:rPr>
            </w:pPr>
          </w:p>
        </w:tc>
        <w:tc>
          <w:tcPr>
            <w:tcW w:w="1890" w:type="dxa"/>
            <w:gridSpan w:val="2"/>
            <w:tcBorders>
              <w:left w:val="single" w:sz="12" w:space="0" w:color="auto"/>
              <w:bottom w:val="single" w:sz="12" w:space="0" w:color="auto"/>
            </w:tcBorders>
          </w:tcPr>
          <w:p w14:paraId="17D94533" w14:textId="77777777" w:rsidR="00E523FD" w:rsidRPr="00D06114" w:rsidRDefault="00E523FD" w:rsidP="00123BE5">
            <w:pPr>
              <w:pStyle w:val="ListParagraph"/>
              <w:keepNext/>
              <w:keepLines/>
              <w:numPr>
                <w:ilvl w:val="0"/>
                <w:numId w:val="10"/>
              </w:numPr>
              <w:jc w:val="center"/>
              <w:rPr>
                <w:rFonts w:ascii="Times New Roman" w:hAnsi="Times New Roman" w:cs="Times New Roman"/>
                <w:b/>
                <w:sz w:val="22"/>
                <w:szCs w:val="22"/>
              </w:rPr>
            </w:pPr>
          </w:p>
          <w:p w14:paraId="0540657C" w14:textId="77777777" w:rsidR="00E523FD" w:rsidRPr="00D06114" w:rsidRDefault="00E523FD" w:rsidP="00123BE5">
            <w:pPr>
              <w:keepNext/>
              <w:keepLines/>
              <w:jc w:val="center"/>
              <w:rPr>
                <w:rFonts w:ascii="Times New Roman" w:hAnsi="Times New Roman" w:cs="Times New Roman"/>
                <w:b/>
                <w:sz w:val="22"/>
                <w:szCs w:val="22"/>
              </w:rPr>
            </w:pPr>
            <w:r>
              <w:rPr>
                <w:rFonts w:ascii="Times New Roman" w:hAnsi="Times New Roman" w:cs="Times New Roman"/>
                <w:b/>
                <w:sz w:val="22"/>
                <w:szCs w:val="22"/>
              </w:rPr>
              <w:t xml:space="preserve">From </w:t>
            </w:r>
            <w:r w:rsidRPr="00D06114">
              <w:rPr>
                <w:rFonts w:ascii="Times New Roman" w:hAnsi="Times New Roman" w:cs="Times New Roman"/>
                <w:b/>
                <w:sz w:val="22"/>
                <w:szCs w:val="22"/>
              </w:rPr>
              <w:t>Start of Chapter 11 Case</w:t>
            </w:r>
          </w:p>
        </w:tc>
        <w:tc>
          <w:tcPr>
            <w:tcW w:w="1890" w:type="dxa"/>
            <w:gridSpan w:val="2"/>
            <w:tcBorders>
              <w:left w:val="single" w:sz="12" w:space="0" w:color="auto"/>
              <w:bottom w:val="single" w:sz="12" w:space="0" w:color="auto"/>
              <w:right w:val="thinThickMediumGap" w:sz="18" w:space="0" w:color="auto"/>
            </w:tcBorders>
          </w:tcPr>
          <w:p w14:paraId="1282031E" w14:textId="77777777" w:rsidR="00E523FD" w:rsidRPr="00D06114" w:rsidRDefault="00E523FD" w:rsidP="00123BE5">
            <w:pPr>
              <w:keepNext/>
              <w:keepLines/>
              <w:jc w:val="center"/>
              <w:rPr>
                <w:rFonts w:ascii="Times New Roman" w:hAnsi="Times New Roman" w:cs="Times New Roman"/>
                <w:b/>
                <w:sz w:val="22"/>
                <w:szCs w:val="22"/>
              </w:rPr>
            </w:pPr>
            <w:r w:rsidRPr="00D06114">
              <w:rPr>
                <w:rFonts w:ascii="Times New Roman" w:hAnsi="Times New Roman" w:cs="Times New Roman"/>
                <w:b/>
                <w:sz w:val="22"/>
                <w:szCs w:val="22"/>
              </w:rPr>
              <w:t>(B)</w:t>
            </w:r>
          </w:p>
          <w:p w14:paraId="20BE4ACD" w14:textId="77777777" w:rsidR="00E523FD" w:rsidRPr="00D06114" w:rsidRDefault="00E523FD" w:rsidP="00123BE5">
            <w:pPr>
              <w:keepNext/>
              <w:keepLines/>
              <w:jc w:val="center"/>
              <w:rPr>
                <w:rFonts w:ascii="Times New Roman" w:hAnsi="Times New Roman" w:cs="Times New Roman"/>
                <w:b/>
                <w:sz w:val="22"/>
                <w:szCs w:val="22"/>
              </w:rPr>
            </w:pPr>
            <w:r>
              <w:rPr>
                <w:rFonts w:ascii="Times New Roman" w:hAnsi="Times New Roman" w:cs="Times New Roman"/>
                <w:b/>
                <w:sz w:val="22"/>
                <w:szCs w:val="22"/>
              </w:rPr>
              <w:t xml:space="preserve">From </w:t>
            </w:r>
            <w:r w:rsidRPr="00D06114">
              <w:rPr>
                <w:rFonts w:ascii="Times New Roman" w:hAnsi="Times New Roman" w:cs="Times New Roman"/>
                <w:b/>
                <w:sz w:val="22"/>
                <w:szCs w:val="22"/>
              </w:rPr>
              <w:t>Filing of Bankruptcy Petition</w:t>
            </w:r>
          </w:p>
        </w:tc>
        <w:tc>
          <w:tcPr>
            <w:tcW w:w="1800" w:type="dxa"/>
            <w:gridSpan w:val="2"/>
            <w:tcBorders>
              <w:left w:val="thinThickMediumGap" w:sz="18" w:space="0" w:color="auto"/>
              <w:bottom w:val="single" w:sz="12" w:space="0" w:color="auto"/>
            </w:tcBorders>
          </w:tcPr>
          <w:p w14:paraId="3F485717" w14:textId="77777777" w:rsidR="00E523FD" w:rsidRDefault="00E523FD" w:rsidP="00123BE5">
            <w:pPr>
              <w:keepNext/>
              <w:keepLines/>
              <w:jc w:val="center"/>
              <w:rPr>
                <w:rFonts w:ascii="Times New Roman" w:hAnsi="Times New Roman" w:cs="Times New Roman"/>
                <w:b/>
                <w:sz w:val="22"/>
                <w:szCs w:val="22"/>
              </w:rPr>
            </w:pPr>
            <w:r>
              <w:rPr>
                <w:rFonts w:ascii="Times New Roman" w:hAnsi="Times New Roman" w:cs="Times New Roman"/>
                <w:b/>
                <w:sz w:val="22"/>
                <w:szCs w:val="22"/>
              </w:rPr>
              <w:t>(C)</w:t>
            </w:r>
          </w:p>
          <w:p w14:paraId="5541E52C" w14:textId="77777777" w:rsidR="00E523FD" w:rsidRPr="00D06114" w:rsidRDefault="00E523FD" w:rsidP="00123BE5">
            <w:pPr>
              <w:keepNext/>
              <w:keepLines/>
              <w:jc w:val="center"/>
              <w:rPr>
                <w:rFonts w:ascii="Times New Roman" w:hAnsi="Times New Roman" w:cs="Times New Roman"/>
                <w:b/>
                <w:sz w:val="22"/>
                <w:szCs w:val="22"/>
              </w:rPr>
            </w:pPr>
            <w:r>
              <w:rPr>
                <w:rFonts w:ascii="Times New Roman" w:hAnsi="Times New Roman" w:cs="Times New Roman"/>
                <w:b/>
                <w:sz w:val="22"/>
                <w:szCs w:val="22"/>
              </w:rPr>
              <w:t>From Start of Chapter 11 Case</w:t>
            </w:r>
          </w:p>
        </w:tc>
        <w:tc>
          <w:tcPr>
            <w:tcW w:w="1800" w:type="dxa"/>
            <w:gridSpan w:val="2"/>
            <w:tcBorders>
              <w:left w:val="single" w:sz="12" w:space="0" w:color="auto"/>
              <w:bottom w:val="single" w:sz="12" w:space="0" w:color="auto"/>
              <w:right w:val="single" w:sz="18" w:space="0" w:color="auto"/>
            </w:tcBorders>
          </w:tcPr>
          <w:p w14:paraId="5C019E54" w14:textId="77777777" w:rsidR="00E523FD" w:rsidRDefault="00E523FD" w:rsidP="00123BE5">
            <w:pPr>
              <w:keepNext/>
              <w:keepLines/>
              <w:jc w:val="center"/>
              <w:rPr>
                <w:rFonts w:ascii="Times New Roman" w:hAnsi="Times New Roman" w:cs="Times New Roman"/>
                <w:b/>
                <w:sz w:val="22"/>
                <w:szCs w:val="22"/>
              </w:rPr>
            </w:pPr>
            <w:r>
              <w:rPr>
                <w:rFonts w:ascii="Times New Roman" w:hAnsi="Times New Roman" w:cs="Times New Roman"/>
                <w:b/>
                <w:sz w:val="22"/>
                <w:szCs w:val="22"/>
              </w:rPr>
              <w:t>(D)</w:t>
            </w:r>
          </w:p>
          <w:p w14:paraId="4523D215" w14:textId="77777777" w:rsidR="00E523FD" w:rsidRPr="00D06114" w:rsidRDefault="00E523FD" w:rsidP="00123BE5">
            <w:pPr>
              <w:keepNext/>
              <w:keepLines/>
              <w:jc w:val="center"/>
              <w:rPr>
                <w:rFonts w:ascii="Times New Roman" w:hAnsi="Times New Roman" w:cs="Times New Roman"/>
                <w:b/>
                <w:sz w:val="22"/>
                <w:szCs w:val="22"/>
              </w:rPr>
            </w:pPr>
            <w:r>
              <w:rPr>
                <w:rFonts w:ascii="Times New Roman" w:hAnsi="Times New Roman" w:cs="Times New Roman"/>
                <w:b/>
                <w:sz w:val="22"/>
                <w:szCs w:val="22"/>
              </w:rPr>
              <w:t>From Filing of Bankruptcy Petition</w:t>
            </w:r>
          </w:p>
        </w:tc>
      </w:tr>
      <w:tr w:rsidR="00E523FD" w14:paraId="091C846C" w14:textId="77777777" w:rsidTr="00DB4EAD">
        <w:tc>
          <w:tcPr>
            <w:tcW w:w="1548" w:type="dxa"/>
            <w:vMerge/>
            <w:tcBorders>
              <w:left w:val="nil"/>
              <w:bottom w:val="single" w:sz="12" w:space="0" w:color="auto"/>
              <w:right w:val="single" w:sz="12" w:space="0" w:color="auto"/>
            </w:tcBorders>
          </w:tcPr>
          <w:p w14:paraId="3B70758E" w14:textId="77777777" w:rsidR="00E523FD" w:rsidRDefault="00E523FD" w:rsidP="00123BE5">
            <w:pPr>
              <w:keepNext/>
              <w:keepLines/>
              <w:rPr>
                <w:rFonts w:ascii="Times New Roman" w:hAnsi="Times New Roman" w:cs="Times New Roman"/>
                <w:b/>
                <w:sz w:val="18"/>
                <w:szCs w:val="18"/>
              </w:rPr>
            </w:pPr>
          </w:p>
        </w:tc>
        <w:tc>
          <w:tcPr>
            <w:tcW w:w="990" w:type="dxa"/>
            <w:tcBorders>
              <w:left w:val="single" w:sz="12" w:space="0" w:color="auto"/>
              <w:bottom w:val="single" w:sz="12" w:space="0" w:color="auto"/>
              <w:right w:val="single" w:sz="12" w:space="0" w:color="auto"/>
            </w:tcBorders>
          </w:tcPr>
          <w:p w14:paraId="645AA7D1" w14:textId="77777777" w:rsidR="00E523FD" w:rsidRPr="00D06114" w:rsidRDefault="00E523FD" w:rsidP="00123BE5">
            <w:pPr>
              <w:keepNext/>
              <w:keepLines/>
              <w:jc w:val="center"/>
              <w:rPr>
                <w:rFonts w:ascii="Times New Roman" w:eastAsiaTheme="majorEastAsia" w:hAnsi="Times New Roman" w:cs="Times New Roman"/>
                <w:b/>
                <w:i/>
                <w:iCs/>
                <w:color w:val="404040" w:themeColor="text1" w:themeTint="BF"/>
                <w:sz w:val="22"/>
                <w:szCs w:val="22"/>
              </w:rPr>
            </w:pPr>
            <w:r w:rsidRPr="00D06114">
              <w:rPr>
                <w:rFonts w:ascii="Times New Roman" w:hAnsi="Times New Roman" w:cs="Times New Roman"/>
                <w:b/>
                <w:sz w:val="22"/>
                <w:szCs w:val="22"/>
              </w:rPr>
              <w:t>2010</w:t>
            </w:r>
          </w:p>
        </w:tc>
        <w:tc>
          <w:tcPr>
            <w:tcW w:w="900" w:type="dxa"/>
            <w:tcBorders>
              <w:left w:val="single" w:sz="12" w:space="0" w:color="auto"/>
              <w:bottom w:val="single" w:sz="12" w:space="0" w:color="auto"/>
            </w:tcBorders>
          </w:tcPr>
          <w:p w14:paraId="04E4F7F6" w14:textId="77777777" w:rsidR="00E523FD" w:rsidRPr="00D06114" w:rsidRDefault="00E523FD" w:rsidP="00123BE5">
            <w:pPr>
              <w:keepNext/>
              <w:keepLines/>
              <w:jc w:val="center"/>
              <w:rPr>
                <w:rFonts w:ascii="Times New Roman" w:eastAsiaTheme="majorEastAsia" w:hAnsi="Times New Roman" w:cs="Times New Roman"/>
                <w:b/>
                <w:i/>
                <w:iCs/>
                <w:color w:val="404040" w:themeColor="text1" w:themeTint="BF"/>
                <w:sz w:val="22"/>
                <w:szCs w:val="22"/>
              </w:rPr>
            </w:pPr>
            <w:r w:rsidRPr="00D06114">
              <w:rPr>
                <w:rFonts w:ascii="Times New Roman" w:hAnsi="Times New Roman" w:cs="Times New Roman"/>
                <w:b/>
                <w:sz w:val="22"/>
                <w:szCs w:val="22"/>
              </w:rPr>
              <w:t>2013</w:t>
            </w:r>
          </w:p>
        </w:tc>
        <w:tc>
          <w:tcPr>
            <w:tcW w:w="990" w:type="dxa"/>
            <w:tcBorders>
              <w:left w:val="single" w:sz="12" w:space="0" w:color="auto"/>
              <w:bottom w:val="single" w:sz="12" w:space="0" w:color="auto"/>
            </w:tcBorders>
          </w:tcPr>
          <w:p w14:paraId="5F095595" w14:textId="77777777" w:rsidR="00E523FD" w:rsidRPr="00D06114" w:rsidRDefault="00E523FD" w:rsidP="00123BE5">
            <w:pPr>
              <w:keepNext/>
              <w:keepLines/>
              <w:jc w:val="center"/>
              <w:rPr>
                <w:rFonts w:ascii="Times New Roman" w:hAnsi="Times New Roman" w:cs="Times New Roman"/>
                <w:b/>
                <w:sz w:val="22"/>
                <w:szCs w:val="22"/>
              </w:rPr>
            </w:pPr>
            <w:r w:rsidRPr="00D06114">
              <w:rPr>
                <w:rFonts w:ascii="Times New Roman" w:hAnsi="Times New Roman" w:cs="Times New Roman"/>
                <w:b/>
                <w:sz w:val="22"/>
                <w:szCs w:val="22"/>
              </w:rPr>
              <w:t>2010</w:t>
            </w:r>
          </w:p>
        </w:tc>
        <w:tc>
          <w:tcPr>
            <w:tcW w:w="900" w:type="dxa"/>
            <w:tcBorders>
              <w:left w:val="single" w:sz="12" w:space="0" w:color="auto"/>
              <w:bottom w:val="single" w:sz="12" w:space="0" w:color="auto"/>
              <w:right w:val="thinThickMediumGap" w:sz="18" w:space="0" w:color="auto"/>
            </w:tcBorders>
          </w:tcPr>
          <w:p w14:paraId="04251E55" w14:textId="77777777" w:rsidR="00E523FD" w:rsidRPr="00D06114" w:rsidRDefault="00E523FD" w:rsidP="00123BE5">
            <w:pPr>
              <w:keepNext/>
              <w:keepLines/>
              <w:jc w:val="center"/>
              <w:rPr>
                <w:rFonts w:ascii="Times New Roman" w:hAnsi="Times New Roman" w:cs="Times New Roman"/>
                <w:b/>
                <w:sz w:val="22"/>
                <w:szCs w:val="22"/>
              </w:rPr>
            </w:pPr>
            <w:r w:rsidRPr="00D06114">
              <w:rPr>
                <w:rFonts w:ascii="Times New Roman" w:hAnsi="Times New Roman" w:cs="Times New Roman"/>
                <w:b/>
                <w:sz w:val="22"/>
                <w:szCs w:val="22"/>
              </w:rPr>
              <w:t>2013</w:t>
            </w:r>
          </w:p>
        </w:tc>
        <w:tc>
          <w:tcPr>
            <w:tcW w:w="900" w:type="dxa"/>
            <w:tcBorders>
              <w:left w:val="thinThickMediumGap" w:sz="18" w:space="0" w:color="auto"/>
              <w:bottom w:val="single" w:sz="12" w:space="0" w:color="auto"/>
            </w:tcBorders>
          </w:tcPr>
          <w:p w14:paraId="1F095742" w14:textId="77777777" w:rsidR="00E523FD" w:rsidRPr="00D06114" w:rsidRDefault="00E523FD" w:rsidP="00123BE5">
            <w:pPr>
              <w:keepNext/>
              <w:keepLines/>
              <w:jc w:val="center"/>
              <w:rPr>
                <w:rFonts w:ascii="Times New Roman" w:hAnsi="Times New Roman" w:cs="Times New Roman"/>
                <w:b/>
                <w:sz w:val="22"/>
                <w:szCs w:val="22"/>
              </w:rPr>
            </w:pPr>
            <w:r w:rsidRPr="00D06114">
              <w:rPr>
                <w:rFonts w:ascii="Times New Roman" w:hAnsi="Times New Roman" w:cs="Times New Roman"/>
                <w:b/>
                <w:sz w:val="22"/>
                <w:szCs w:val="22"/>
              </w:rPr>
              <w:t>2010</w:t>
            </w:r>
          </w:p>
        </w:tc>
        <w:tc>
          <w:tcPr>
            <w:tcW w:w="900" w:type="dxa"/>
            <w:tcBorders>
              <w:left w:val="single" w:sz="12" w:space="0" w:color="auto"/>
              <w:bottom w:val="single" w:sz="12" w:space="0" w:color="auto"/>
            </w:tcBorders>
          </w:tcPr>
          <w:p w14:paraId="4465312E" w14:textId="77777777" w:rsidR="00E523FD" w:rsidRPr="00D06114" w:rsidRDefault="00E523FD" w:rsidP="00123BE5">
            <w:pPr>
              <w:keepNext/>
              <w:keepLines/>
              <w:jc w:val="center"/>
              <w:rPr>
                <w:rFonts w:ascii="Times New Roman" w:hAnsi="Times New Roman" w:cs="Times New Roman"/>
                <w:b/>
                <w:sz w:val="22"/>
                <w:szCs w:val="22"/>
              </w:rPr>
            </w:pPr>
            <w:r w:rsidRPr="00D06114">
              <w:rPr>
                <w:rFonts w:ascii="Times New Roman" w:hAnsi="Times New Roman" w:cs="Times New Roman"/>
                <w:b/>
                <w:sz w:val="22"/>
                <w:szCs w:val="22"/>
              </w:rPr>
              <w:t>2013</w:t>
            </w:r>
          </w:p>
        </w:tc>
        <w:tc>
          <w:tcPr>
            <w:tcW w:w="900" w:type="dxa"/>
            <w:tcBorders>
              <w:left w:val="single" w:sz="12" w:space="0" w:color="auto"/>
              <w:bottom w:val="single" w:sz="12" w:space="0" w:color="auto"/>
            </w:tcBorders>
          </w:tcPr>
          <w:p w14:paraId="791C8002" w14:textId="77777777" w:rsidR="00E523FD" w:rsidRPr="00D06114" w:rsidRDefault="00E523FD" w:rsidP="00123BE5">
            <w:pPr>
              <w:keepNext/>
              <w:keepLines/>
              <w:jc w:val="center"/>
              <w:rPr>
                <w:rFonts w:ascii="Times New Roman" w:hAnsi="Times New Roman" w:cs="Times New Roman"/>
                <w:b/>
                <w:sz w:val="22"/>
                <w:szCs w:val="22"/>
              </w:rPr>
            </w:pPr>
            <w:r w:rsidRPr="00D06114">
              <w:rPr>
                <w:rFonts w:ascii="Times New Roman" w:hAnsi="Times New Roman" w:cs="Times New Roman"/>
                <w:b/>
                <w:sz w:val="22"/>
                <w:szCs w:val="22"/>
              </w:rPr>
              <w:t>2010</w:t>
            </w:r>
          </w:p>
        </w:tc>
        <w:tc>
          <w:tcPr>
            <w:tcW w:w="900" w:type="dxa"/>
            <w:tcBorders>
              <w:left w:val="single" w:sz="12" w:space="0" w:color="auto"/>
              <w:bottom w:val="single" w:sz="12" w:space="0" w:color="auto"/>
              <w:right w:val="single" w:sz="18" w:space="0" w:color="auto"/>
            </w:tcBorders>
          </w:tcPr>
          <w:p w14:paraId="5567C5CF" w14:textId="77777777" w:rsidR="00E523FD" w:rsidRPr="00D06114" w:rsidRDefault="00E523FD" w:rsidP="00123BE5">
            <w:pPr>
              <w:keepNext/>
              <w:keepLines/>
              <w:jc w:val="center"/>
              <w:rPr>
                <w:rFonts w:ascii="Times New Roman" w:hAnsi="Times New Roman" w:cs="Times New Roman"/>
                <w:b/>
                <w:sz w:val="22"/>
                <w:szCs w:val="22"/>
              </w:rPr>
            </w:pPr>
            <w:r w:rsidRPr="00D06114">
              <w:rPr>
                <w:rFonts w:ascii="Times New Roman" w:hAnsi="Times New Roman" w:cs="Times New Roman"/>
                <w:b/>
                <w:sz w:val="22"/>
                <w:szCs w:val="22"/>
              </w:rPr>
              <w:t>2013</w:t>
            </w:r>
          </w:p>
        </w:tc>
      </w:tr>
      <w:tr w:rsidR="00E523FD" w14:paraId="5EA97CDB" w14:textId="77777777" w:rsidTr="00DB4EAD">
        <w:tc>
          <w:tcPr>
            <w:tcW w:w="1548" w:type="dxa"/>
            <w:tcBorders>
              <w:top w:val="single" w:sz="12" w:space="0" w:color="auto"/>
              <w:right w:val="single" w:sz="12" w:space="0" w:color="auto"/>
            </w:tcBorders>
            <w:vAlign w:val="bottom"/>
          </w:tcPr>
          <w:p w14:paraId="2610DE21" w14:textId="77777777" w:rsidR="00E523FD" w:rsidRPr="00D06114" w:rsidRDefault="00E523FD" w:rsidP="00123BE5">
            <w:pPr>
              <w:keepNext/>
              <w:keepLines/>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b/>
                <w:bCs/>
                <w:color w:val="000000"/>
                <w:sz w:val="22"/>
                <w:szCs w:val="22"/>
              </w:rPr>
              <w:t>2 or more years</w:t>
            </w:r>
          </w:p>
        </w:tc>
        <w:tc>
          <w:tcPr>
            <w:tcW w:w="990" w:type="dxa"/>
            <w:tcBorders>
              <w:top w:val="single" w:sz="12" w:space="0" w:color="auto"/>
              <w:left w:val="single" w:sz="12" w:space="0" w:color="auto"/>
              <w:right w:val="single" w:sz="12" w:space="0" w:color="auto"/>
            </w:tcBorders>
          </w:tcPr>
          <w:p w14:paraId="702668FC" w14:textId="77777777" w:rsidR="00E523FD" w:rsidRPr="00D06114" w:rsidRDefault="00E523FD" w:rsidP="00123BE5">
            <w:pPr>
              <w:keepNext/>
              <w:keepLines/>
              <w:jc w:val="right"/>
              <w:rPr>
                <w:rFonts w:ascii="Times New Roman" w:eastAsiaTheme="majorEastAsia" w:hAnsi="Times New Roman" w:cs="Times New Roman"/>
                <w:b/>
                <w:i/>
                <w:iCs/>
                <w:color w:val="404040" w:themeColor="text1" w:themeTint="BF"/>
                <w:sz w:val="22"/>
                <w:szCs w:val="22"/>
              </w:rPr>
            </w:pPr>
            <w:r>
              <w:rPr>
                <w:rFonts w:ascii="Times New Roman" w:eastAsia="Times New Roman" w:hAnsi="Times New Roman" w:cs="Times New Roman"/>
                <w:color w:val="000000"/>
                <w:sz w:val="22"/>
                <w:szCs w:val="22"/>
              </w:rPr>
              <w:t>6</w:t>
            </w:r>
            <w:r w:rsidRPr="00D06114">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4</w:t>
            </w:r>
            <w:r w:rsidRPr="00D06114">
              <w:rPr>
                <w:rFonts w:ascii="Times New Roman" w:eastAsia="Times New Roman" w:hAnsi="Times New Roman" w:cs="Times New Roman"/>
                <w:color w:val="000000"/>
                <w:sz w:val="22"/>
                <w:szCs w:val="22"/>
              </w:rPr>
              <w:t>%</w:t>
            </w:r>
          </w:p>
        </w:tc>
        <w:tc>
          <w:tcPr>
            <w:tcW w:w="900" w:type="dxa"/>
            <w:tcBorders>
              <w:top w:val="single" w:sz="12" w:space="0" w:color="auto"/>
              <w:left w:val="single" w:sz="12" w:space="0" w:color="auto"/>
            </w:tcBorders>
          </w:tcPr>
          <w:p w14:paraId="0C9672F4" w14:textId="0E79F5C6" w:rsidR="00E523FD" w:rsidRPr="00D06114" w:rsidRDefault="00963ECB" w:rsidP="00123BE5">
            <w:pPr>
              <w:keepNext/>
              <w:keepLines/>
              <w:jc w:val="right"/>
              <w:rPr>
                <w:rFonts w:ascii="Times New Roman" w:eastAsiaTheme="majorEastAsia" w:hAnsi="Times New Roman" w:cs="Times New Roman"/>
                <w:b/>
                <w:i/>
                <w:iCs/>
                <w:color w:val="404040" w:themeColor="text1" w:themeTint="BF"/>
                <w:sz w:val="22"/>
                <w:szCs w:val="22"/>
              </w:rPr>
            </w:pPr>
            <w:r>
              <w:rPr>
                <w:rFonts w:ascii="Times New Roman" w:eastAsia="Times New Roman" w:hAnsi="Times New Roman" w:cs="Times New Roman"/>
                <w:color w:val="000000"/>
                <w:sz w:val="22"/>
                <w:szCs w:val="22"/>
              </w:rPr>
              <w:t>4</w:t>
            </w:r>
            <w:r w:rsidR="00E523FD" w:rsidRPr="00D06114">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4</w:t>
            </w:r>
            <w:r w:rsidR="00E523FD" w:rsidRPr="00D06114">
              <w:rPr>
                <w:rFonts w:ascii="Times New Roman" w:eastAsia="Times New Roman" w:hAnsi="Times New Roman" w:cs="Times New Roman"/>
                <w:color w:val="000000"/>
                <w:sz w:val="22"/>
                <w:szCs w:val="22"/>
              </w:rPr>
              <w:t>%</w:t>
            </w:r>
          </w:p>
        </w:tc>
        <w:tc>
          <w:tcPr>
            <w:tcW w:w="990" w:type="dxa"/>
            <w:tcBorders>
              <w:top w:val="single" w:sz="12" w:space="0" w:color="auto"/>
              <w:left w:val="single" w:sz="12" w:space="0" w:color="auto"/>
            </w:tcBorders>
          </w:tcPr>
          <w:p w14:paraId="02C4A13C"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7.3</w:t>
            </w:r>
            <w:r w:rsidRPr="00D06114">
              <w:rPr>
                <w:rFonts w:ascii="Times New Roman" w:eastAsia="Times New Roman" w:hAnsi="Times New Roman" w:cs="Times New Roman"/>
                <w:color w:val="000000"/>
                <w:sz w:val="22"/>
                <w:szCs w:val="22"/>
              </w:rPr>
              <w:t>%</w:t>
            </w:r>
          </w:p>
        </w:tc>
        <w:tc>
          <w:tcPr>
            <w:tcW w:w="900" w:type="dxa"/>
            <w:tcBorders>
              <w:top w:val="single" w:sz="12" w:space="0" w:color="auto"/>
              <w:left w:val="single" w:sz="12" w:space="0" w:color="auto"/>
              <w:right w:val="thinThickMediumGap" w:sz="18" w:space="0" w:color="auto"/>
            </w:tcBorders>
          </w:tcPr>
          <w:p w14:paraId="4C6A1CD0" w14:textId="7842B02C" w:rsidR="00E523FD" w:rsidRPr="00D06114" w:rsidRDefault="00963ECB"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E523FD" w:rsidRPr="00D06114">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4</w:t>
            </w:r>
            <w:r w:rsidR="00E523FD" w:rsidRPr="00D06114">
              <w:rPr>
                <w:rFonts w:ascii="Times New Roman" w:eastAsia="Times New Roman" w:hAnsi="Times New Roman" w:cs="Times New Roman"/>
                <w:color w:val="000000"/>
                <w:sz w:val="22"/>
                <w:szCs w:val="22"/>
              </w:rPr>
              <w:t>%</w:t>
            </w:r>
          </w:p>
        </w:tc>
        <w:tc>
          <w:tcPr>
            <w:tcW w:w="900" w:type="dxa"/>
            <w:tcBorders>
              <w:top w:val="single" w:sz="12" w:space="0" w:color="auto"/>
              <w:left w:val="thinThickMediumGap" w:sz="18" w:space="0" w:color="auto"/>
            </w:tcBorders>
          </w:tcPr>
          <w:p w14:paraId="1DE0433D"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8.3%</w:t>
            </w:r>
          </w:p>
        </w:tc>
        <w:tc>
          <w:tcPr>
            <w:tcW w:w="900" w:type="dxa"/>
            <w:tcBorders>
              <w:top w:val="single" w:sz="12" w:space="0" w:color="auto"/>
              <w:left w:val="single" w:sz="12" w:space="0" w:color="auto"/>
            </w:tcBorders>
          </w:tcPr>
          <w:p w14:paraId="3F804650" w14:textId="501481F2" w:rsidR="00E523FD" w:rsidRPr="00D06114" w:rsidRDefault="00963ECB"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r w:rsidR="00E523FD">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1</w:t>
            </w:r>
            <w:r w:rsidR="00E523FD">
              <w:rPr>
                <w:rFonts w:ascii="Times New Roman" w:eastAsia="Times New Roman" w:hAnsi="Times New Roman" w:cs="Times New Roman"/>
                <w:color w:val="000000"/>
                <w:sz w:val="22"/>
                <w:szCs w:val="22"/>
              </w:rPr>
              <w:t>%</w:t>
            </w:r>
          </w:p>
        </w:tc>
        <w:tc>
          <w:tcPr>
            <w:tcW w:w="900" w:type="dxa"/>
            <w:tcBorders>
              <w:top w:val="single" w:sz="12" w:space="0" w:color="auto"/>
              <w:left w:val="single" w:sz="12" w:space="0" w:color="auto"/>
            </w:tcBorders>
          </w:tcPr>
          <w:p w14:paraId="37164C05"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9.2%</w:t>
            </w:r>
          </w:p>
        </w:tc>
        <w:tc>
          <w:tcPr>
            <w:tcW w:w="900" w:type="dxa"/>
            <w:tcBorders>
              <w:top w:val="single" w:sz="12" w:space="0" w:color="auto"/>
              <w:left w:val="single" w:sz="12" w:space="0" w:color="auto"/>
              <w:right w:val="single" w:sz="18" w:space="0" w:color="auto"/>
            </w:tcBorders>
          </w:tcPr>
          <w:p w14:paraId="6D6F374D" w14:textId="0915AABF" w:rsidR="00E523FD" w:rsidRPr="00D06114" w:rsidRDefault="00963ECB"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r w:rsidR="00E523FD">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1</w:t>
            </w:r>
            <w:r w:rsidR="00E523FD">
              <w:rPr>
                <w:rFonts w:ascii="Times New Roman" w:eastAsia="Times New Roman" w:hAnsi="Times New Roman" w:cs="Times New Roman"/>
                <w:color w:val="000000"/>
                <w:sz w:val="22"/>
                <w:szCs w:val="22"/>
              </w:rPr>
              <w:t>%</w:t>
            </w:r>
          </w:p>
        </w:tc>
      </w:tr>
      <w:tr w:rsidR="00E523FD" w14:paraId="5809099C" w14:textId="77777777" w:rsidTr="00DB4EAD">
        <w:tc>
          <w:tcPr>
            <w:tcW w:w="1548" w:type="dxa"/>
            <w:tcBorders>
              <w:right w:val="single" w:sz="12" w:space="0" w:color="auto"/>
            </w:tcBorders>
            <w:vAlign w:val="bottom"/>
          </w:tcPr>
          <w:p w14:paraId="2727CF60" w14:textId="77777777" w:rsidR="00E523FD" w:rsidRPr="00D06114" w:rsidRDefault="00E523FD" w:rsidP="00123BE5">
            <w:pPr>
              <w:keepNext/>
              <w:keepLines/>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b/>
                <w:bCs/>
                <w:color w:val="000000"/>
                <w:sz w:val="22"/>
                <w:szCs w:val="22"/>
              </w:rPr>
              <w:t>1 to 2 years</w:t>
            </w:r>
          </w:p>
        </w:tc>
        <w:tc>
          <w:tcPr>
            <w:tcW w:w="990" w:type="dxa"/>
            <w:tcBorders>
              <w:left w:val="single" w:sz="12" w:space="0" w:color="auto"/>
              <w:right w:val="single" w:sz="12" w:space="0" w:color="auto"/>
            </w:tcBorders>
          </w:tcPr>
          <w:p w14:paraId="3D4B6C58" w14:textId="77777777" w:rsidR="00E523FD" w:rsidRPr="00D06114" w:rsidRDefault="00E523FD" w:rsidP="00123BE5">
            <w:pPr>
              <w:keepNext/>
              <w:keepLines/>
              <w:jc w:val="right"/>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2.8</w:t>
            </w:r>
            <w:r w:rsidRPr="00D06114">
              <w:rPr>
                <w:rFonts w:ascii="Times New Roman" w:eastAsia="Times New Roman" w:hAnsi="Times New Roman" w:cs="Times New Roman"/>
                <w:color w:val="000000"/>
                <w:sz w:val="22"/>
                <w:szCs w:val="22"/>
              </w:rPr>
              <w:t>%</w:t>
            </w:r>
          </w:p>
        </w:tc>
        <w:tc>
          <w:tcPr>
            <w:tcW w:w="900" w:type="dxa"/>
            <w:tcBorders>
              <w:left w:val="single" w:sz="12" w:space="0" w:color="auto"/>
            </w:tcBorders>
          </w:tcPr>
          <w:p w14:paraId="118836FA" w14:textId="77777777" w:rsidR="00E523FD" w:rsidRPr="00D06114" w:rsidRDefault="00E523FD" w:rsidP="00123BE5">
            <w:pPr>
              <w:keepNext/>
              <w:keepLines/>
              <w:jc w:val="right"/>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color w:val="000000"/>
                <w:sz w:val="22"/>
                <w:szCs w:val="22"/>
              </w:rPr>
              <w:t>11.4%</w:t>
            </w:r>
          </w:p>
        </w:tc>
        <w:tc>
          <w:tcPr>
            <w:tcW w:w="990" w:type="dxa"/>
            <w:tcBorders>
              <w:left w:val="single" w:sz="12" w:space="0" w:color="auto"/>
            </w:tcBorders>
          </w:tcPr>
          <w:p w14:paraId="31B1C17B"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sidRPr="00D06114">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4.7</w:t>
            </w:r>
            <w:r w:rsidRPr="00D06114">
              <w:rPr>
                <w:rFonts w:ascii="Times New Roman" w:eastAsia="Times New Roman" w:hAnsi="Times New Roman" w:cs="Times New Roman"/>
                <w:color w:val="000000"/>
                <w:sz w:val="22"/>
                <w:szCs w:val="22"/>
              </w:rPr>
              <w:t>%</w:t>
            </w:r>
          </w:p>
        </w:tc>
        <w:tc>
          <w:tcPr>
            <w:tcW w:w="900" w:type="dxa"/>
            <w:tcBorders>
              <w:left w:val="single" w:sz="12" w:space="0" w:color="auto"/>
              <w:right w:val="thinThickMediumGap" w:sz="18" w:space="0" w:color="auto"/>
            </w:tcBorders>
          </w:tcPr>
          <w:p w14:paraId="0B58490E"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sidRPr="00D06114">
              <w:rPr>
                <w:rFonts w:ascii="Times New Roman" w:eastAsia="Times New Roman" w:hAnsi="Times New Roman" w:cs="Times New Roman"/>
                <w:color w:val="000000"/>
                <w:sz w:val="22"/>
                <w:szCs w:val="22"/>
              </w:rPr>
              <w:t>12.3%</w:t>
            </w:r>
          </w:p>
        </w:tc>
        <w:tc>
          <w:tcPr>
            <w:tcW w:w="900" w:type="dxa"/>
            <w:tcBorders>
              <w:left w:val="thinThickMediumGap" w:sz="18" w:space="0" w:color="auto"/>
            </w:tcBorders>
          </w:tcPr>
          <w:p w14:paraId="54F7487F"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15.6%</w:t>
            </w:r>
          </w:p>
        </w:tc>
        <w:tc>
          <w:tcPr>
            <w:tcW w:w="900" w:type="dxa"/>
            <w:tcBorders>
              <w:left w:val="single" w:sz="12" w:space="0" w:color="auto"/>
            </w:tcBorders>
          </w:tcPr>
          <w:p w14:paraId="2DA502A2"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12.3%</w:t>
            </w:r>
          </w:p>
        </w:tc>
        <w:tc>
          <w:tcPr>
            <w:tcW w:w="900" w:type="dxa"/>
            <w:tcBorders>
              <w:left w:val="single" w:sz="12" w:space="0" w:color="auto"/>
            </w:tcBorders>
          </w:tcPr>
          <w:p w14:paraId="2E62DA2B"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17.4%</w:t>
            </w:r>
          </w:p>
        </w:tc>
        <w:tc>
          <w:tcPr>
            <w:tcW w:w="900" w:type="dxa"/>
            <w:tcBorders>
              <w:left w:val="single" w:sz="12" w:space="0" w:color="auto"/>
              <w:right w:val="single" w:sz="18" w:space="0" w:color="auto"/>
            </w:tcBorders>
          </w:tcPr>
          <w:p w14:paraId="21586AE1"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13.2%</w:t>
            </w:r>
          </w:p>
        </w:tc>
      </w:tr>
      <w:tr w:rsidR="00E523FD" w14:paraId="1706D702" w14:textId="77777777" w:rsidTr="00DB4EAD">
        <w:tc>
          <w:tcPr>
            <w:tcW w:w="1548" w:type="dxa"/>
            <w:tcBorders>
              <w:right w:val="single" w:sz="12" w:space="0" w:color="auto"/>
            </w:tcBorders>
            <w:vAlign w:val="bottom"/>
          </w:tcPr>
          <w:p w14:paraId="6DC297A3" w14:textId="77777777" w:rsidR="00E523FD" w:rsidRPr="00D06114" w:rsidRDefault="00E523FD" w:rsidP="00123BE5">
            <w:pPr>
              <w:keepNext/>
              <w:keepLines/>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b/>
                <w:bCs/>
                <w:color w:val="000000"/>
                <w:sz w:val="22"/>
                <w:szCs w:val="22"/>
              </w:rPr>
              <w:t>180 days to 1 year</w:t>
            </w:r>
          </w:p>
        </w:tc>
        <w:tc>
          <w:tcPr>
            <w:tcW w:w="990" w:type="dxa"/>
            <w:tcBorders>
              <w:left w:val="single" w:sz="12" w:space="0" w:color="auto"/>
              <w:right w:val="single" w:sz="12" w:space="0" w:color="auto"/>
            </w:tcBorders>
          </w:tcPr>
          <w:p w14:paraId="5D402C9E" w14:textId="77777777" w:rsidR="00E523FD" w:rsidRPr="00D06114" w:rsidRDefault="00E523FD" w:rsidP="00123BE5">
            <w:pPr>
              <w:keepNext/>
              <w:keepLines/>
              <w:jc w:val="right"/>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1.1</w:t>
            </w:r>
            <w:r w:rsidRPr="00D06114">
              <w:rPr>
                <w:rFonts w:ascii="Times New Roman" w:eastAsia="Times New Roman" w:hAnsi="Times New Roman" w:cs="Times New Roman"/>
                <w:color w:val="000000"/>
                <w:sz w:val="22"/>
                <w:szCs w:val="22"/>
              </w:rPr>
              <w:t>%</w:t>
            </w:r>
          </w:p>
        </w:tc>
        <w:tc>
          <w:tcPr>
            <w:tcW w:w="900" w:type="dxa"/>
            <w:tcBorders>
              <w:left w:val="single" w:sz="12" w:space="0" w:color="auto"/>
            </w:tcBorders>
          </w:tcPr>
          <w:p w14:paraId="01FC9287" w14:textId="77777777" w:rsidR="00E523FD" w:rsidRPr="00D06114" w:rsidRDefault="00E523FD" w:rsidP="00123BE5">
            <w:pPr>
              <w:keepNext/>
              <w:keepLines/>
              <w:jc w:val="right"/>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color w:val="000000"/>
                <w:sz w:val="22"/>
                <w:szCs w:val="22"/>
              </w:rPr>
              <w:t>13.</w:t>
            </w:r>
            <w:r>
              <w:rPr>
                <w:rFonts w:ascii="Times New Roman" w:eastAsia="Times New Roman" w:hAnsi="Times New Roman" w:cs="Times New Roman"/>
                <w:color w:val="000000"/>
                <w:sz w:val="22"/>
                <w:szCs w:val="22"/>
              </w:rPr>
              <w:t>2</w:t>
            </w:r>
            <w:r w:rsidRPr="00D06114">
              <w:rPr>
                <w:rFonts w:ascii="Times New Roman" w:eastAsia="Times New Roman" w:hAnsi="Times New Roman" w:cs="Times New Roman"/>
                <w:color w:val="000000"/>
                <w:sz w:val="22"/>
                <w:szCs w:val="22"/>
              </w:rPr>
              <w:t>%</w:t>
            </w:r>
          </w:p>
        </w:tc>
        <w:tc>
          <w:tcPr>
            <w:tcW w:w="990" w:type="dxa"/>
            <w:tcBorders>
              <w:left w:val="single" w:sz="12" w:space="0" w:color="auto"/>
            </w:tcBorders>
          </w:tcPr>
          <w:p w14:paraId="518DF273"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sidRPr="00D06114">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2</w:t>
            </w:r>
            <w:r w:rsidRPr="00D06114">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0</w:t>
            </w:r>
            <w:r w:rsidRPr="00D06114">
              <w:rPr>
                <w:rFonts w:ascii="Times New Roman" w:eastAsia="Times New Roman" w:hAnsi="Times New Roman" w:cs="Times New Roman"/>
                <w:color w:val="000000"/>
                <w:sz w:val="22"/>
                <w:szCs w:val="22"/>
              </w:rPr>
              <w:t>%</w:t>
            </w:r>
          </w:p>
        </w:tc>
        <w:tc>
          <w:tcPr>
            <w:tcW w:w="900" w:type="dxa"/>
            <w:tcBorders>
              <w:left w:val="single" w:sz="12" w:space="0" w:color="auto"/>
              <w:right w:val="thinThickMediumGap" w:sz="18" w:space="0" w:color="auto"/>
            </w:tcBorders>
          </w:tcPr>
          <w:p w14:paraId="4D9B0277"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sidRPr="00D06114">
              <w:rPr>
                <w:rFonts w:ascii="Times New Roman" w:eastAsia="Times New Roman" w:hAnsi="Times New Roman" w:cs="Times New Roman"/>
                <w:color w:val="000000"/>
                <w:sz w:val="22"/>
                <w:szCs w:val="22"/>
              </w:rPr>
              <w:t>14.0%</w:t>
            </w:r>
          </w:p>
        </w:tc>
        <w:tc>
          <w:tcPr>
            <w:tcW w:w="900" w:type="dxa"/>
            <w:tcBorders>
              <w:left w:val="thinThickMediumGap" w:sz="18" w:space="0" w:color="auto"/>
            </w:tcBorders>
          </w:tcPr>
          <w:p w14:paraId="4EBA7429"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21.1%</w:t>
            </w:r>
          </w:p>
        </w:tc>
        <w:tc>
          <w:tcPr>
            <w:tcW w:w="900" w:type="dxa"/>
            <w:tcBorders>
              <w:left w:val="single" w:sz="12" w:space="0" w:color="auto"/>
            </w:tcBorders>
          </w:tcPr>
          <w:p w14:paraId="62071612"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13.2%</w:t>
            </w:r>
          </w:p>
        </w:tc>
        <w:tc>
          <w:tcPr>
            <w:tcW w:w="900" w:type="dxa"/>
            <w:tcBorders>
              <w:left w:val="single" w:sz="12" w:space="0" w:color="auto"/>
            </w:tcBorders>
          </w:tcPr>
          <w:p w14:paraId="44E68DD3"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22.0%</w:t>
            </w:r>
          </w:p>
        </w:tc>
        <w:tc>
          <w:tcPr>
            <w:tcW w:w="900" w:type="dxa"/>
            <w:tcBorders>
              <w:left w:val="single" w:sz="12" w:space="0" w:color="auto"/>
              <w:right w:val="single" w:sz="18" w:space="0" w:color="auto"/>
            </w:tcBorders>
          </w:tcPr>
          <w:p w14:paraId="5BDBB6F6"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14.0%</w:t>
            </w:r>
          </w:p>
        </w:tc>
      </w:tr>
      <w:tr w:rsidR="00E523FD" w14:paraId="3D2A1D1C" w14:textId="77777777" w:rsidTr="00DB4EAD">
        <w:tc>
          <w:tcPr>
            <w:tcW w:w="1548" w:type="dxa"/>
            <w:tcBorders>
              <w:right w:val="single" w:sz="12" w:space="0" w:color="auto"/>
            </w:tcBorders>
            <w:vAlign w:val="bottom"/>
          </w:tcPr>
          <w:p w14:paraId="7C7320D2" w14:textId="77777777" w:rsidR="00E523FD" w:rsidRPr="00D06114" w:rsidRDefault="00E523FD" w:rsidP="00123BE5">
            <w:pPr>
              <w:keepNext/>
              <w:keepLines/>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b/>
                <w:bCs/>
                <w:color w:val="000000"/>
                <w:sz w:val="22"/>
                <w:szCs w:val="22"/>
              </w:rPr>
              <w:t>0 to 180 days</w:t>
            </w:r>
          </w:p>
        </w:tc>
        <w:tc>
          <w:tcPr>
            <w:tcW w:w="990" w:type="dxa"/>
            <w:tcBorders>
              <w:left w:val="single" w:sz="12" w:space="0" w:color="auto"/>
              <w:right w:val="single" w:sz="12" w:space="0" w:color="auto"/>
            </w:tcBorders>
          </w:tcPr>
          <w:p w14:paraId="67BF01DC" w14:textId="77777777" w:rsidR="00E523FD" w:rsidRPr="00D06114" w:rsidRDefault="00E523FD" w:rsidP="00123BE5">
            <w:pPr>
              <w:keepNext/>
              <w:keepLines/>
              <w:jc w:val="right"/>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3.9</w:t>
            </w:r>
            <w:r w:rsidRPr="00D06114">
              <w:rPr>
                <w:rFonts w:ascii="Times New Roman" w:eastAsia="Times New Roman" w:hAnsi="Times New Roman" w:cs="Times New Roman"/>
                <w:color w:val="000000"/>
                <w:sz w:val="22"/>
                <w:szCs w:val="22"/>
              </w:rPr>
              <w:t>%</w:t>
            </w:r>
          </w:p>
        </w:tc>
        <w:tc>
          <w:tcPr>
            <w:tcW w:w="900" w:type="dxa"/>
            <w:tcBorders>
              <w:left w:val="single" w:sz="12" w:space="0" w:color="auto"/>
            </w:tcBorders>
          </w:tcPr>
          <w:p w14:paraId="25B75294" w14:textId="77777777" w:rsidR="00E523FD" w:rsidRPr="00D06114" w:rsidRDefault="00E523FD" w:rsidP="00123BE5">
            <w:pPr>
              <w:keepNext/>
              <w:keepLines/>
              <w:jc w:val="right"/>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color w:val="000000"/>
                <w:sz w:val="22"/>
                <w:szCs w:val="22"/>
              </w:rPr>
              <w:t>24.6%</w:t>
            </w:r>
          </w:p>
        </w:tc>
        <w:tc>
          <w:tcPr>
            <w:tcW w:w="990" w:type="dxa"/>
            <w:tcBorders>
              <w:left w:val="single" w:sz="12" w:space="0" w:color="auto"/>
            </w:tcBorders>
          </w:tcPr>
          <w:p w14:paraId="04E7C2B3"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sidRPr="00D06114">
              <w:rPr>
                <w:rFonts w:ascii="Times New Roman" w:eastAsia="Times New Roman" w:hAnsi="Times New Roman" w:cs="Times New Roman"/>
                <w:color w:val="000000"/>
                <w:sz w:val="22"/>
                <w:szCs w:val="22"/>
              </w:rPr>
              <w:t>20.2%</w:t>
            </w:r>
          </w:p>
        </w:tc>
        <w:tc>
          <w:tcPr>
            <w:tcW w:w="900" w:type="dxa"/>
            <w:tcBorders>
              <w:left w:val="single" w:sz="12" w:space="0" w:color="auto"/>
              <w:right w:val="thinThickMediumGap" w:sz="18" w:space="0" w:color="auto"/>
            </w:tcBorders>
          </w:tcPr>
          <w:p w14:paraId="4A24F2B7"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sidRPr="00D06114">
              <w:rPr>
                <w:rFonts w:ascii="Times New Roman" w:eastAsia="Times New Roman" w:hAnsi="Times New Roman" w:cs="Times New Roman"/>
                <w:color w:val="000000"/>
                <w:sz w:val="22"/>
                <w:szCs w:val="22"/>
              </w:rPr>
              <w:t>22.8%</w:t>
            </w:r>
          </w:p>
        </w:tc>
        <w:tc>
          <w:tcPr>
            <w:tcW w:w="900" w:type="dxa"/>
            <w:tcBorders>
              <w:left w:val="thinThickMediumGap" w:sz="18" w:space="0" w:color="auto"/>
            </w:tcBorders>
          </w:tcPr>
          <w:p w14:paraId="06803E56"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23.9%</w:t>
            </w:r>
          </w:p>
        </w:tc>
        <w:tc>
          <w:tcPr>
            <w:tcW w:w="900" w:type="dxa"/>
            <w:tcBorders>
              <w:left w:val="single" w:sz="12" w:space="0" w:color="auto"/>
            </w:tcBorders>
          </w:tcPr>
          <w:p w14:paraId="00E41348"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24.6%</w:t>
            </w:r>
          </w:p>
        </w:tc>
        <w:tc>
          <w:tcPr>
            <w:tcW w:w="900" w:type="dxa"/>
            <w:tcBorders>
              <w:left w:val="single" w:sz="12" w:space="0" w:color="auto"/>
            </w:tcBorders>
          </w:tcPr>
          <w:p w14:paraId="48C460CF"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w:t>
            </w:r>
          </w:p>
        </w:tc>
        <w:tc>
          <w:tcPr>
            <w:tcW w:w="900" w:type="dxa"/>
            <w:tcBorders>
              <w:left w:val="single" w:sz="12" w:space="0" w:color="auto"/>
              <w:right w:val="single" w:sz="18" w:space="0" w:color="auto"/>
            </w:tcBorders>
          </w:tcPr>
          <w:p w14:paraId="30C2D31F" w14:textId="1F440D26"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w:t>
            </w:r>
            <w:r w:rsidR="00963ECB">
              <w:rPr>
                <w:rFonts w:ascii="Times New Roman" w:eastAsia="Times New Roman" w:hAnsi="Times New Roman" w:cs="Times New Roman"/>
                <w:color w:val="000000"/>
                <w:sz w:val="22"/>
                <w:szCs w:val="22"/>
              </w:rPr>
              <w:t>8</w:t>
            </w:r>
            <w:r>
              <w:rPr>
                <w:rFonts w:ascii="Times New Roman" w:eastAsia="Times New Roman" w:hAnsi="Times New Roman" w:cs="Times New Roman"/>
                <w:color w:val="000000"/>
                <w:sz w:val="22"/>
                <w:szCs w:val="22"/>
              </w:rPr>
              <w:t>%</w:t>
            </w:r>
          </w:p>
        </w:tc>
      </w:tr>
      <w:tr w:rsidR="00E523FD" w14:paraId="328B2A1C" w14:textId="77777777" w:rsidTr="00DB4EAD">
        <w:tc>
          <w:tcPr>
            <w:tcW w:w="1548" w:type="dxa"/>
            <w:tcBorders>
              <w:right w:val="single" w:sz="12" w:space="0" w:color="auto"/>
            </w:tcBorders>
            <w:vAlign w:val="bottom"/>
          </w:tcPr>
          <w:p w14:paraId="13AB94A4" w14:textId="77777777" w:rsidR="00E523FD" w:rsidRPr="00D06114" w:rsidRDefault="00E523FD" w:rsidP="00123BE5">
            <w:pPr>
              <w:keepNext/>
              <w:keepLines/>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b/>
                <w:bCs/>
                <w:color w:val="000000"/>
                <w:sz w:val="22"/>
                <w:szCs w:val="22"/>
              </w:rPr>
              <w:t>n/a</w:t>
            </w:r>
          </w:p>
        </w:tc>
        <w:tc>
          <w:tcPr>
            <w:tcW w:w="990" w:type="dxa"/>
            <w:tcBorders>
              <w:left w:val="single" w:sz="12" w:space="0" w:color="auto"/>
              <w:right w:val="single" w:sz="12" w:space="0" w:color="auto"/>
            </w:tcBorders>
          </w:tcPr>
          <w:p w14:paraId="38720669" w14:textId="77777777" w:rsidR="00E523FD" w:rsidRPr="00D06114" w:rsidRDefault="00E523FD" w:rsidP="00123BE5">
            <w:pPr>
              <w:keepNext/>
              <w:keepLines/>
              <w:jc w:val="right"/>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5</w:t>
            </w:r>
            <w:r w:rsidRPr="00D06114">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8</w:t>
            </w:r>
            <w:r w:rsidRPr="00D06114">
              <w:rPr>
                <w:rFonts w:ascii="Times New Roman" w:eastAsia="Times New Roman" w:hAnsi="Times New Roman" w:cs="Times New Roman"/>
                <w:color w:val="000000"/>
                <w:sz w:val="22"/>
                <w:szCs w:val="22"/>
              </w:rPr>
              <w:t>%</w:t>
            </w:r>
          </w:p>
        </w:tc>
        <w:tc>
          <w:tcPr>
            <w:tcW w:w="900" w:type="dxa"/>
            <w:tcBorders>
              <w:left w:val="single" w:sz="12" w:space="0" w:color="auto"/>
            </w:tcBorders>
          </w:tcPr>
          <w:p w14:paraId="096CB1C8" w14:textId="293E7CA8" w:rsidR="00E523FD" w:rsidRPr="00D06114" w:rsidRDefault="00E523FD" w:rsidP="00123BE5">
            <w:pPr>
              <w:keepNext/>
              <w:keepLines/>
              <w:jc w:val="right"/>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color w:val="000000"/>
                <w:sz w:val="22"/>
                <w:szCs w:val="22"/>
              </w:rPr>
              <w:t>4</w:t>
            </w:r>
            <w:r w:rsidR="00963ECB">
              <w:rPr>
                <w:rFonts w:ascii="Times New Roman" w:eastAsia="Times New Roman" w:hAnsi="Times New Roman" w:cs="Times New Roman"/>
                <w:color w:val="000000"/>
                <w:sz w:val="22"/>
                <w:szCs w:val="22"/>
              </w:rPr>
              <w:t>1</w:t>
            </w:r>
            <w:r w:rsidRPr="00D06114">
              <w:rPr>
                <w:rFonts w:ascii="Times New Roman" w:eastAsia="Times New Roman" w:hAnsi="Times New Roman" w:cs="Times New Roman"/>
                <w:color w:val="000000"/>
                <w:sz w:val="22"/>
                <w:szCs w:val="22"/>
              </w:rPr>
              <w:t>.</w:t>
            </w:r>
            <w:r w:rsidR="00963ECB">
              <w:rPr>
                <w:rFonts w:ascii="Times New Roman" w:eastAsia="Times New Roman" w:hAnsi="Times New Roman" w:cs="Times New Roman"/>
                <w:color w:val="000000"/>
                <w:sz w:val="22"/>
                <w:szCs w:val="22"/>
              </w:rPr>
              <w:t>2</w:t>
            </w:r>
            <w:r w:rsidRPr="00D06114">
              <w:rPr>
                <w:rFonts w:ascii="Times New Roman" w:eastAsia="Times New Roman" w:hAnsi="Times New Roman" w:cs="Times New Roman"/>
                <w:color w:val="000000"/>
                <w:sz w:val="22"/>
                <w:szCs w:val="22"/>
              </w:rPr>
              <w:t>%</w:t>
            </w:r>
          </w:p>
        </w:tc>
        <w:tc>
          <w:tcPr>
            <w:tcW w:w="990" w:type="dxa"/>
            <w:tcBorders>
              <w:left w:val="single" w:sz="12" w:space="0" w:color="auto"/>
            </w:tcBorders>
          </w:tcPr>
          <w:p w14:paraId="29ECEBA6"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sidRPr="00D06114">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5.8</w:t>
            </w:r>
            <w:r w:rsidRPr="00D06114">
              <w:rPr>
                <w:rFonts w:ascii="Times New Roman" w:eastAsia="Times New Roman" w:hAnsi="Times New Roman" w:cs="Times New Roman"/>
                <w:color w:val="000000"/>
                <w:sz w:val="22"/>
                <w:szCs w:val="22"/>
              </w:rPr>
              <w:t>%</w:t>
            </w:r>
          </w:p>
        </w:tc>
        <w:tc>
          <w:tcPr>
            <w:tcW w:w="900" w:type="dxa"/>
            <w:tcBorders>
              <w:left w:val="single" w:sz="12" w:space="0" w:color="auto"/>
              <w:right w:val="thinThickMediumGap" w:sz="18" w:space="0" w:color="auto"/>
            </w:tcBorders>
          </w:tcPr>
          <w:p w14:paraId="0118F64E" w14:textId="22B79B1F" w:rsidR="00E523FD" w:rsidRPr="00D06114" w:rsidRDefault="00E523FD" w:rsidP="00123BE5">
            <w:pPr>
              <w:keepNext/>
              <w:keepLines/>
              <w:jc w:val="center"/>
              <w:rPr>
                <w:rFonts w:ascii="Times New Roman" w:eastAsia="Times New Roman" w:hAnsi="Times New Roman" w:cs="Times New Roman"/>
                <w:color w:val="000000"/>
                <w:sz w:val="22"/>
                <w:szCs w:val="22"/>
              </w:rPr>
            </w:pPr>
            <w:r w:rsidRPr="00D06114">
              <w:rPr>
                <w:rFonts w:ascii="Times New Roman" w:eastAsia="Times New Roman" w:hAnsi="Times New Roman" w:cs="Times New Roman"/>
                <w:color w:val="000000"/>
                <w:sz w:val="22"/>
                <w:szCs w:val="22"/>
              </w:rPr>
              <w:t>4</w:t>
            </w:r>
            <w:r w:rsidR="00963ECB">
              <w:rPr>
                <w:rFonts w:ascii="Times New Roman" w:eastAsia="Times New Roman" w:hAnsi="Times New Roman" w:cs="Times New Roman"/>
                <w:color w:val="000000"/>
                <w:sz w:val="22"/>
                <w:szCs w:val="22"/>
              </w:rPr>
              <w:t>1</w:t>
            </w:r>
            <w:r w:rsidRPr="00D06114">
              <w:rPr>
                <w:rFonts w:ascii="Times New Roman" w:eastAsia="Times New Roman" w:hAnsi="Times New Roman" w:cs="Times New Roman"/>
                <w:color w:val="000000"/>
                <w:sz w:val="22"/>
                <w:szCs w:val="22"/>
              </w:rPr>
              <w:t>.</w:t>
            </w:r>
            <w:r w:rsidR="00963ECB">
              <w:rPr>
                <w:rFonts w:ascii="Times New Roman" w:eastAsia="Times New Roman" w:hAnsi="Times New Roman" w:cs="Times New Roman"/>
                <w:color w:val="000000"/>
                <w:sz w:val="22"/>
                <w:szCs w:val="22"/>
              </w:rPr>
              <w:t>2</w:t>
            </w:r>
            <w:r w:rsidRPr="00D06114">
              <w:rPr>
                <w:rFonts w:ascii="Times New Roman" w:eastAsia="Times New Roman" w:hAnsi="Times New Roman" w:cs="Times New Roman"/>
                <w:color w:val="000000"/>
                <w:sz w:val="22"/>
                <w:szCs w:val="22"/>
              </w:rPr>
              <w:t>%</w:t>
            </w:r>
          </w:p>
        </w:tc>
        <w:tc>
          <w:tcPr>
            <w:tcW w:w="900" w:type="dxa"/>
            <w:tcBorders>
              <w:left w:val="thinThickMediumGap" w:sz="18" w:space="0" w:color="auto"/>
            </w:tcBorders>
          </w:tcPr>
          <w:p w14:paraId="35ADCE40"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31.2%</w:t>
            </w:r>
          </w:p>
        </w:tc>
        <w:tc>
          <w:tcPr>
            <w:tcW w:w="900" w:type="dxa"/>
            <w:tcBorders>
              <w:left w:val="single" w:sz="12" w:space="0" w:color="auto"/>
            </w:tcBorders>
          </w:tcPr>
          <w:p w14:paraId="67CE44C4" w14:textId="77E451EA"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sidR="00963ECB">
              <w:rPr>
                <w:rFonts w:ascii="Times New Roman" w:eastAsia="Times New Roman" w:hAnsi="Times New Roman" w:cs="Times New Roman"/>
                <w:color w:val="000000"/>
                <w:sz w:val="22"/>
                <w:szCs w:val="22"/>
              </w:rPr>
              <w:t>8</w:t>
            </w:r>
            <w:r>
              <w:rPr>
                <w:rFonts w:ascii="Times New Roman" w:eastAsia="Times New Roman" w:hAnsi="Times New Roman" w:cs="Times New Roman"/>
                <w:color w:val="000000"/>
                <w:sz w:val="22"/>
                <w:szCs w:val="22"/>
              </w:rPr>
              <w:t>.</w:t>
            </w:r>
            <w:r w:rsidR="00963ECB">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w:t>
            </w:r>
          </w:p>
        </w:tc>
        <w:tc>
          <w:tcPr>
            <w:tcW w:w="900" w:type="dxa"/>
            <w:tcBorders>
              <w:left w:val="single" w:sz="12" w:space="0" w:color="auto"/>
            </w:tcBorders>
          </w:tcPr>
          <w:p w14:paraId="6F30FE7F"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31.2%</w:t>
            </w:r>
          </w:p>
        </w:tc>
        <w:tc>
          <w:tcPr>
            <w:tcW w:w="900" w:type="dxa"/>
            <w:tcBorders>
              <w:left w:val="single" w:sz="12" w:space="0" w:color="auto"/>
              <w:right w:val="single" w:sz="18" w:space="0" w:color="auto"/>
            </w:tcBorders>
          </w:tcPr>
          <w:p w14:paraId="45A05289" w14:textId="3FF0A60E"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sidR="00963ECB">
              <w:rPr>
                <w:rFonts w:ascii="Times New Roman" w:eastAsia="Times New Roman" w:hAnsi="Times New Roman" w:cs="Times New Roman"/>
                <w:color w:val="000000"/>
                <w:sz w:val="22"/>
                <w:szCs w:val="22"/>
              </w:rPr>
              <w:t>8</w:t>
            </w:r>
            <w:r>
              <w:rPr>
                <w:rFonts w:ascii="Times New Roman" w:eastAsia="Times New Roman" w:hAnsi="Times New Roman" w:cs="Times New Roman"/>
                <w:color w:val="000000"/>
                <w:sz w:val="22"/>
                <w:szCs w:val="22"/>
              </w:rPr>
              <w:t>.</w:t>
            </w:r>
            <w:r w:rsidR="00963ECB">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w:t>
            </w:r>
          </w:p>
        </w:tc>
      </w:tr>
      <w:tr w:rsidR="00E523FD" w14:paraId="0E069DE7" w14:textId="77777777" w:rsidTr="00DB4EAD">
        <w:tc>
          <w:tcPr>
            <w:tcW w:w="1548" w:type="dxa"/>
            <w:tcBorders>
              <w:bottom w:val="triple" w:sz="4" w:space="0" w:color="auto"/>
              <w:right w:val="single" w:sz="12" w:space="0" w:color="auto"/>
            </w:tcBorders>
            <w:vAlign w:val="bottom"/>
          </w:tcPr>
          <w:p w14:paraId="1FDB53EF" w14:textId="77777777" w:rsidR="00E523FD" w:rsidRPr="00D06114" w:rsidRDefault="00E523FD" w:rsidP="00123BE5">
            <w:pPr>
              <w:keepNext/>
              <w:keepLines/>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b/>
                <w:bCs/>
                <w:color w:val="000000"/>
                <w:sz w:val="22"/>
                <w:szCs w:val="22"/>
              </w:rPr>
              <w:t xml:space="preserve"> Open</w:t>
            </w:r>
          </w:p>
        </w:tc>
        <w:tc>
          <w:tcPr>
            <w:tcW w:w="990" w:type="dxa"/>
            <w:tcBorders>
              <w:left w:val="single" w:sz="12" w:space="0" w:color="auto"/>
              <w:bottom w:val="triple" w:sz="4" w:space="0" w:color="auto"/>
              <w:right w:val="single" w:sz="12" w:space="0" w:color="auto"/>
            </w:tcBorders>
          </w:tcPr>
          <w:p w14:paraId="3C2FB08C" w14:textId="77777777" w:rsidR="00E523FD" w:rsidRPr="00D06114" w:rsidRDefault="00E523FD" w:rsidP="00123BE5">
            <w:pPr>
              <w:keepNext/>
              <w:keepLines/>
              <w:jc w:val="right"/>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color w:val="000000"/>
                <w:sz w:val="22"/>
                <w:szCs w:val="22"/>
              </w:rPr>
              <w:t>0%</w:t>
            </w:r>
          </w:p>
        </w:tc>
        <w:tc>
          <w:tcPr>
            <w:tcW w:w="900" w:type="dxa"/>
            <w:tcBorders>
              <w:left w:val="single" w:sz="12" w:space="0" w:color="auto"/>
              <w:bottom w:val="triple" w:sz="4" w:space="0" w:color="auto"/>
            </w:tcBorders>
          </w:tcPr>
          <w:p w14:paraId="0C94B198" w14:textId="0E1F2B46" w:rsidR="00E523FD" w:rsidRPr="00D06114" w:rsidRDefault="00963ECB" w:rsidP="00123BE5">
            <w:pPr>
              <w:keepNext/>
              <w:keepLines/>
              <w:jc w:val="right"/>
              <w:rPr>
                <w:rFonts w:ascii="Times New Roman" w:eastAsiaTheme="majorEastAsia" w:hAnsi="Times New Roman" w:cs="Times New Roman"/>
                <w:b/>
                <w:i/>
                <w:iCs/>
                <w:color w:val="404040" w:themeColor="text1" w:themeTint="BF"/>
                <w:sz w:val="22"/>
                <w:szCs w:val="22"/>
              </w:rPr>
            </w:pPr>
            <w:r>
              <w:rPr>
                <w:rFonts w:ascii="Times New Roman" w:eastAsia="Times New Roman" w:hAnsi="Times New Roman" w:cs="Times New Roman"/>
                <w:color w:val="000000"/>
                <w:sz w:val="22"/>
                <w:szCs w:val="22"/>
              </w:rPr>
              <w:t>5.3</w:t>
            </w:r>
            <w:r w:rsidR="00E523FD" w:rsidRPr="00D06114">
              <w:rPr>
                <w:rFonts w:ascii="Times New Roman" w:eastAsia="Times New Roman" w:hAnsi="Times New Roman" w:cs="Times New Roman"/>
                <w:color w:val="000000"/>
                <w:sz w:val="22"/>
                <w:szCs w:val="22"/>
              </w:rPr>
              <w:t>%</w:t>
            </w:r>
          </w:p>
        </w:tc>
        <w:tc>
          <w:tcPr>
            <w:tcW w:w="990" w:type="dxa"/>
            <w:tcBorders>
              <w:left w:val="single" w:sz="12" w:space="0" w:color="auto"/>
              <w:bottom w:val="triple" w:sz="4" w:space="0" w:color="auto"/>
            </w:tcBorders>
          </w:tcPr>
          <w:p w14:paraId="3F6DD9AD" w14:textId="77777777" w:rsidR="00E523FD" w:rsidRPr="00D06114" w:rsidDel="000D2F6E" w:rsidRDefault="00E523FD" w:rsidP="00123BE5">
            <w:pPr>
              <w:keepNext/>
              <w:keepLines/>
              <w:jc w:val="center"/>
              <w:rPr>
                <w:rFonts w:ascii="Times New Roman" w:eastAsia="Times New Roman" w:hAnsi="Times New Roman" w:cs="Times New Roman"/>
                <w:color w:val="000000"/>
                <w:sz w:val="22"/>
                <w:szCs w:val="22"/>
              </w:rPr>
            </w:pPr>
            <w:r w:rsidRPr="00D06114">
              <w:rPr>
                <w:rFonts w:ascii="Times New Roman" w:eastAsia="Times New Roman" w:hAnsi="Times New Roman" w:cs="Times New Roman"/>
                <w:color w:val="000000"/>
                <w:sz w:val="22"/>
                <w:szCs w:val="22"/>
              </w:rPr>
              <w:t>0%</w:t>
            </w:r>
          </w:p>
        </w:tc>
        <w:tc>
          <w:tcPr>
            <w:tcW w:w="900" w:type="dxa"/>
            <w:tcBorders>
              <w:left w:val="single" w:sz="12" w:space="0" w:color="auto"/>
              <w:bottom w:val="triple" w:sz="4" w:space="0" w:color="auto"/>
              <w:right w:val="thinThickMediumGap" w:sz="18" w:space="0" w:color="auto"/>
            </w:tcBorders>
          </w:tcPr>
          <w:p w14:paraId="7444AA4B" w14:textId="5CCBDB25" w:rsidR="00E523FD" w:rsidRPr="00D06114" w:rsidDel="000D2F6E" w:rsidRDefault="00963ECB"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5.3</w:t>
            </w:r>
            <w:r w:rsidR="00E523FD" w:rsidRPr="00D06114">
              <w:rPr>
                <w:rFonts w:ascii="Times New Roman" w:eastAsia="Times New Roman" w:hAnsi="Times New Roman" w:cs="Times New Roman"/>
                <w:color w:val="000000"/>
                <w:sz w:val="22"/>
                <w:szCs w:val="22"/>
              </w:rPr>
              <w:t>%</w:t>
            </w:r>
          </w:p>
        </w:tc>
        <w:tc>
          <w:tcPr>
            <w:tcW w:w="900" w:type="dxa"/>
            <w:tcBorders>
              <w:left w:val="thinThickMediumGap" w:sz="18" w:space="0" w:color="auto"/>
              <w:bottom w:val="triple" w:sz="4" w:space="0" w:color="auto"/>
            </w:tcBorders>
          </w:tcPr>
          <w:p w14:paraId="09460765"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900" w:type="dxa"/>
            <w:tcBorders>
              <w:left w:val="single" w:sz="12" w:space="0" w:color="auto"/>
              <w:bottom w:val="triple" w:sz="4" w:space="0" w:color="auto"/>
            </w:tcBorders>
          </w:tcPr>
          <w:p w14:paraId="5E9662D0" w14:textId="13A2F58F" w:rsidR="00E523FD" w:rsidRPr="00D06114" w:rsidRDefault="00963ECB"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5.3</w:t>
            </w:r>
            <w:r w:rsidR="00E523FD">
              <w:rPr>
                <w:rFonts w:ascii="Times New Roman" w:eastAsia="Times New Roman" w:hAnsi="Times New Roman" w:cs="Times New Roman"/>
                <w:color w:val="000000"/>
                <w:sz w:val="22"/>
                <w:szCs w:val="22"/>
              </w:rPr>
              <w:t>%</w:t>
            </w:r>
          </w:p>
        </w:tc>
        <w:tc>
          <w:tcPr>
            <w:tcW w:w="900" w:type="dxa"/>
            <w:tcBorders>
              <w:left w:val="single" w:sz="12" w:space="0" w:color="auto"/>
              <w:bottom w:val="triple" w:sz="4" w:space="0" w:color="auto"/>
            </w:tcBorders>
          </w:tcPr>
          <w:p w14:paraId="4A59BD73"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900" w:type="dxa"/>
            <w:tcBorders>
              <w:left w:val="single" w:sz="12" w:space="0" w:color="auto"/>
              <w:bottom w:val="triple" w:sz="4" w:space="0" w:color="auto"/>
              <w:right w:val="single" w:sz="18" w:space="0" w:color="auto"/>
            </w:tcBorders>
          </w:tcPr>
          <w:p w14:paraId="6FC5B03A" w14:textId="6DB31DA1" w:rsidR="00E523FD" w:rsidRPr="00D06114" w:rsidRDefault="00963ECB"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5.3</w:t>
            </w:r>
            <w:r w:rsidR="00E523FD">
              <w:rPr>
                <w:rFonts w:ascii="Times New Roman" w:eastAsia="Times New Roman" w:hAnsi="Times New Roman" w:cs="Times New Roman"/>
                <w:color w:val="000000"/>
                <w:sz w:val="22"/>
                <w:szCs w:val="22"/>
              </w:rPr>
              <w:t>%</w:t>
            </w:r>
          </w:p>
        </w:tc>
      </w:tr>
      <w:tr w:rsidR="00E523FD" w14:paraId="0FE567B0" w14:textId="77777777" w:rsidTr="00DB4EAD">
        <w:tc>
          <w:tcPr>
            <w:tcW w:w="1548" w:type="dxa"/>
            <w:tcBorders>
              <w:top w:val="triple" w:sz="4" w:space="0" w:color="auto"/>
              <w:bottom w:val="triple" w:sz="4" w:space="0" w:color="auto"/>
              <w:right w:val="single" w:sz="12" w:space="0" w:color="auto"/>
            </w:tcBorders>
            <w:vAlign w:val="bottom"/>
          </w:tcPr>
          <w:p w14:paraId="2EE47213" w14:textId="77777777" w:rsidR="00E523FD" w:rsidRPr="00D06114" w:rsidRDefault="00E523FD" w:rsidP="00123BE5">
            <w:pPr>
              <w:keepNext/>
              <w:keepLines/>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b/>
                <w:bCs/>
                <w:color w:val="000000"/>
                <w:sz w:val="22"/>
                <w:szCs w:val="22"/>
              </w:rPr>
              <w:t>Maximum</w:t>
            </w:r>
          </w:p>
        </w:tc>
        <w:tc>
          <w:tcPr>
            <w:tcW w:w="990" w:type="dxa"/>
            <w:tcBorders>
              <w:top w:val="triple" w:sz="4" w:space="0" w:color="auto"/>
              <w:left w:val="single" w:sz="12" w:space="0" w:color="auto"/>
              <w:bottom w:val="triple" w:sz="4" w:space="0" w:color="auto"/>
              <w:right w:val="single" w:sz="12" w:space="0" w:color="auto"/>
            </w:tcBorders>
          </w:tcPr>
          <w:p w14:paraId="0CF8FD80" w14:textId="77777777" w:rsidR="00E523FD" w:rsidRPr="00D06114" w:rsidRDefault="00E523FD" w:rsidP="00123BE5">
            <w:pPr>
              <w:keepNext/>
              <w:keepLines/>
              <w:jc w:val="right"/>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794</w:t>
            </w:r>
          </w:p>
        </w:tc>
        <w:tc>
          <w:tcPr>
            <w:tcW w:w="900" w:type="dxa"/>
            <w:tcBorders>
              <w:top w:val="triple" w:sz="4" w:space="0" w:color="auto"/>
              <w:left w:val="single" w:sz="12" w:space="0" w:color="auto"/>
              <w:bottom w:val="triple" w:sz="4" w:space="0" w:color="auto"/>
            </w:tcBorders>
          </w:tcPr>
          <w:p w14:paraId="4721CCA0" w14:textId="77777777" w:rsidR="00E523FD" w:rsidRPr="00D06114" w:rsidRDefault="00E523FD" w:rsidP="00123BE5">
            <w:pPr>
              <w:keepNext/>
              <w:keepLines/>
              <w:jc w:val="right"/>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color w:val="000000"/>
                <w:sz w:val="22"/>
                <w:szCs w:val="22"/>
              </w:rPr>
              <w:t>907</w:t>
            </w:r>
          </w:p>
        </w:tc>
        <w:tc>
          <w:tcPr>
            <w:tcW w:w="990" w:type="dxa"/>
            <w:tcBorders>
              <w:top w:val="triple" w:sz="4" w:space="0" w:color="auto"/>
              <w:left w:val="single" w:sz="12" w:space="0" w:color="auto"/>
              <w:bottom w:val="triple" w:sz="4" w:space="0" w:color="auto"/>
            </w:tcBorders>
          </w:tcPr>
          <w:p w14:paraId="76B3E7A5"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sidRPr="00D06114">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794</w:t>
            </w:r>
          </w:p>
        </w:tc>
        <w:tc>
          <w:tcPr>
            <w:tcW w:w="900" w:type="dxa"/>
            <w:tcBorders>
              <w:top w:val="triple" w:sz="4" w:space="0" w:color="auto"/>
              <w:left w:val="single" w:sz="12" w:space="0" w:color="auto"/>
              <w:bottom w:val="triple" w:sz="4" w:space="0" w:color="auto"/>
              <w:right w:val="thinThickMediumGap" w:sz="18" w:space="0" w:color="auto"/>
            </w:tcBorders>
          </w:tcPr>
          <w:p w14:paraId="6ECA96C1"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sidRPr="00D06114">
              <w:rPr>
                <w:rFonts w:ascii="Times New Roman" w:eastAsia="Times New Roman" w:hAnsi="Times New Roman" w:cs="Times New Roman"/>
                <w:color w:val="000000"/>
                <w:sz w:val="22"/>
                <w:szCs w:val="22"/>
              </w:rPr>
              <w:t>907</w:t>
            </w:r>
          </w:p>
        </w:tc>
        <w:tc>
          <w:tcPr>
            <w:tcW w:w="900" w:type="dxa"/>
            <w:tcBorders>
              <w:top w:val="triple" w:sz="4" w:space="0" w:color="auto"/>
              <w:left w:val="thinThickMediumGap" w:sz="18" w:space="0" w:color="auto"/>
              <w:bottom w:val="triple" w:sz="4" w:space="0" w:color="auto"/>
            </w:tcBorders>
          </w:tcPr>
          <w:p w14:paraId="6D066704"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1,794</w:t>
            </w:r>
          </w:p>
        </w:tc>
        <w:tc>
          <w:tcPr>
            <w:tcW w:w="900" w:type="dxa"/>
            <w:tcBorders>
              <w:top w:val="triple" w:sz="4" w:space="0" w:color="auto"/>
              <w:left w:val="single" w:sz="12" w:space="0" w:color="auto"/>
              <w:bottom w:val="triple" w:sz="4" w:space="0" w:color="auto"/>
            </w:tcBorders>
          </w:tcPr>
          <w:p w14:paraId="29AAFCDD"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969</w:t>
            </w:r>
          </w:p>
        </w:tc>
        <w:tc>
          <w:tcPr>
            <w:tcW w:w="900" w:type="dxa"/>
            <w:tcBorders>
              <w:top w:val="triple" w:sz="4" w:space="0" w:color="auto"/>
              <w:left w:val="single" w:sz="12" w:space="0" w:color="auto"/>
              <w:bottom w:val="triple" w:sz="4" w:space="0" w:color="auto"/>
            </w:tcBorders>
          </w:tcPr>
          <w:p w14:paraId="1FB3803B"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1,794</w:t>
            </w:r>
          </w:p>
        </w:tc>
        <w:tc>
          <w:tcPr>
            <w:tcW w:w="900" w:type="dxa"/>
            <w:tcBorders>
              <w:top w:val="triple" w:sz="4" w:space="0" w:color="auto"/>
              <w:left w:val="single" w:sz="12" w:space="0" w:color="auto"/>
              <w:bottom w:val="triple" w:sz="4" w:space="0" w:color="auto"/>
              <w:right w:val="single" w:sz="18" w:space="0" w:color="auto"/>
            </w:tcBorders>
          </w:tcPr>
          <w:p w14:paraId="444B1806"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969</w:t>
            </w:r>
          </w:p>
        </w:tc>
      </w:tr>
      <w:tr w:rsidR="00E523FD" w14:paraId="6D10E5C6" w14:textId="77777777" w:rsidTr="00DB4EAD">
        <w:tc>
          <w:tcPr>
            <w:tcW w:w="1548" w:type="dxa"/>
            <w:tcBorders>
              <w:top w:val="triple" w:sz="4" w:space="0" w:color="auto"/>
              <w:right w:val="single" w:sz="12" w:space="0" w:color="auto"/>
            </w:tcBorders>
            <w:vAlign w:val="bottom"/>
          </w:tcPr>
          <w:p w14:paraId="6EC785AE" w14:textId="77777777" w:rsidR="00E523FD" w:rsidRPr="00D06114" w:rsidRDefault="00E523FD" w:rsidP="00123BE5">
            <w:pPr>
              <w:keepNext/>
              <w:keepLines/>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b/>
                <w:bCs/>
                <w:color w:val="000000"/>
                <w:sz w:val="22"/>
                <w:szCs w:val="22"/>
              </w:rPr>
              <w:t>Average</w:t>
            </w:r>
          </w:p>
        </w:tc>
        <w:tc>
          <w:tcPr>
            <w:tcW w:w="990" w:type="dxa"/>
            <w:tcBorders>
              <w:top w:val="triple" w:sz="4" w:space="0" w:color="auto"/>
              <w:left w:val="single" w:sz="12" w:space="0" w:color="auto"/>
              <w:right w:val="single" w:sz="12" w:space="0" w:color="auto"/>
            </w:tcBorders>
          </w:tcPr>
          <w:p w14:paraId="77604DA2" w14:textId="77777777" w:rsidR="00E523FD" w:rsidRPr="00D06114" w:rsidRDefault="00E523FD" w:rsidP="00123BE5">
            <w:pPr>
              <w:keepNext/>
              <w:keepLines/>
              <w:jc w:val="right"/>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29</w:t>
            </w:r>
          </w:p>
        </w:tc>
        <w:tc>
          <w:tcPr>
            <w:tcW w:w="900" w:type="dxa"/>
            <w:tcBorders>
              <w:top w:val="triple" w:sz="4" w:space="0" w:color="auto"/>
              <w:left w:val="single" w:sz="12" w:space="0" w:color="auto"/>
            </w:tcBorders>
          </w:tcPr>
          <w:p w14:paraId="448F2F92" w14:textId="0B84898D" w:rsidR="00E523FD" w:rsidRPr="00D06114" w:rsidRDefault="00E523FD" w:rsidP="00123BE5">
            <w:pPr>
              <w:keepNext/>
              <w:keepLines/>
              <w:jc w:val="right"/>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color w:val="000000"/>
                <w:sz w:val="22"/>
                <w:szCs w:val="22"/>
              </w:rPr>
              <w:t>2</w:t>
            </w:r>
            <w:r w:rsidR="00963ECB">
              <w:rPr>
                <w:rFonts w:ascii="Times New Roman" w:eastAsia="Times New Roman" w:hAnsi="Times New Roman" w:cs="Times New Roman"/>
                <w:color w:val="000000"/>
                <w:sz w:val="22"/>
                <w:szCs w:val="22"/>
              </w:rPr>
              <w:t>79</w:t>
            </w:r>
          </w:p>
        </w:tc>
        <w:tc>
          <w:tcPr>
            <w:tcW w:w="990" w:type="dxa"/>
            <w:tcBorders>
              <w:top w:val="triple" w:sz="4" w:space="0" w:color="auto"/>
              <w:left w:val="single" w:sz="12" w:space="0" w:color="auto"/>
            </w:tcBorders>
          </w:tcPr>
          <w:p w14:paraId="4420C749"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356</w:t>
            </w:r>
          </w:p>
        </w:tc>
        <w:tc>
          <w:tcPr>
            <w:tcW w:w="900" w:type="dxa"/>
            <w:tcBorders>
              <w:top w:val="triple" w:sz="4" w:space="0" w:color="auto"/>
              <w:left w:val="single" w:sz="12" w:space="0" w:color="auto"/>
              <w:right w:val="thinThickMediumGap" w:sz="18" w:space="0" w:color="auto"/>
            </w:tcBorders>
          </w:tcPr>
          <w:p w14:paraId="388A0DCB" w14:textId="165AC27F" w:rsidR="00E523FD" w:rsidRPr="00D06114" w:rsidRDefault="00E523FD" w:rsidP="00123BE5">
            <w:pPr>
              <w:keepNext/>
              <w:keepLines/>
              <w:jc w:val="center"/>
              <w:rPr>
                <w:rFonts w:ascii="Times New Roman" w:eastAsia="Times New Roman" w:hAnsi="Times New Roman" w:cs="Times New Roman"/>
                <w:color w:val="000000"/>
                <w:sz w:val="22"/>
                <w:szCs w:val="22"/>
              </w:rPr>
            </w:pPr>
            <w:r w:rsidRPr="00D06114">
              <w:rPr>
                <w:rFonts w:ascii="Times New Roman" w:eastAsia="Times New Roman" w:hAnsi="Times New Roman" w:cs="Times New Roman"/>
                <w:color w:val="000000"/>
                <w:sz w:val="22"/>
                <w:szCs w:val="22"/>
              </w:rPr>
              <w:t>2</w:t>
            </w:r>
            <w:r w:rsidR="00963ECB">
              <w:rPr>
                <w:rFonts w:ascii="Times New Roman" w:eastAsia="Times New Roman" w:hAnsi="Times New Roman" w:cs="Times New Roman"/>
                <w:color w:val="000000"/>
                <w:sz w:val="22"/>
                <w:szCs w:val="22"/>
              </w:rPr>
              <w:t>92</w:t>
            </w:r>
          </w:p>
        </w:tc>
        <w:tc>
          <w:tcPr>
            <w:tcW w:w="900" w:type="dxa"/>
            <w:tcBorders>
              <w:top w:val="triple" w:sz="4" w:space="0" w:color="auto"/>
              <w:left w:val="thinThickMediumGap" w:sz="18" w:space="0" w:color="auto"/>
            </w:tcBorders>
          </w:tcPr>
          <w:p w14:paraId="233FE928"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360</w:t>
            </w:r>
          </w:p>
        </w:tc>
        <w:tc>
          <w:tcPr>
            <w:tcW w:w="900" w:type="dxa"/>
            <w:tcBorders>
              <w:top w:val="triple" w:sz="4" w:space="0" w:color="auto"/>
              <w:left w:val="single" w:sz="12" w:space="0" w:color="auto"/>
            </w:tcBorders>
          </w:tcPr>
          <w:p w14:paraId="65E07726" w14:textId="32E44101"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sidR="00963ECB">
              <w:rPr>
                <w:rFonts w:ascii="Times New Roman" w:eastAsia="Times New Roman" w:hAnsi="Times New Roman" w:cs="Times New Roman"/>
                <w:color w:val="000000"/>
                <w:sz w:val="22"/>
                <w:szCs w:val="22"/>
              </w:rPr>
              <w:t>98</w:t>
            </w:r>
          </w:p>
        </w:tc>
        <w:tc>
          <w:tcPr>
            <w:tcW w:w="900" w:type="dxa"/>
            <w:tcBorders>
              <w:top w:val="triple" w:sz="4" w:space="0" w:color="auto"/>
              <w:left w:val="single" w:sz="12" w:space="0" w:color="auto"/>
            </w:tcBorders>
          </w:tcPr>
          <w:p w14:paraId="6F47E1EA"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385</w:t>
            </w:r>
          </w:p>
        </w:tc>
        <w:tc>
          <w:tcPr>
            <w:tcW w:w="900" w:type="dxa"/>
            <w:tcBorders>
              <w:top w:val="triple" w:sz="4" w:space="0" w:color="auto"/>
              <w:left w:val="single" w:sz="12" w:space="0" w:color="auto"/>
              <w:right w:val="single" w:sz="18" w:space="0" w:color="auto"/>
            </w:tcBorders>
          </w:tcPr>
          <w:p w14:paraId="33B2CA8A" w14:textId="799E860C"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sidR="00963ECB">
              <w:rPr>
                <w:rFonts w:ascii="Times New Roman" w:eastAsia="Times New Roman" w:hAnsi="Times New Roman" w:cs="Times New Roman"/>
                <w:color w:val="000000"/>
                <w:sz w:val="22"/>
                <w:szCs w:val="22"/>
              </w:rPr>
              <w:t>12</w:t>
            </w:r>
          </w:p>
        </w:tc>
      </w:tr>
      <w:tr w:rsidR="00E523FD" w14:paraId="7E0AEA5C" w14:textId="77777777" w:rsidTr="00DB4EAD">
        <w:tc>
          <w:tcPr>
            <w:tcW w:w="1548" w:type="dxa"/>
            <w:tcBorders>
              <w:right w:val="single" w:sz="12" w:space="0" w:color="auto"/>
            </w:tcBorders>
            <w:vAlign w:val="bottom"/>
          </w:tcPr>
          <w:p w14:paraId="3C4BCE5F" w14:textId="77777777" w:rsidR="00E523FD" w:rsidRPr="00D06114" w:rsidRDefault="00E523FD" w:rsidP="00123BE5">
            <w:pPr>
              <w:keepNext/>
              <w:keepLines/>
              <w:rPr>
                <w:rFonts w:ascii="Times New Roman" w:eastAsia="Times New Roman" w:hAnsi="Times New Roman" w:cs="Times New Roman"/>
                <w:b/>
                <w:bCs/>
                <w:i/>
                <w:iCs/>
                <w:color w:val="000000"/>
                <w:sz w:val="22"/>
                <w:szCs w:val="22"/>
              </w:rPr>
            </w:pPr>
            <w:r w:rsidRPr="00D06114">
              <w:rPr>
                <w:rFonts w:ascii="Times New Roman" w:eastAsia="Times New Roman" w:hAnsi="Times New Roman" w:cs="Times New Roman"/>
                <w:b/>
                <w:bCs/>
                <w:color w:val="000000"/>
                <w:sz w:val="22"/>
                <w:szCs w:val="22"/>
              </w:rPr>
              <w:t>Median</w:t>
            </w:r>
          </w:p>
        </w:tc>
        <w:tc>
          <w:tcPr>
            <w:tcW w:w="990" w:type="dxa"/>
            <w:tcBorders>
              <w:left w:val="single" w:sz="12" w:space="0" w:color="auto"/>
              <w:right w:val="single" w:sz="12" w:space="0" w:color="auto"/>
            </w:tcBorders>
          </w:tcPr>
          <w:p w14:paraId="4338ECA7" w14:textId="77777777" w:rsidR="00E523FD" w:rsidRPr="00D06114" w:rsidRDefault="00E523FD" w:rsidP="00123BE5">
            <w:pPr>
              <w:keepNext/>
              <w:keepLines/>
              <w:jc w:val="right"/>
              <w:rPr>
                <w:rFonts w:ascii="Times New Roman" w:eastAsiaTheme="majorEastAsia" w:hAnsi="Times New Roman" w:cs="Times New Roman"/>
                <w:b/>
                <w:i/>
                <w:iCs/>
                <w:color w:val="404040" w:themeColor="text1" w:themeTint="BF"/>
                <w:sz w:val="22"/>
                <w:szCs w:val="22"/>
              </w:rPr>
            </w:pPr>
            <w:r w:rsidRPr="00D06114">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27</w:t>
            </w:r>
          </w:p>
        </w:tc>
        <w:tc>
          <w:tcPr>
            <w:tcW w:w="900" w:type="dxa"/>
            <w:tcBorders>
              <w:left w:val="single" w:sz="12" w:space="0" w:color="auto"/>
            </w:tcBorders>
          </w:tcPr>
          <w:p w14:paraId="79DB89D9" w14:textId="51896D86" w:rsidR="00E523FD" w:rsidRPr="00D06114" w:rsidRDefault="00963ECB" w:rsidP="00123BE5">
            <w:pPr>
              <w:keepNext/>
              <w:keepLines/>
              <w:jc w:val="right"/>
              <w:rPr>
                <w:rFonts w:ascii="Times New Roman" w:eastAsiaTheme="majorEastAsia" w:hAnsi="Times New Roman" w:cs="Times New Roman"/>
                <w:b/>
                <w:i/>
                <w:iCs/>
                <w:color w:val="404040" w:themeColor="text1" w:themeTint="BF"/>
                <w:sz w:val="22"/>
                <w:szCs w:val="22"/>
              </w:rPr>
            </w:pPr>
            <w:r>
              <w:rPr>
                <w:rFonts w:ascii="Times New Roman" w:eastAsia="Times New Roman" w:hAnsi="Times New Roman" w:cs="Times New Roman"/>
                <w:color w:val="000000"/>
                <w:sz w:val="22"/>
                <w:szCs w:val="22"/>
              </w:rPr>
              <w:t>203</w:t>
            </w:r>
          </w:p>
        </w:tc>
        <w:tc>
          <w:tcPr>
            <w:tcW w:w="990" w:type="dxa"/>
            <w:tcBorders>
              <w:left w:val="single" w:sz="12" w:space="0" w:color="auto"/>
            </w:tcBorders>
          </w:tcPr>
          <w:p w14:paraId="76443919"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294</w:t>
            </w:r>
          </w:p>
        </w:tc>
        <w:tc>
          <w:tcPr>
            <w:tcW w:w="900" w:type="dxa"/>
            <w:tcBorders>
              <w:left w:val="single" w:sz="12" w:space="0" w:color="auto"/>
              <w:right w:val="thinThickMediumGap" w:sz="18" w:space="0" w:color="auto"/>
            </w:tcBorders>
          </w:tcPr>
          <w:p w14:paraId="324F6A3F"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sidRPr="00D06114">
              <w:rPr>
                <w:rFonts w:ascii="Times New Roman" w:eastAsia="Times New Roman" w:hAnsi="Times New Roman" w:cs="Times New Roman"/>
                <w:color w:val="000000"/>
                <w:sz w:val="22"/>
                <w:szCs w:val="22"/>
              </w:rPr>
              <w:t>205</w:t>
            </w:r>
          </w:p>
        </w:tc>
        <w:tc>
          <w:tcPr>
            <w:tcW w:w="900" w:type="dxa"/>
            <w:tcBorders>
              <w:left w:val="thinThickMediumGap" w:sz="18" w:space="0" w:color="auto"/>
            </w:tcBorders>
          </w:tcPr>
          <w:p w14:paraId="2BABB799"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272</w:t>
            </w:r>
          </w:p>
        </w:tc>
        <w:tc>
          <w:tcPr>
            <w:tcW w:w="900" w:type="dxa"/>
            <w:tcBorders>
              <w:left w:val="single" w:sz="12" w:space="0" w:color="auto"/>
            </w:tcBorders>
          </w:tcPr>
          <w:p w14:paraId="75AF31B6"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205</w:t>
            </w:r>
          </w:p>
        </w:tc>
        <w:tc>
          <w:tcPr>
            <w:tcW w:w="900" w:type="dxa"/>
            <w:tcBorders>
              <w:left w:val="single" w:sz="12" w:space="0" w:color="auto"/>
            </w:tcBorders>
          </w:tcPr>
          <w:p w14:paraId="5D12F7BF" w14:textId="77777777"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302</w:t>
            </w:r>
          </w:p>
        </w:tc>
        <w:tc>
          <w:tcPr>
            <w:tcW w:w="900" w:type="dxa"/>
            <w:tcBorders>
              <w:left w:val="single" w:sz="12" w:space="0" w:color="auto"/>
              <w:right w:val="single" w:sz="18" w:space="0" w:color="auto"/>
            </w:tcBorders>
          </w:tcPr>
          <w:p w14:paraId="3BB73221" w14:textId="203B8E90" w:rsidR="00E523FD" w:rsidRPr="00D06114" w:rsidRDefault="00E523FD" w:rsidP="00123BE5">
            <w:pPr>
              <w:keepNext/>
              <w:keepLine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w:t>
            </w:r>
            <w:r w:rsidR="00963ECB">
              <w:rPr>
                <w:rFonts w:ascii="Times New Roman" w:eastAsia="Times New Roman" w:hAnsi="Times New Roman" w:cs="Times New Roman"/>
                <w:color w:val="000000"/>
                <w:sz w:val="22"/>
                <w:szCs w:val="22"/>
              </w:rPr>
              <w:t>4</w:t>
            </w:r>
          </w:p>
        </w:tc>
      </w:tr>
    </w:tbl>
    <w:p w14:paraId="03CDCB7A" w14:textId="77777777" w:rsidR="00E523FD" w:rsidRPr="00995C17" w:rsidRDefault="00E523FD" w:rsidP="00E523FD">
      <w:pPr>
        <w:spacing w:line="480" w:lineRule="auto"/>
        <w:ind w:firstLine="360"/>
        <w:rPr>
          <w:rFonts w:ascii="Times New Roman" w:hAnsi="Times New Roman" w:cs="Times New Roman"/>
          <w:i/>
        </w:rPr>
      </w:pPr>
    </w:p>
    <w:p w14:paraId="0903CB22" w14:textId="05A3AE28" w:rsidR="00E523FD" w:rsidRDefault="00E523FD" w:rsidP="00E523FD">
      <w:pPr>
        <w:spacing w:line="480" w:lineRule="auto"/>
        <w:ind w:firstLine="720"/>
        <w:rPr>
          <w:rFonts w:ascii="Times New Roman" w:hAnsi="Times New Roman" w:cs="Times New Roman"/>
        </w:rPr>
      </w:pPr>
      <w:r>
        <w:rPr>
          <w:rFonts w:ascii="Times New Roman" w:hAnsi="Times New Roman" w:cs="Times New Roman"/>
        </w:rPr>
        <w:t>If the time to conversion or dismissal for failed plans is not included, then t</w:t>
      </w:r>
      <w:r w:rsidRPr="00995C17">
        <w:rPr>
          <w:rFonts w:ascii="Times New Roman" w:hAnsi="Times New Roman" w:cs="Times New Roman"/>
        </w:rPr>
        <w:t xml:space="preserve">he median time </w:t>
      </w:r>
      <w:r>
        <w:rPr>
          <w:rFonts w:ascii="Times New Roman" w:hAnsi="Times New Roman" w:cs="Times New Roman"/>
        </w:rPr>
        <w:t xml:space="preserve">from the start of the chapter 11 case </w:t>
      </w:r>
      <w:r w:rsidRPr="00995C17">
        <w:rPr>
          <w:rFonts w:ascii="Times New Roman" w:hAnsi="Times New Roman" w:cs="Times New Roman"/>
        </w:rPr>
        <w:t xml:space="preserve">to conversion or dismissal is </w:t>
      </w:r>
      <w:r>
        <w:rPr>
          <w:rFonts w:ascii="Times New Roman" w:hAnsi="Times New Roman" w:cs="Times New Roman"/>
        </w:rPr>
        <w:t xml:space="preserve">about </w:t>
      </w:r>
      <w:r w:rsidR="00123BE5">
        <w:rPr>
          <w:rFonts w:ascii="Times New Roman" w:hAnsi="Times New Roman" w:cs="Times New Roman"/>
        </w:rPr>
        <w:t xml:space="preserve">7-½ </w:t>
      </w:r>
      <w:r>
        <w:rPr>
          <w:rFonts w:ascii="Times New Roman" w:hAnsi="Times New Roman" w:cs="Times New Roman"/>
        </w:rPr>
        <w:t>months for 2010 and greater than</w:t>
      </w:r>
      <w:r w:rsidRPr="00995C17">
        <w:rPr>
          <w:rFonts w:ascii="Times New Roman" w:hAnsi="Times New Roman" w:cs="Times New Roman"/>
        </w:rPr>
        <w:t xml:space="preserve"> </w:t>
      </w:r>
      <w:r w:rsidR="00123BE5">
        <w:rPr>
          <w:rFonts w:ascii="Times New Roman" w:hAnsi="Times New Roman" w:cs="Times New Roman"/>
        </w:rPr>
        <w:t xml:space="preserve">6-½ </w:t>
      </w:r>
      <w:r w:rsidRPr="00995C17">
        <w:rPr>
          <w:rFonts w:ascii="Times New Roman" w:hAnsi="Times New Roman" w:cs="Times New Roman"/>
        </w:rPr>
        <w:t>months</w:t>
      </w:r>
      <w:r>
        <w:rPr>
          <w:rFonts w:ascii="Times New Roman" w:hAnsi="Times New Roman" w:cs="Times New Roman"/>
        </w:rPr>
        <w:t xml:space="preserve"> for 2013. </w:t>
      </w:r>
      <w:r>
        <w:rPr>
          <w:rFonts w:ascii="Times New Roman" w:hAnsi="Times New Roman" w:cs="Times New Roman"/>
          <w:i/>
        </w:rPr>
        <w:t xml:space="preserve">See </w:t>
      </w:r>
      <w:r>
        <w:rPr>
          <w:rFonts w:ascii="Times New Roman" w:hAnsi="Times New Roman" w:cs="Times New Roman"/>
        </w:rPr>
        <w:t xml:space="preserve">Table </w:t>
      </w:r>
      <w:r w:rsidR="00DB4EAD">
        <w:rPr>
          <w:rFonts w:ascii="Times New Roman" w:hAnsi="Times New Roman" w:cs="Times New Roman"/>
        </w:rPr>
        <w:t>57,</w:t>
      </w:r>
      <w:r>
        <w:rPr>
          <w:rFonts w:ascii="Times New Roman" w:hAnsi="Times New Roman" w:cs="Times New Roman"/>
        </w:rPr>
        <w:t xml:space="preserve"> Column (A). If failed plans are not included and the time to conversion or dismissal is measured from the start of bankruptcy proceedings, regardless of chapter, the median period increases by more than two months to close to ten months in 2010; the increase in median time is only </w:t>
      </w:r>
      <w:r w:rsidR="006C68D6">
        <w:rPr>
          <w:rFonts w:ascii="Times New Roman" w:hAnsi="Times New Roman" w:cs="Times New Roman"/>
        </w:rPr>
        <w:t>two</w:t>
      </w:r>
      <w:r>
        <w:rPr>
          <w:rFonts w:ascii="Times New Roman" w:hAnsi="Times New Roman" w:cs="Times New Roman"/>
        </w:rPr>
        <w:t xml:space="preserve"> days for 2013. </w:t>
      </w:r>
      <w:r>
        <w:rPr>
          <w:rFonts w:ascii="Times New Roman" w:hAnsi="Times New Roman" w:cs="Times New Roman"/>
          <w:i/>
        </w:rPr>
        <w:t xml:space="preserve">See </w:t>
      </w:r>
      <w:r>
        <w:rPr>
          <w:rFonts w:ascii="Times New Roman" w:hAnsi="Times New Roman" w:cs="Times New Roman"/>
        </w:rPr>
        <w:t xml:space="preserve">Column (B) of Table </w:t>
      </w:r>
      <w:r w:rsidR="00DB4EAD">
        <w:rPr>
          <w:rFonts w:ascii="Times New Roman" w:hAnsi="Times New Roman" w:cs="Times New Roman"/>
        </w:rPr>
        <w:t>57</w:t>
      </w:r>
      <w:r>
        <w:rPr>
          <w:rFonts w:ascii="Times New Roman" w:hAnsi="Times New Roman" w:cs="Times New Roman"/>
        </w:rPr>
        <w:t xml:space="preserve">. Of course, </w:t>
      </w:r>
      <w:r w:rsidR="007E4F0D">
        <w:rPr>
          <w:rFonts w:ascii="Times New Roman" w:hAnsi="Times New Roman" w:cs="Times New Roman"/>
        </w:rPr>
        <w:t>six</w:t>
      </w:r>
      <w:r>
        <w:rPr>
          <w:rFonts w:ascii="Times New Roman" w:hAnsi="Times New Roman" w:cs="Times New Roman"/>
        </w:rPr>
        <w:t xml:space="preserve"> cases from 2013 are still open with no disposition,</w:t>
      </w:r>
      <w:r>
        <w:rPr>
          <w:rStyle w:val="FootnoteReference"/>
          <w:rFonts w:ascii="Times New Roman" w:hAnsi="Times New Roman" w:cs="Times New Roman"/>
        </w:rPr>
        <w:footnoteReference w:id="315"/>
      </w:r>
      <w:r>
        <w:rPr>
          <w:rFonts w:ascii="Times New Roman" w:hAnsi="Times New Roman" w:cs="Times New Roman"/>
        </w:rPr>
        <w:t xml:space="preserve"> which may account for the shorter period to conversion or dismissal for the 2013 cases compared with those from the 2010 sample. Stated more simply, the 2013 cases have had less time to fail. </w:t>
      </w:r>
    </w:p>
    <w:p w14:paraId="5BA67EA0" w14:textId="4F75A415" w:rsidR="006C68D6" w:rsidRDefault="00E523FD" w:rsidP="00FC38D9">
      <w:pPr>
        <w:spacing w:line="480" w:lineRule="auto"/>
        <w:ind w:firstLine="720"/>
        <w:rPr>
          <w:rFonts w:ascii="Times New Roman" w:hAnsi="Times New Roman" w:cs="Times New Roman"/>
        </w:rPr>
      </w:pPr>
      <w:r>
        <w:rPr>
          <w:rFonts w:ascii="Times New Roman" w:hAnsi="Times New Roman" w:cs="Times New Roman"/>
        </w:rPr>
        <w:t xml:space="preserve">When we include the time to conversion or dismissal for failed plans, the median time increases, although perhaps by less than expected. This is because most of our failed cases failed before a plan was confirmed. Just five of our 2010 cases and three of our 2013 cases failed after plan confirmation. In 2010, the median time to conversion or dismissal from the start of the chapter 11 case increased a month </w:t>
      </w:r>
      <w:r w:rsidR="006C68D6">
        <w:rPr>
          <w:rFonts w:ascii="Times New Roman" w:hAnsi="Times New Roman" w:cs="Times New Roman"/>
        </w:rPr>
        <w:t xml:space="preserve">and a half </w:t>
      </w:r>
      <w:r>
        <w:rPr>
          <w:rFonts w:ascii="Times New Roman" w:hAnsi="Times New Roman" w:cs="Times New Roman"/>
        </w:rPr>
        <w:t>from 22</w:t>
      </w:r>
      <w:r w:rsidR="006C68D6">
        <w:rPr>
          <w:rFonts w:ascii="Times New Roman" w:hAnsi="Times New Roman" w:cs="Times New Roman"/>
        </w:rPr>
        <w:t>7</w:t>
      </w:r>
      <w:r>
        <w:rPr>
          <w:rFonts w:ascii="Times New Roman" w:hAnsi="Times New Roman" w:cs="Times New Roman"/>
        </w:rPr>
        <w:t xml:space="preserve"> to 2</w:t>
      </w:r>
      <w:r w:rsidR="006C68D6">
        <w:rPr>
          <w:rFonts w:ascii="Times New Roman" w:hAnsi="Times New Roman" w:cs="Times New Roman"/>
        </w:rPr>
        <w:t>72</w:t>
      </w:r>
      <w:r>
        <w:rPr>
          <w:rFonts w:ascii="Times New Roman" w:hAnsi="Times New Roman" w:cs="Times New Roman"/>
        </w:rPr>
        <w:t xml:space="preserve"> days. </w:t>
      </w:r>
      <w:r>
        <w:rPr>
          <w:rFonts w:ascii="Times New Roman" w:hAnsi="Times New Roman" w:cs="Times New Roman"/>
          <w:i/>
        </w:rPr>
        <w:t xml:space="preserve">Compare </w:t>
      </w:r>
      <w:r>
        <w:rPr>
          <w:rFonts w:ascii="Times New Roman" w:hAnsi="Times New Roman" w:cs="Times New Roman"/>
        </w:rPr>
        <w:t xml:space="preserve">Column (A) with Column (C) of Table </w:t>
      </w:r>
      <w:r w:rsidR="00DB4EAD">
        <w:rPr>
          <w:rFonts w:ascii="Times New Roman" w:hAnsi="Times New Roman" w:cs="Times New Roman"/>
        </w:rPr>
        <w:t>57</w:t>
      </w:r>
      <w:r>
        <w:rPr>
          <w:rFonts w:ascii="Times New Roman" w:hAnsi="Times New Roman" w:cs="Times New Roman"/>
        </w:rPr>
        <w:t xml:space="preserve">. The impact of the failed plans is less dramatic for 2013, no doubt due to the fact that less time has elapsed between our coding and the start of the 2013 cases. As a result, not only are there fewer failed plans but plans that take longer to fail are less likely to appear in the 2013, than </w:t>
      </w:r>
      <w:r w:rsidR="00A77EF6">
        <w:rPr>
          <w:rFonts w:ascii="Times New Roman" w:hAnsi="Times New Roman" w:cs="Times New Roman"/>
        </w:rPr>
        <w:t xml:space="preserve">in </w:t>
      </w:r>
      <w:r>
        <w:rPr>
          <w:rFonts w:ascii="Times New Roman" w:hAnsi="Times New Roman" w:cs="Times New Roman"/>
        </w:rPr>
        <w:t xml:space="preserve">the 2010, figures. </w:t>
      </w:r>
    </w:p>
    <w:p w14:paraId="14AB2348" w14:textId="19785541" w:rsidR="00FC38D9" w:rsidRPr="005F7FD9" w:rsidRDefault="00FC38D9" w:rsidP="00FC38D9">
      <w:pPr>
        <w:spacing w:line="480" w:lineRule="auto"/>
        <w:ind w:firstLine="720"/>
        <w:rPr>
          <w:rFonts w:ascii="Times New Roman" w:hAnsi="Times New Roman" w:cs="Times New Roman"/>
          <w:u w:val="single"/>
        </w:rPr>
      </w:pPr>
      <w:r>
        <w:rPr>
          <w:rFonts w:ascii="Times New Roman" w:hAnsi="Times New Roman" w:cs="Times New Roman"/>
        </w:rPr>
        <w:t xml:space="preserve">By </w:t>
      </w:r>
      <w:r w:rsidR="007E4F0D">
        <w:rPr>
          <w:rFonts w:ascii="Times New Roman" w:hAnsi="Times New Roman" w:cs="Times New Roman"/>
        </w:rPr>
        <w:t>any of these</w:t>
      </w:r>
      <w:r>
        <w:rPr>
          <w:rFonts w:ascii="Times New Roman" w:hAnsi="Times New Roman" w:cs="Times New Roman"/>
        </w:rPr>
        <w:t xml:space="preserve"> measure</w:t>
      </w:r>
      <w:r w:rsidR="007E4F0D">
        <w:rPr>
          <w:rFonts w:ascii="Times New Roman" w:hAnsi="Times New Roman" w:cs="Times New Roman"/>
        </w:rPr>
        <w:t>s</w:t>
      </w:r>
      <w:r>
        <w:rPr>
          <w:rFonts w:ascii="Times New Roman" w:hAnsi="Times New Roman" w:cs="Times New Roman"/>
        </w:rPr>
        <w:t xml:space="preserve">, </w:t>
      </w:r>
      <w:r w:rsidR="006C68D6">
        <w:rPr>
          <w:rFonts w:ascii="Times New Roman" w:hAnsi="Times New Roman" w:cs="Times New Roman"/>
        </w:rPr>
        <w:t xml:space="preserve">however, </w:t>
      </w:r>
      <w:r>
        <w:rPr>
          <w:rFonts w:ascii="Times New Roman" w:hAnsi="Times New Roman" w:cs="Times New Roman"/>
        </w:rPr>
        <w:t xml:space="preserve">chapter 11 is succeeding. Bankruptcy courts dismissed or converted half the cases in the </w:t>
      </w:r>
      <w:r w:rsidR="007E4F0D">
        <w:rPr>
          <w:rFonts w:ascii="Times New Roman" w:hAnsi="Times New Roman" w:cs="Times New Roman"/>
        </w:rPr>
        <w:t xml:space="preserve">2010 </w:t>
      </w:r>
      <w:r>
        <w:rPr>
          <w:rFonts w:ascii="Times New Roman" w:hAnsi="Times New Roman" w:cs="Times New Roman"/>
        </w:rPr>
        <w:t>random sample in 2</w:t>
      </w:r>
      <w:r w:rsidR="007E4F0D">
        <w:rPr>
          <w:rFonts w:ascii="Times New Roman" w:hAnsi="Times New Roman" w:cs="Times New Roman"/>
        </w:rPr>
        <w:t>27 days</w:t>
      </w:r>
      <w:r>
        <w:rPr>
          <w:rFonts w:ascii="Times New Roman" w:hAnsi="Times New Roman" w:cs="Times New Roman"/>
        </w:rPr>
        <w:t xml:space="preserve"> or approximately </w:t>
      </w:r>
      <w:r w:rsidR="00D5123F">
        <w:rPr>
          <w:rFonts w:ascii="Times New Roman" w:hAnsi="Times New Roman" w:cs="Times New Roman"/>
        </w:rPr>
        <w:t>7-</w:t>
      </w:r>
      <w:r w:rsidR="007E4F0D">
        <w:rPr>
          <w:rFonts w:ascii="Times New Roman" w:hAnsi="Times New Roman" w:cs="Times New Roman"/>
        </w:rPr>
        <w:t>½ months from the start of the chapter 11 case</w:t>
      </w:r>
      <w:r w:rsidR="00CE5662">
        <w:rPr>
          <w:rFonts w:ascii="Times New Roman" w:hAnsi="Times New Roman" w:cs="Times New Roman"/>
        </w:rPr>
        <w:t>.</w:t>
      </w:r>
      <w:r>
        <w:rPr>
          <w:rFonts w:ascii="Times New Roman" w:hAnsi="Times New Roman" w:cs="Times New Roman"/>
        </w:rPr>
        <w:t xml:space="preserve"> Th</w:t>
      </w:r>
      <w:r w:rsidR="0022569A">
        <w:rPr>
          <w:rFonts w:ascii="Times New Roman" w:hAnsi="Times New Roman" w:cs="Times New Roman"/>
        </w:rPr>
        <w:t>is</w:t>
      </w:r>
      <w:r>
        <w:rPr>
          <w:rFonts w:ascii="Times New Roman" w:hAnsi="Times New Roman" w:cs="Times New Roman"/>
        </w:rPr>
        <w:t xml:space="preserve"> time </w:t>
      </w:r>
      <w:r w:rsidR="007E4F0D">
        <w:rPr>
          <w:rFonts w:ascii="Times New Roman" w:hAnsi="Times New Roman" w:cs="Times New Roman"/>
        </w:rPr>
        <w:t>frame</w:t>
      </w:r>
      <w:r w:rsidR="0022569A">
        <w:rPr>
          <w:rFonts w:ascii="Times New Roman" w:hAnsi="Times New Roman" w:cs="Times New Roman"/>
        </w:rPr>
        <w:t xml:space="preserve"> is</w:t>
      </w:r>
      <w:r w:rsidR="00D5123F">
        <w:rPr>
          <w:rFonts w:ascii="Times New Roman" w:hAnsi="Times New Roman" w:cs="Times New Roman"/>
        </w:rPr>
        <w:t xml:space="preserve"> 2-</w:t>
      </w:r>
      <w:r w:rsidR="007E4F0D">
        <w:rPr>
          <w:rFonts w:ascii="Times New Roman" w:hAnsi="Times New Roman" w:cs="Times New Roman"/>
        </w:rPr>
        <w:t xml:space="preserve">½ months </w:t>
      </w:r>
      <w:r>
        <w:rPr>
          <w:rFonts w:ascii="Times New Roman" w:hAnsi="Times New Roman" w:cs="Times New Roman"/>
        </w:rPr>
        <w:t>less than the 300-day “drop dead” date that Congress created for small business debtors to propose a plan</w:t>
      </w:r>
      <w:r w:rsidR="00F639B8">
        <w:rPr>
          <w:rFonts w:ascii="Times New Roman" w:hAnsi="Times New Roman" w:cs="Times New Roman"/>
        </w:rPr>
        <w:t>.</w:t>
      </w:r>
      <w:r>
        <w:rPr>
          <w:rStyle w:val="FootnoteReference"/>
          <w:rFonts w:ascii="Times New Roman" w:hAnsi="Times New Roman" w:cs="Times New Roman"/>
        </w:rPr>
        <w:footnoteReference w:id="316"/>
      </w:r>
      <w:r>
        <w:rPr>
          <w:rFonts w:ascii="Times New Roman" w:hAnsi="Times New Roman" w:cs="Times New Roman"/>
        </w:rPr>
        <w:t xml:space="preserve"> </w:t>
      </w:r>
    </w:p>
    <w:p w14:paraId="1E7FE283" w14:textId="41E047C7" w:rsidR="005A15D4" w:rsidRPr="00AE0FFE" w:rsidRDefault="005A15D4" w:rsidP="00752259">
      <w:pPr>
        <w:tabs>
          <w:tab w:val="left" w:pos="720"/>
        </w:tabs>
        <w:spacing w:line="480" w:lineRule="auto"/>
        <w:rPr>
          <w:rFonts w:ascii="Times New Roman" w:hAnsi="Times New Roman" w:cs="Times New Roman"/>
          <w:b/>
        </w:rPr>
      </w:pPr>
      <w:r w:rsidRPr="00AE0FFE">
        <w:rPr>
          <w:rFonts w:ascii="Times New Roman" w:hAnsi="Times New Roman" w:cs="Times New Roman"/>
          <w:b/>
        </w:rPr>
        <w:t xml:space="preserve">V. </w:t>
      </w:r>
      <w:r w:rsidR="00E20922">
        <w:rPr>
          <w:rFonts w:ascii="Times New Roman" w:hAnsi="Times New Roman" w:cs="Times New Roman"/>
          <w:b/>
        </w:rPr>
        <w:tab/>
      </w:r>
      <w:r w:rsidRPr="00AE0FFE">
        <w:rPr>
          <w:rFonts w:ascii="Times New Roman" w:hAnsi="Times New Roman" w:cs="Times New Roman"/>
          <w:b/>
        </w:rPr>
        <w:t>Conclusion</w:t>
      </w:r>
    </w:p>
    <w:p w14:paraId="777E49F9" w14:textId="51B2261C" w:rsidR="00E93D6D" w:rsidRDefault="005B31A2" w:rsidP="00C04F5F">
      <w:pPr>
        <w:spacing w:line="480" w:lineRule="auto"/>
        <w:ind w:firstLine="720"/>
        <w:rPr>
          <w:rFonts w:ascii="Times New Roman" w:hAnsi="Times New Roman" w:cs="Times New Roman"/>
        </w:rPr>
      </w:pPr>
      <w:r>
        <w:rPr>
          <w:rFonts w:ascii="Times New Roman" w:hAnsi="Times New Roman" w:cs="Times New Roman"/>
        </w:rPr>
        <w:t>Individuals now account for between a quarter an</w:t>
      </w:r>
      <w:r w:rsidR="00E20922">
        <w:rPr>
          <w:rFonts w:ascii="Times New Roman" w:hAnsi="Times New Roman" w:cs="Times New Roman"/>
        </w:rPr>
        <w:t>d</w:t>
      </w:r>
      <w:r>
        <w:rPr>
          <w:rFonts w:ascii="Times New Roman" w:hAnsi="Times New Roman" w:cs="Times New Roman"/>
        </w:rPr>
        <w:t xml:space="preserve"> a third of all </w:t>
      </w:r>
      <w:r w:rsidR="00AA091B">
        <w:rPr>
          <w:rFonts w:ascii="Times New Roman" w:hAnsi="Times New Roman" w:cs="Times New Roman"/>
        </w:rPr>
        <w:t>chapter</w:t>
      </w:r>
      <w:r>
        <w:rPr>
          <w:rFonts w:ascii="Times New Roman" w:hAnsi="Times New Roman" w:cs="Times New Roman"/>
        </w:rPr>
        <w:t xml:space="preserve"> 11 filings nationally</w:t>
      </w:r>
      <w:r w:rsidR="008A23BA">
        <w:rPr>
          <w:rFonts w:ascii="Times New Roman" w:hAnsi="Times New Roman" w:cs="Times New Roman"/>
        </w:rPr>
        <w:t>.</w:t>
      </w:r>
      <w:r w:rsidR="006650BB">
        <w:rPr>
          <w:rStyle w:val="FootnoteReference"/>
          <w:rFonts w:ascii="Times New Roman" w:hAnsi="Times New Roman" w:cs="Times New Roman"/>
        </w:rPr>
        <w:footnoteReference w:id="317"/>
      </w:r>
      <w:r w:rsidR="008A23BA">
        <w:rPr>
          <w:rFonts w:ascii="Times New Roman" w:hAnsi="Times New Roman" w:cs="Times New Roman"/>
        </w:rPr>
        <w:t xml:space="preserve"> Perhaps these debtors belong in chapter 13, the more common individual reorganization</w:t>
      </w:r>
      <w:r w:rsidR="00E93D6D">
        <w:rPr>
          <w:rFonts w:ascii="Times New Roman" w:hAnsi="Times New Roman" w:cs="Times New Roman"/>
        </w:rPr>
        <w:t>, but their choices suggest</w:t>
      </w:r>
      <w:r w:rsidR="00236FE9">
        <w:rPr>
          <w:rFonts w:ascii="Times New Roman" w:hAnsi="Times New Roman" w:cs="Times New Roman"/>
        </w:rPr>
        <w:t xml:space="preserve"> </w:t>
      </w:r>
      <w:r w:rsidR="00AC50E3">
        <w:rPr>
          <w:rFonts w:ascii="Times New Roman" w:hAnsi="Times New Roman" w:cs="Times New Roman"/>
        </w:rPr>
        <w:t>that they disagree</w:t>
      </w:r>
      <w:r w:rsidR="00E93D6D">
        <w:rPr>
          <w:rFonts w:ascii="Times New Roman" w:hAnsi="Times New Roman" w:cs="Times New Roman"/>
        </w:rPr>
        <w:t xml:space="preserve">. </w:t>
      </w:r>
      <w:r w:rsidR="00722F5C">
        <w:rPr>
          <w:rFonts w:ascii="Times New Roman" w:hAnsi="Times New Roman" w:cs="Times New Roman"/>
        </w:rPr>
        <w:t>We f</w:t>
      </w:r>
      <w:r w:rsidR="00E20922">
        <w:rPr>
          <w:rFonts w:ascii="Times New Roman" w:hAnsi="Times New Roman" w:cs="Times New Roman"/>
        </w:rPr>
        <w:t xml:space="preserve">ound </w:t>
      </w:r>
      <w:r w:rsidR="00722F5C">
        <w:rPr>
          <w:rFonts w:ascii="Times New Roman" w:hAnsi="Times New Roman" w:cs="Times New Roman"/>
        </w:rPr>
        <w:t>that as</w:t>
      </w:r>
      <w:r w:rsidR="00196A1A">
        <w:rPr>
          <w:rFonts w:ascii="Times New Roman" w:hAnsi="Times New Roman" w:cs="Times New Roman"/>
        </w:rPr>
        <w:t xml:space="preserve"> many </w:t>
      </w:r>
      <w:r w:rsidR="00A77EF6">
        <w:rPr>
          <w:rFonts w:ascii="Times New Roman" w:hAnsi="Times New Roman" w:cs="Times New Roman"/>
        </w:rPr>
        <w:t xml:space="preserve">as </w:t>
      </w:r>
      <w:r w:rsidR="00196A1A">
        <w:rPr>
          <w:rFonts w:ascii="Times New Roman" w:hAnsi="Times New Roman" w:cs="Times New Roman"/>
        </w:rPr>
        <w:t xml:space="preserve">46% of </w:t>
      </w:r>
      <w:r w:rsidR="00E20922">
        <w:rPr>
          <w:rFonts w:ascii="Times New Roman" w:hAnsi="Times New Roman" w:cs="Times New Roman"/>
        </w:rPr>
        <w:t xml:space="preserve">the </w:t>
      </w:r>
      <w:r w:rsidR="00AA091B">
        <w:rPr>
          <w:rFonts w:ascii="Times New Roman" w:hAnsi="Times New Roman" w:cs="Times New Roman"/>
        </w:rPr>
        <w:t>chapter</w:t>
      </w:r>
      <w:r w:rsidR="00196A1A">
        <w:rPr>
          <w:rFonts w:ascii="Times New Roman" w:hAnsi="Times New Roman" w:cs="Times New Roman"/>
        </w:rPr>
        <w:t xml:space="preserve"> 11 debtors </w:t>
      </w:r>
      <w:r w:rsidR="00E20922">
        <w:rPr>
          <w:rFonts w:ascii="Times New Roman" w:hAnsi="Times New Roman" w:cs="Times New Roman"/>
        </w:rPr>
        <w:t xml:space="preserve">in the 2013 sample had liabilities below </w:t>
      </w:r>
      <w:r w:rsidR="00AA091B">
        <w:rPr>
          <w:rFonts w:ascii="Times New Roman" w:hAnsi="Times New Roman" w:cs="Times New Roman"/>
        </w:rPr>
        <w:t>chapter</w:t>
      </w:r>
      <w:r w:rsidR="00196A1A">
        <w:rPr>
          <w:rFonts w:ascii="Times New Roman" w:hAnsi="Times New Roman" w:cs="Times New Roman"/>
        </w:rPr>
        <w:t xml:space="preserve"> 13’s debt limits</w:t>
      </w:r>
      <w:r w:rsidR="00F70B83">
        <w:rPr>
          <w:rFonts w:ascii="Times New Roman" w:hAnsi="Times New Roman" w:cs="Times New Roman"/>
        </w:rPr>
        <w:t>, yet still chose chapter 11</w:t>
      </w:r>
      <w:r w:rsidR="00E93D6D">
        <w:rPr>
          <w:rFonts w:ascii="Times New Roman" w:hAnsi="Times New Roman" w:cs="Times New Roman"/>
        </w:rPr>
        <w:t>.</w:t>
      </w:r>
      <w:r w:rsidR="00196A1A">
        <w:rPr>
          <w:rStyle w:val="FootnoteReference"/>
          <w:rFonts w:ascii="Times New Roman" w:hAnsi="Times New Roman" w:cs="Times New Roman"/>
        </w:rPr>
        <w:footnoteReference w:id="318"/>
      </w:r>
      <w:r w:rsidR="00E93D6D">
        <w:rPr>
          <w:rFonts w:ascii="Times New Roman" w:hAnsi="Times New Roman" w:cs="Times New Roman"/>
        </w:rPr>
        <w:t xml:space="preserve"> The rules governing individual chapter 11 bankruptcies are very different than those that govern chapter 13, and it is possible that </w:t>
      </w:r>
      <w:r w:rsidR="00236FE9">
        <w:rPr>
          <w:rFonts w:ascii="Times New Roman" w:hAnsi="Times New Roman" w:cs="Times New Roman"/>
        </w:rPr>
        <w:t>the latter</w:t>
      </w:r>
      <w:r w:rsidR="00E93D6D">
        <w:rPr>
          <w:rFonts w:ascii="Times New Roman" w:hAnsi="Times New Roman" w:cs="Times New Roman"/>
        </w:rPr>
        <w:t xml:space="preserve"> would b</w:t>
      </w:r>
      <w:r w:rsidR="00B10ACC">
        <w:rPr>
          <w:rFonts w:ascii="Times New Roman" w:hAnsi="Times New Roman" w:cs="Times New Roman"/>
        </w:rPr>
        <w:t>e a poor fit for these debtors.</w:t>
      </w:r>
      <w:r w:rsidR="00E93D6D">
        <w:rPr>
          <w:rFonts w:ascii="Times New Roman" w:hAnsi="Times New Roman" w:cs="Times New Roman"/>
        </w:rPr>
        <w:t xml:space="preserve"> </w:t>
      </w:r>
      <w:r w:rsidR="00236FE9">
        <w:rPr>
          <w:rFonts w:ascii="Times New Roman" w:hAnsi="Times New Roman" w:cs="Times New Roman"/>
        </w:rPr>
        <w:t>C</w:t>
      </w:r>
      <w:r w:rsidR="00AA091B">
        <w:rPr>
          <w:rFonts w:ascii="Times New Roman" w:hAnsi="Times New Roman" w:cs="Times New Roman"/>
        </w:rPr>
        <w:t>hapter</w:t>
      </w:r>
      <w:r w:rsidR="00722F5C">
        <w:rPr>
          <w:rFonts w:ascii="Times New Roman" w:hAnsi="Times New Roman" w:cs="Times New Roman"/>
        </w:rPr>
        <w:t xml:space="preserve"> 11 debtors have much higher incomes,</w:t>
      </w:r>
      <w:r w:rsidR="006650BB">
        <w:rPr>
          <w:rStyle w:val="FootnoteReference"/>
          <w:rFonts w:ascii="Times New Roman" w:hAnsi="Times New Roman" w:cs="Times New Roman"/>
        </w:rPr>
        <w:footnoteReference w:id="319"/>
      </w:r>
      <w:r w:rsidR="00722F5C">
        <w:rPr>
          <w:rFonts w:ascii="Times New Roman" w:hAnsi="Times New Roman" w:cs="Times New Roman"/>
        </w:rPr>
        <w:t xml:space="preserve"> </w:t>
      </w:r>
      <w:r w:rsidR="00E20922">
        <w:rPr>
          <w:rFonts w:ascii="Times New Roman" w:hAnsi="Times New Roman" w:cs="Times New Roman"/>
        </w:rPr>
        <w:t xml:space="preserve">substantially </w:t>
      </w:r>
      <w:r w:rsidR="00722F5C">
        <w:rPr>
          <w:rFonts w:ascii="Times New Roman" w:hAnsi="Times New Roman" w:cs="Times New Roman"/>
        </w:rPr>
        <w:t>more assets and much more debt,</w:t>
      </w:r>
      <w:r w:rsidR="006650BB">
        <w:rPr>
          <w:rStyle w:val="FootnoteReference"/>
          <w:rFonts w:ascii="Times New Roman" w:hAnsi="Times New Roman" w:cs="Times New Roman"/>
        </w:rPr>
        <w:footnoteReference w:id="320"/>
      </w:r>
      <w:r w:rsidR="00722F5C">
        <w:rPr>
          <w:rFonts w:ascii="Times New Roman" w:hAnsi="Times New Roman" w:cs="Times New Roman"/>
        </w:rPr>
        <w:t xml:space="preserve"> and they are </w:t>
      </w:r>
      <w:r w:rsidR="00E20922">
        <w:rPr>
          <w:rFonts w:ascii="Times New Roman" w:hAnsi="Times New Roman" w:cs="Times New Roman"/>
        </w:rPr>
        <w:t>far</w:t>
      </w:r>
      <w:r w:rsidR="00722F5C">
        <w:rPr>
          <w:rFonts w:ascii="Times New Roman" w:hAnsi="Times New Roman" w:cs="Times New Roman"/>
        </w:rPr>
        <w:t xml:space="preserve"> more likely to operate a business.</w:t>
      </w:r>
      <w:r w:rsidR="006650BB">
        <w:rPr>
          <w:rStyle w:val="FootnoteReference"/>
          <w:rFonts w:ascii="Times New Roman" w:hAnsi="Times New Roman" w:cs="Times New Roman"/>
        </w:rPr>
        <w:footnoteReference w:id="321"/>
      </w:r>
      <w:r w:rsidR="00236FE9">
        <w:rPr>
          <w:rFonts w:ascii="Times New Roman" w:hAnsi="Times New Roman" w:cs="Times New Roman"/>
        </w:rPr>
        <w:t xml:space="preserve"> </w:t>
      </w:r>
      <w:r w:rsidR="00196A1A">
        <w:rPr>
          <w:rFonts w:ascii="Times New Roman" w:hAnsi="Times New Roman" w:cs="Times New Roman"/>
        </w:rPr>
        <w:t xml:space="preserve">As a result, they are more likely to have complicated cases and have difficulty complying with the tight deadlines imposed by </w:t>
      </w:r>
      <w:r w:rsidR="00AA091B">
        <w:rPr>
          <w:rFonts w:ascii="Times New Roman" w:hAnsi="Times New Roman" w:cs="Times New Roman"/>
        </w:rPr>
        <w:t>chapter</w:t>
      </w:r>
      <w:r w:rsidR="00196A1A">
        <w:rPr>
          <w:rFonts w:ascii="Times New Roman" w:hAnsi="Times New Roman" w:cs="Times New Roman"/>
        </w:rPr>
        <w:t xml:space="preserve"> 13.</w:t>
      </w:r>
      <w:r w:rsidR="006650BB">
        <w:rPr>
          <w:rStyle w:val="FootnoteReference"/>
          <w:rFonts w:ascii="Times New Roman" w:hAnsi="Times New Roman" w:cs="Times New Roman"/>
        </w:rPr>
        <w:footnoteReference w:id="322"/>
      </w:r>
      <w:r w:rsidR="00196A1A">
        <w:rPr>
          <w:rFonts w:ascii="Times New Roman" w:hAnsi="Times New Roman" w:cs="Times New Roman"/>
        </w:rPr>
        <w:t xml:space="preserve"> </w:t>
      </w:r>
      <w:r w:rsidR="00BF7A03">
        <w:rPr>
          <w:rFonts w:ascii="Times New Roman" w:hAnsi="Times New Roman" w:cs="Times New Roman"/>
        </w:rPr>
        <w:t>C</w:t>
      </w:r>
      <w:r w:rsidR="00AA091B">
        <w:rPr>
          <w:rFonts w:ascii="Times New Roman" w:hAnsi="Times New Roman" w:cs="Times New Roman"/>
        </w:rPr>
        <w:t>hapter</w:t>
      </w:r>
      <w:r w:rsidR="00196A1A">
        <w:rPr>
          <w:rFonts w:ascii="Times New Roman" w:hAnsi="Times New Roman" w:cs="Times New Roman"/>
        </w:rPr>
        <w:t xml:space="preserve"> 11 debtors also have substantial real estate </w:t>
      </w:r>
      <w:r w:rsidR="00E20922">
        <w:rPr>
          <w:rFonts w:ascii="Times New Roman" w:hAnsi="Times New Roman" w:cs="Times New Roman"/>
        </w:rPr>
        <w:t>interests</w:t>
      </w:r>
      <w:r w:rsidR="00551457">
        <w:rPr>
          <w:rStyle w:val="FootnoteReference"/>
          <w:rFonts w:ascii="Times New Roman" w:hAnsi="Times New Roman" w:cs="Times New Roman"/>
        </w:rPr>
        <w:footnoteReference w:id="323"/>
      </w:r>
      <w:r w:rsidR="00E20922">
        <w:rPr>
          <w:rFonts w:ascii="Times New Roman" w:hAnsi="Times New Roman" w:cs="Times New Roman"/>
        </w:rPr>
        <w:t xml:space="preserve"> </w:t>
      </w:r>
      <w:r w:rsidR="00196A1A">
        <w:rPr>
          <w:rFonts w:ascii="Times New Roman" w:hAnsi="Times New Roman" w:cs="Times New Roman"/>
        </w:rPr>
        <w:t>(and substantial mortgage debt</w:t>
      </w:r>
      <w:r w:rsidR="00C12BA6">
        <w:rPr>
          <w:rFonts w:ascii="Times New Roman" w:hAnsi="Times New Roman" w:cs="Times New Roman"/>
        </w:rPr>
        <w:t xml:space="preserve"> that they need to modify</w:t>
      </w:r>
      <w:r w:rsidR="00196A1A">
        <w:rPr>
          <w:rFonts w:ascii="Times New Roman" w:hAnsi="Times New Roman" w:cs="Times New Roman"/>
        </w:rPr>
        <w:t>),</w:t>
      </w:r>
      <w:r w:rsidR="006650BB">
        <w:rPr>
          <w:rStyle w:val="FootnoteReference"/>
          <w:rFonts w:ascii="Times New Roman" w:hAnsi="Times New Roman" w:cs="Times New Roman"/>
        </w:rPr>
        <w:footnoteReference w:id="324"/>
      </w:r>
      <w:r w:rsidR="00196A1A">
        <w:rPr>
          <w:rFonts w:ascii="Times New Roman" w:hAnsi="Times New Roman" w:cs="Times New Roman"/>
        </w:rPr>
        <w:t xml:space="preserve"> and they may</w:t>
      </w:r>
      <w:r w:rsidR="00E20922">
        <w:rPr>
          <w:rFonts w:ascii="Times New Roman" w:hAnsi="Times New Roman" w:cs="Times New Roman"/>
        </w:rPr>
        <w:t>,</w:t>
      </w:r>
      <w:r w:rsidR="00196A1A">
        <w:rPr>
          <w:rFonts w:ascii="Times New Roman" w:hAnsi="Times New Roman" w:cs="Times New Roman"/>
        </w:rPr>
        <w:t xml:space="preserve"> therefore</w:t>
      </w:r>
      <w:r w:rsidR="00E20922">
        <w:rPr>
          <w:rFonts w:ascii="Times New Roman" w:hAnsi="Times New Roman" w:cs="Times New Roman"/>
        </w:rPr>
        <w:t>,</w:t>
      </w:r>
      <w:r w:rsidR="00196A1A">
        <w:rPr>
          <w:rFonts w:ascii="Times New Roman" w:hAnsi="Times New Roman" w:cs="Times New Roman"/>
        </w:rPr>
        <w:t xml:space="preserve"> need plan</w:t>
      </w:r>
      <w:r w:rsidR="006650BB">
        <w:rPr>
          <w:rFonts w:ascii="Times New Roman" w:hAnsi="Times New Roman" w:cs="Times New Roman"/>
        </w:rPr>
        <w:t>s</w:t>
      </w:r>
      <w:r w:rsidR="00196A1A">
        <w:rPr>
          <w:rFonts w:ascii="Times New Roman" w:hAnsi="Times New Roman" w:cs="Times New Roman"/>
        </w:rPr>
        <w:t xml:space="preserve"> of reorganization that extend </w:t>
      </w:r>
      <w:r w:rsidR="00E20922">
        <w:rPr>
          <w:rFonts w:ascii="Times New Roman" w:hAnsi="Times New Roman" w:cs="Times New Roman"/>
        </w:rPr>
        <w:t>beyond</w:t>
      </w:r>
      <w:r w:rsidR="00196A1A">
        <w:rPr>
          <w:rFonts w:ascii="Times New Roman" w:hAnsi="Times New Roman" w:cs="Times New Roman"/>
        </w:rPr>
        <w:t xml:space="preserve"> five years.</w:t>
      </w:r>
      <w:r w:rsidR="006650BB">
        <w:rPr>
          <w:rStyle w:val="FootnoteReference"/>
          <w:rFonts w:ascii="Times New Roman" w:hAnsi="Times New Roman" w:cs="Times New Roman"/>
        </w:rPr>
        <w:footnoteReference w:id="325"/>
      </w:r>
    </w:p>
    <w:p w14:paraId="5F8AC41F" w14:textId="3B656254" w:rsidR="00C46892" w:rsidRDefault="00E93D6D" w:rsidP="00C04F5F">
      <w:pPr>
        <w:spacing w:line="480" w:lineRule="auto"/>
        <w:ind w:firstLine="720"/>
        <w:rPr>
          <w:rFonts w:ascii="Times New Roman" w:hAnsi="Times New Roman" w:cs="Times New Roman"/>
        </w:rPr>
      </w:pPr>
      <w:r>
        <w:rPr>
          <w:rFonts w:ascii="Times New Roman" w:hAnsi="Times New Roman" w:cs="Times New Roman"/>
        </w:rPr>
        <w:t xml:space="preserve">We </w:t>
      </w:r>
      <w:r w:rsidR="00236FE9">
        <w:rPr>
          <w:rFonts w:ascii="Times New Roman" w:hAnsi="Times New Roman" w:cs="Times New Roman"/>
        </w:rPr>
        <w:t xml:space="preserve">found </w:t>
      </w:r>
      <w:r>
        <w:rPr>
          <w:rFonts w:ascii="Times New Roman" w:hAnsi="Times New Roman" w:cs="Times New Roman"/>
        </w:rPr>
        <w:t xml:space="preserve">that </w:t>
      </w:r>
      <w:r w:rsidR="00C46892">
        <w:rPr>
          <w:rFonts w:ascii="Times New Roman" w:hAnsi="Times New Roman" w:cs="Times New Roman"/>
        </w:rPr>
        <w:t xml:space="preserve">a little more than a </w:t>
      </w:r>
      <w:r>
        <w:rPr>
          <w:rFonts w:ascii="Times New Roman" w:hAnsi="Times New Roman" w:cs="Times New Roman"/>
        </w:rPr>
        <w:t>third of individuals in chapter 11 “succeed” by confirming a plan and avoiding dismissal or conversion</w:t>
      </w:r>
      <w:r w:rsidR="00C46892">
        <w:rPr>
          <w:rFonts w:ascii="Times New Roman" w:hAnsi="Times New Roman" w:cs="Times New Roman"/>
        </w:rPr>
        <w:t xml:space="preserve"> for 881</w:t>
      </w:r>
      <w:r>
        <w:rPr>
          <w:rFonts w:ascii="Times New Roman" w:hAnsi="Times New Roman" w:cs="Times New Roman"/>
        </w:rPr>
        <w:t xml:space="preserve"> days.</w:t>
      </w:r>
      <w:r>
        <w:rPr>
          <w:rStyle w:val="FootnoteReference"/>
          <w:rFonts w:ascii="Times New Roman" w:hAnsi="Times New Roman" w:cs="Times New Roman"/>
        </w:rPr>
        <w:footnoteReference w:id="326"/>
      </w:r>
      <w:r w:rsidR="00C46892">
        <w:rPr>
          <w:rFonts w:ascii="Times New Roman" w:hAnsi="Times New Roman" w:cs="Times New Roman"/>
        </w:rPr>
        <w:t xml:space="preserve"> Success rates are higher in cases with joint filing or significant real property</w:t>
      </w:r>
      <w:r w:rsidR="003D4424">
        <w:rPr>
          <w:rFonts w:ascii="Times New Roman" w:hAnsi="Times New Roman" w:cs="Times New Roman"/>
        </w:rPr>
        <w:t>,</w:t>
      </w:r>
      <w:r w:rsidR="00C46892">
        <w:rPr>
          <w:rFonts w:ascii="Times New Roman" w:hAnsi="Times New Roman" w:cs="Times New Roman"/>
        </w:rPr>
        <w:t xml:space="preserve"> and lower in no</w:t>
      </w:r>
      <w:r w:rsidR="003D4424">
        <w:rPr>
          <w:rFonts w:ascii="Times New Roman" w:hAnsi="Times New Roman" w:cs="Times New Roman"/>
        </w:rPr>
        <w:t>-</w:t>
      </w:r>
      <w:r w:rsidR="00C46892">
        <w:rPr>
          <w:rFonts w:ascii="Times New Roman" w:hAnsi="Times New Roman" w:cs="Times New Roman"/>
        </w:rPr>
        <w:t xml:space="preserve">asset cases and cases </w:t>
      </w:r>
      <w:r w:rsidR="00236FE9">
        <w:rPr>
          <w:rFonts w:ascii="Times New Roman" w:hAnsi="Times New Roman" w:cs="Times New Roman"/>
        </w:rPr>
        <w:t xml:space="preserve">in which </w:t>
      </w:r>
      <w:r w:rsidR="00C46892">
        <w:rPr>
          <w:rFonts w:ascii="Times New Roman" w:hAnsi="Times New Roman" w:cs="Times New Roman"/>
        </w:rPr>
        <w:t>the debtor is represented by an inexperienced attorney or no attorney at all.</w:t>
      </w:r>
      <w:r w:rsidR="00C46892">
        <w:rPr>
          <w:rStyle w:val="FootnoteReference"/>
          <w:rFonts w:ascii="Times New Roman" w:hAnsi="Times New Roman" w:cs="Times New Roman"/>
        </w:rPr>
        <w:footnoteReference w:id="327"/>
      </w:r>
      <w:r w:rsidR="00C46892">
        <w:rPr>
          <w:rFonts w:ascii="Times New Roman" w:hAnsi="Times New Roman" w:cs="Times New Roman"/>
        </w:rPr>
        <w:t xml:space="preserve"> We also </w:t>
      </w:r>
      <w:r w:rsidR="00F70B83">
        <w:rPr>
          <w:rFonts w:ascii="Times New Roman" w:hAnsi="Times New Roman" w:cs="Times New Roman"/>
        </w:rPr>
        <w:t xml:space="preserve">found </w:t>
      </w:r>
      <w:r w:rsidR="00C46892">
        <w:rPr>
          <w:rFonts w:ascii="Times New Roman" w:hAnsi="Times New Roman" w:cs="Times New Roman"/>
        </w:rPr>
        <w:t xml:space="preserve">that cases are more likely to succeed </w:t>
      </w:r>
      <w:r w:rsidR="00236FE9">
        <w:rPr>
          <w:rFonts w:ascii="Times New Roman" w:hAnsi="Times New Roman" w:cs="Times New Roman"/>
        </w:rPr>
        <w:t xml:space="preserve">in </w:t>
      </w:r>
      <w:r w:rsidR="00C46892">
        <w:rPr>
          <w:rFonts w:ascii="Times New Roman" w:hAnsi="Times New Roman" w:cs="Times New Roman"/>
        </w:rPr>
        <w:t>jurisdiction</w:t>
      </w:r>
      <w:r w:rsidR="00236FE9">
        <w:rPr>
          <w:rFonts w:ascii="Times New Roman" w:hAnsi="Times New Roman" w:cs="Times New Roman"/>
        </w:rPr>
        <w:t>s</w:t>
      </w:r>
      <w:r w:rsidR="00C46892">
        <w:rPr>
          <w:rFonts w:ascii="Times New Roman" w:hAnsi="Times New Roman" w:cs="Times New Roman"/>
        </w:rPr>
        <w:t xml:space="preserve"> that </w:t>
      </w:r>
      <w:r w:rsidR="00236FE9">
        <w:rPr>
          <w:rFonts w:ascii="Times New Roman" w:hAnsi="Times New Roman" w:cs="Times New Roman"/>
        </w:rPr>
        <w:t>follow</w:t>
      </w:r>
      <w:r w:rsidR="00C46892">
        <w:rPr>
          <w:rFonts w:ascii="Times New Roman" w:hAnsi="Times New Roman" w:cs="Times New Roman"/>
        </w:rPr>
        <w:t xml:space="preserve"> the broad interpretation of the exception to the absolute priority rule</w:t>
      </w:r>
      <w:r w:rsidR="00236FE9">
        <w:rPr>
          <w:rFonts w:ascii="Times New Roman" w:hAnsi="Times New Roman" w:cs="Times New Roman"/>
        </w:rPr>
        <w:t>,</w:t>
      </w:r>
      <w:r w:rsidR="00C46892">
        <w:rPr>
          <w:rFonts w:ascii="Times New Roman" w:hAnsi="Times New Roman" w:cs="Times New Roman"/>
        </w:rPr>
        <w:t xml:space="preserve"> rather than in jurisdictions that adopt the narrow interpretation.</w:t>
      </w:r>
      <w:r w:rsidR="00C46892">
        <w:rPr>
          <w:rStyle w:val="FootnoteReference"/>
          <w:rFonts w:ascii="Times New Roman" w:hAnsi="Times New Roman" w:cs="Times New Roman"/>
        </w:rPr>
        <w:footnoteReference w:id="328"/>
      </w:r>
      <w:r w:rsidR="00C46892">
        <w:rPr>
          <w:rFonts w:ascii="Times New Roman" w:hAnsi="Times New Roman" w:cs="Times New Roman"/>
        </w:rPr>
        <w:t xml:space="preserve"> </w:t>
      </w:r>
      <w:r w:rsidR="00236FE9">
        <w:rPr>
          <w:rFonts w:ascii="Times New Roman" w:hAnsi="Times New Roman" w:cs="Times New Roman"/>
        </w:rPr>
        <w:t>W</w:t>
      </w:r>
      <w:r w:rsidR="00C46892">
        <w:rPr>
          <w:rFonts w:ascii="Times New Roman" w:hAnsi="Times New Roman" w:cs="Times New Roman"/>
        </w:rPr>
        <w:t xml:space="preserve">e cannot be sure </w:t>
      </w:r>
      <w:r w:rsidR="00236FE9">
        <w:rPr>
          <w:rFonts w:ascii="Times New Roman" w:hAnsi="Times New Roman" w:cs="Times New Roman"/>
        </w:rPr>
        <w:t>of</w:t>
      </w:r>
      <w:r w:rsidR="00C46892">
        <w:rPr>
          <w:rFonts w:ascii="Times New Roman" w:hAnsi="Times New Roman" w:cs="Times New Roman"/>
        </w:rPr>
        <w:t xml:space="preserve"> causal effect</w:t>
      </w:r>
      <w:r w:rsidR="00236FE9">
        <w:rPr>
          <w:rFonts w:ascii="Times New Roman" w:hAnsi="Times New Roman" w:cs="Times New Roman"/>
        </w:rPr>
        <w:t>s, however</w:t>
      </w:r>
      <w:r w:rsidR="00C46892">
        <w:rPr>
          <w:rFonts w:ascii="Times New Roman" w:hAnsi="Times New Roman" w:cs="Times New Roman"/>
        </w:rPr>
        <w:t xml:space="preserve">.  </w:t>
      </w:r>
    </w:p>
    <w:p w14:paraId="2B218193" w14:textId="46191B01" w:rsidR="005A15D4" w:rsidRPr="00AE0FFE" w:rsidRDefault="00C46892">
      <w:pPr>
        <w:spacing w:line="480" w:lineRule="auto"/>
        <w:ind w:firstLine="720"/>
        <w:rPr>
          <w:rFonts w:ascii="Times New Roman" w:hAnsi="Times New Roman" w:cs="Times New Roman"/>
        </w:rPr>
      </w:pPr>
      <w:r>
        <w:rPr>
          <w:rFonts w:ascii="Times New Roman" w:hAnsi="Times New Roman" w:cs="Times New Roman"/>
        </w:rPr>
        <w:t>Many individuals successfully reorganize in chapter 11, but the normative case for an individual reorganization chapter separate from chapter 13 remains unclear</w:t>
      </w:r>
      <w:r w:rsidR="00196A1A">
        <w:rPr>
          <w:rFonts w:ascii="Times New Roman" w:hAnsi="Times New Roman" w:cs="Times New Roman"/>
        </w:rPr>
        <w:t xml:space="preserve">. The absence of a bankruptcy trustee means that creditors must do more to monitor the debtor, and </w:t>
      </w:r>
      <w:r w:rsidR="0024108E">
        <w:rPr>
          <w:rFonts w:ascii="Times New Roman" w:hAnsi="Times New Roman" w:cs="Times New Roman"/>
        </w:rPr>
        <w:t xml:space="preserve">whether they </w:t>
      </w:r>
      <w:r w:rsidR="00196A1A">
        <w:rPr>
          <w:rFonts w:ascii="Times New Roman" w:hAnsi="Times New Roman" w:cs="Times New Roman"/>
        </w:rPr>
        <w:t>are adequately doing so</w:t>
      </w:r>
      <w:r w:rsidR="0024108E">
        <w:rPr>
          <w:rFonts w:ascii="Times New Roman" w:hAnsi="Times New Roman" w:cs="Times New Roman"/>
        </w:rPr>
        <w:t xml:space="preserve"> is uncertain</w:t>
      </w:r>
      <w:r w:rsidR="00196A1A">
        <w:rPr>
          <w:rFonts w:ascii="Times New Roman" w:hAnsi="Times New Roman" w:cs="Times New Roman"/>
        </w:rPr>
        <w:t xml:space="preserve">. </w:t>
      </w:r>
      <w:r w:rsidR="00E20922">
        <w:rPr>
          <w:rFonts w:ascii="Times New Roman" w:hAnsi="Times New Roman" w:cs="Times New Roman"/>
        </w:rPr>
        <w:t>R</w:t>
      </w:r>
      <w:r w:rsidR="00196A1A">
        <w:rPr>
          <w:rFonts w:ascii="Times New Roman" w:hAnsi="Times New Roman" w:cs="Times New Roman"/>
        </w:rPr>
        <w:t xml:space="preserve">easonable minds may believe that these individual </w:t>
      </w:r>
      <w:r w:rsidR="00AA091B">
        <w:rPr>
          <w:rFonts w:ascii="Times New Roman" w:hAnsi="Times New Roman" w:cs="Times New Roman"/>
        </w:rPr>
        <w:t>chapter</w:t>
      </w:r>
      <w:r w:rsidR="00196A1A">
        <w:rPr>
          <w:rFonts w:ascii="Times New Roman" w:hAnsi="Times New Roman" w:cs="Times New Roman"/>
        </w:rPr>
        <w:t xml:space="preserve"> 11 cases drag on too long.</w:t>
      </w:r>
      <w:r w:rsidR="006650BB">
        <w:rPr>
          <w:rStyle w:val="FootnoteReference"/>
          <w:rFonts w:ascii="Times New Roman" w:hAnsi="Times New Roman" w:cs="Times New Roman"/>
        </w:rPr>
        <w:footnoteReference w:id="329"/>
      </w:r>
      <w:r w:rsidR="00196A1A">
        <w:rPr>
          <w:rFonts w:ascii="Times New Roman" w:hAnsi="Times New Roman" w:cs="Times New Roman"/>
        </w:rPr>
        <w:t xml:space="preserve"> </w:t>
      </w:r>
      <w:r w:rsidR="009F7BDD">
        <w:rPr>
          <w:rFonts w:ascii="Times New Roman" w:hAnsi="Times New Roman" w:cs="Times New Roman"/>
        </w:rPr>
        <w:t xml:space="preserve">We cannot resolve normative questions, such as the time debtors should spend in </w:t>
      </w:r>
      <w:r w:rsidR="00AA091B">
        <w:rPr>
          <w:rFonts w:ascii="Times New Roman" w:hAnsi="Times New Roman" w:cs="Times New Roman"/>
        </w:rPr>
        <w:t>chapter</w:t>
      </w:r>
      <w:r w:rsidR="009F7BDD">
        <w:rPr>
          <w:rFonts w:ascii="Times New Roman" w:hAnsi="Times New Roman" w:cs="Times New Roman"/>
        </w:rPr>
        <w:t xml:space="preserve"> 11, with the results of a single study. We hope, however, that our findings will provide a framework for discussing reform efforts aimed at the individual </w:t>
      </w:r>
      <w:r w:rsidR="00AA091B">
        <w:rPr>
          <w:rFonts w:ascii="Times New Roman" w:hAnsi="Times New Roman" w:cs="Times New Roman"/>
        </w:rPr>
        <w:t>chapter</w:t>
      </w:r>
      <w:r w:rsidR="009F7BDD">
        <w:rPr>
          <w:rFonts w:ascii="Times New Roman" w:hAnsi="Times New Roman" w:cs="Times New Roman"/>
        </w:rPr>
        <w:t xml:space="preserve"> 11 debtor.</w:t>
      </w:r>
    </w:p>
    <w:p w14:paraId="3F74B0E8" w14:textId="77777777" w:rsidR="005A15D4" w:rsidRPr="00537498" w:rsidRDefault="005A15D4" w:rsidP="005A15D4">
      <w:pPr>
        <w:rPr>
          <w:rFonts w:ascii="Times New Roman" w:hAnsi="Times New Roman" w:cs="Times New Roman"/>
          <w:i/>
        </w:rPr>
      </w:pPr>
    </w:p>
    <w:p w14:paraId="7AB37936" w14:textId="77777777" w:rsidR="005A15D4" w:rsidRPr="00537498" w:rsidRDefault="005A15D4" w:rsidP="005A15D4">
      <w:pPr>
        <w:rPr>
          <w:rFonts w:ascii="Times New Roman" w:hAnsi="Times New Roman" w:cs="Times New Roman"/>
        </w:rPr>
      </w:pPr>
    </w:p>
    <w:p w14:paraId="52238D5A" w14:textId="16ECC13A" w:rsidR="005A15D4" w:rsidRPr="00537498" w:rsidRDefault="005A15D4" w:rsidP="005A15D4">
      <w:pPr>
        <w:pStyle w:val="ListParagraph"/>
        <w:ind w:left="0"/>
        <w:jc w:val="center"/>
        <w:rPr>
          <w:rFonts w:ascii="Times New Roman" w:hAnsi="Times New Roman" w:cs="Times New Roman"/>
          <w:b/>
        </w:rPr>
      </w:pPr>
      <w:r w:rsidRPr="00537498">
        <w:rPr>
          <w:rFonts w:ascii="Times New Roman" w:hAnsi="Times New Roman" w:cs="Times New Roman"/>
        </w:rPr>
        <w:br w:type="column"/>
      </w:r>
      <w:r w:rsidRPr="00537498">
        <w:rPr>
          <w:rFonts w:ascii="Times New Roman" w:hAnsi="Times New Roman" w:cs="Times New Roman"/>
          <w:b/>
          <w:smallCaps/>
        </w:rPr>
        <w:t xml:space="preserve"> </w:t>
      </w:r>
      <w:r w:rsidRPr="00537498">
        <w:rPr>
          <w:rFonts w:ascii="Times New Roman" w:hAnsi="Times New Roman" w:cs="Times New Roman"/>
          <w:b/>
        </w:rPr>
        <w:t>Appendix A</w:t>
      </w:r>
      <w:r w:rsidR="009E554A">
        <w:rPr>
          <w:rFonts w:ascii="Times New Roman" w:hAnsi="Times New Roman" w:cs="Times New Roman"/>
          <w:b/>
        </w:rPr>
        <w:t xml:space="preserve">: Individual Chapter 11 Filings by District </w:t>
      </w:r>
    </w:p>
    <w:p w14:paraId="38F29FA5" w14:textId="77777777" w:rsidR="005A15D4" w:rsidRDefault="005A15D4" w:rsidP="005A15D4">
      <w:pPr>
        <w:pStyle w:val="ListParagraph"/>
        <w:ind w:left="0"/>
        <w:jc w:val="center"/>
        <w:rPr>
          <w:rFonts w:ascii="Times New Roman" w:hAnsi="Times New Roman" w:cs="Times New Roman"/>
          <w:b/>
        </w:rPr>
      </w:pPr>
    </w:p>
    <w:p w14:paraId="57D3A710" w14:textId="04E36D26" w:rsidR="002577D6" w:rsidRPr="00D9767A" w:rsidRDefault="002577D6" w:rsidP="00D9767A">
      <w:pPr>
        <w:spacing w:line="480" w:lineRule="auto"/>
        <w:ind w:firstLine="720"/>
        <w:rPr>
          <w:rFonts w:ascii="Times New Roman" w:hAnsi="Times New Roman" w:cs="Times New Roman"/>
        </w:rPr>
      </w:pPr>
      <w:r>
        <w:rPr>
          <w:rFonts w:ascii="Times New Roman" w:hAnsi="Times New Roman" w:cs="Times New Roman"/>
        </w:rPr>
        <w:t xml:space="preserve">Table 4 in Section II.A.3 </w:t>
      </w:r>
      <w:r w:rsidRPr="00D929F8">
        <w:rPr>
          <w:rFonts w:ascii="Times New Roman" w:hAnsi="Times New Roman" w:cs="Times New Roman"/>
        </w:rPr>
        <w:t xml:space="preserve">provides data from the five districts with the highest and lowest number of individual </w:t>
      </w:r>
      <w:r>
        <w:rPr>
          <w:rFonts w:ascii="Times New Roman" w:hAnsi="Times New Roman" w:cs="Times New Roman"/>
        </w:rPr>
        <w:t>chapter</w:t>
      </w:r>
      <w:r w:rsidRPr="00D929F8">
        <w:rPr>
          <w:rFonts w:ascii="Times New Roman" w:hAnsi="Times New Roman" w:cs="Times New Roman"/>
        </w:rPr>
        <w:t xml:space="preserve"> 11 filings in 2010 and 2013.</w:t>
      </w:r>
      <w:r>
        <w:rPr>
          <w:rFonts w:ascii="Times New Roman" w:hAnsi="Times New Roman" w:cs="Times New Roman"/>
        </w:rPr>
        <w:t xml:space="preserve"> Table 58 below provides individual chapter 11 filing data for all 78 of the judicial districts covered by this study. The table shows the number of individual cases filed in each district, the district’s </w:t>
      </w:r>
      <w:r w:rsidRPr="00D929F8">
        <w:rPr>
          <w:rFonts w:ascii="Times New Roman" w:hAnsi="Times New Roman" w:cs="Times New Roman"/>
        </w:rPr>
        <w:t xml:space="preserve">share of </w:t>
      </w:r>
      <w:r>
        <w:rPr>
          <w:rFonts w:ascii="Times New Roman" w:hAnsi="Times New Roman" w:cs="Times New Roman"/>
        </w:rPr>
        <w:t xml:space="preserve">the total sample, and </w:t>
      </w:r>
      <w:r w:rsidRPr="00D929F8">
        <w:rPr>
          <w:rFonts w:ascii="Times New Roman" w:hAnsi="Times New Roman" w:cs="Times New Roman"/>
        </w:rPr>
        <w:t xml:space="preserve">the </w:t>
      </w:r>
      <w:r>
        <w:rPr>
          <w:rFonts w:ascii="Times New Roman" w:hAnsi="Times New Roman" w:cs="Times New Roman"/>
        </w:rPr>
        <w:t>percent</w:t>
      </w:r>
      <w:r w:rsidRPr="00D929F8">
        <w:rPr>
          <w:rFonts w:ascii="Times New Roman" w:hAnsi="Times New Roman" w:cs="Times New Roman"/>
        </w:rPr>
        <w:t xml:space="preserve">age of </w:t>
      </w:r>
      <w:r>
        <w:rPr>
          <w:rFonts w:ascii="Times New Roman" w:hAnsi="Times New Roman" w:cs="Times New Roman"/>
        </w:rPr>
        <w:t>chapter 11 cases filed by in</w:t>
      </w:r>
      <w:r w:rsidR="009629EF">
        <w:rPr>
          <w:rFonts w:ascii="Times New Roman" w:hAnsi="Times New Roman" w:cs="Times New Roman"/>
        </w:rPr>
        <w:t>divid</w:t>
      </w:r>
      <w:r>
        <w:rPr>
          <w:rFonts w:ascii="Times New Roman" w:hAnsi="Times New Roman" w:cs="Times New Roman"/>
        </w:rPr>
        <w:t>uals in that district.</w:t>
      </w:r>
    </w:p>
    <w:p w14:paraId="7FE67F3E" w14:textId="77777777" w:rsidR="002577D6" w:rsidRPr="00D9767A" w:rsidRDefault="002577D6" w:rsidP="00D9767A">
      <w:pPr>
        <w:pStyle w:val="ListParagraph"/>
        <w:ind w:left="0"/>
        <w:rPr>
          <w:rFonts w:ascii="Times New Roman" w:hAnsi="Times New Roman" w:cs="Times New Roman"/>
        </w:rPr>
      </w:pP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5A15D4" w:rsidRPr="00910805" w14:paraId="019952F0" w14:textId="77777777" w:rsidTr="005A15D4">
        <w:tc>
          <w:tcPr>
            <w:tcW w:w="8630" w:type="dxa"/>
          </w:tcPr>
          <w:p w14:paraId="416CD887" w14:textId="3CD5E0F4" w:rsidR="005A15D4" w:rsidRDefault="005A15D4" w:rsidP="005A15D4">
            <w:pPr>
              <w:keepNext/>
              <w:keepLines/>
              <w:jc w:val="center"/>
              <w:rPr>
                <w:rFonts w:ascii="Times New Roman" w:hAnsi="Times New Roman" w:cs="Times New Roman"/>
                <w:b/>
              </w:rPr>
            </w:pPr>
            <w:r w:rsidRPr="00B25871">
              <w:rPr>
                <w:rFonts w:ascii="Times New Roman" w:hAnsi="Times New Roman" w:cs="Times New Roman"/>
                <w:b/>
              </w:rPr>
              <w:t xml:space="preserve">Table </w:t>
            </w:r>
            <w:r w:rsidR="00CF674F">
              <w:rPr>
                <w:rFonts w:ascii="Times New Roman" w:hAnsi="Times New Roman" w:cs="Times New Roman"/>
                <w:b/>
              </w:rPr>
              <w:t>58</w:t>
            </w:r>
            <w:r w:rsidRPr="00B25871">
              <w:rPr>
                <w:rFonts w:ascii="Times New Roman" w:hAnsi="Times New Roman" w:cs="Times New Roman"/>
                <w:b/>
              </w:rPr>
              <w:t xml:space="preserve">: Individual Chapter 11 Filings by District </w:t>
            </w:r>
          </w:p>
          <w:p w14:paraId="4EE350A3" w14:textId="1BD1245E" w:rsidR="00875E0B" w:rsidRPr="00B25871" w:rsidRDefault="00875E0B" w:rsidP="005A15D4">
            <w:pPr>
              <w:keepNext/>
              <w:keepLines/>
              <w:jc w:val="center"/>
              <w:rPr>
                <w:rFonts w:ascii="Times New Roman" w:hAnsi="Times New Roman" w:cs="Times New Roman"/>
                <w:b/>
              </w:rPr>
            </w:pPr>
          </w:p>
        </w:tc>
      </w:tr>
      <w:tr w:rsidR="005A15D4" w:rsidRPr="00910805" w14:paraId="3DE7863E" w14:textId="77777777" w:rsidTr="005A15D4">
        <w:tc>
          <w:tcPr>
            <w:tcW w:w="8630" w:type="dxa"/>
          </w:tcPr>
          <w:tbl>
            <w:tblPr>
              <w:tblW w:w="85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62"/>
              <w:gridCol w:w="1138"/>
              <w:gridCol w:w="1038"/>
              <w:gridCol w:w="1590"/>
              <w:gridCol w:w="1181"/>
              <w:gridCol w:w="961"/>
              <w:gridCol w:w="1608"/>
            </w:tblGrid>
            <w:tr w:rsidR="005A15D4" w:rsidRPr="00910805" w14:paraId="6E7769EA" w14:textId="77777777" w:rsidTr="005A15D4">
              <w:trPr>
                <w:trHeight w:val="300"/>
              </w:trPr>
              <w:tc>
                <w:tcPr>
                  <w:tcW w:w="883"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720F6CDE" w14:textId="77777777" w:rsidR="005A15D4" w:rsidRPr="00995C17" w:rsidRDefault="005A15D4" w:rsidP="005A15D4">
                  <w:pPr>
                    <w:rPr>
                      <w:rFonts w:ascii="Times New Roman" w:eastAsia="Times New Roman" w:hAnsi="Times New Roman" w:cs="Times New Roman"/>
                      <w:b/>
                      <w:color w:val="000000"/>
                      <w:sz w:val="20"/>
                      <w:szCs w:val="20"/>
                    </w:rPr>
                  </w:pPr>
                </w:p>
              </w:tc>
              <w:tc>
                <w:tcPr>
                  <w:tcW w:w="3864" w:type="dxa"/>
                  <w:gridSpan w:val="3"/>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4D07CE1" w14:textId="77777777" w:rsidR="005A15D4" w:rsidRPr="00995C17" w:rsidRDefault="005A15D4" w:rsidP="005A15D4">
                  <w:pPr>
                    <w:jc w:val="center"/>
                    <w:rPr>
                      <w:rFonts w:ascii="Times New Roman" w:eastAsia="Times New Roman" w:hAnsi="Times New Roman" w:cs="Times New Roman"/>
                      <w:b/>
                      <w:color w:val="000000"/>
                      <w:sz w:val="20"/>
                      <w:szCs w:val="20"/>
                    </w:rPr>
                  </w:pPr>
                  <w:r w:rsidRPr="00995C17">
                    <w:rPr>
                      <w:rFonts w:ascii="Times New Roman" w:eastAsia="Times New Roman" w:hAnsi="Times New Roman" w:cs="Times New Roman"/>
                      <w:b/>
                      <w:color w:val="000000"/>
                      <w:sz w:val="20"/>
                      <w:szCs w:val="20"/>
                    </w:rPr>
                    <w:t>2010</w:t>
                  </w:r>
                </w:p>
              </w:tc>
              <w:tc>
                <w:tcPr>
                  <w:tcW w:w="3847" w:type="dxa"/>
                  <w:gridSpan w:val="3"/>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D53AF42" w14:textId="77777777" w:rsidR="005A15D4" w:rsidRPr="00995C17" w:rsidRDefault="005A15D4" w:rsidP="005A15D4">
                  <w:pPr>
                    <w:jc w:val="center"/>
                    <w:rPr>
                      <w:rFonts w:ascii="Times New Roman" w:eastAsia="Times New Roman" w:hAnsi="Times New Roman" w:cs="Times New Roman"/>
                      <w:b/>
                      <w:color w:val="000000"/>
                      <w:sz w:val="20"/>
                      <w:szCs w:val="20"/>
                    </w:rPr>
                  </w:pPr>
                  <w:r w:rsidRPr="00995C17">
                    <w:rPr>
                      <w:rFonts w:ascii="Times New Roman" w:eastAsia="Times New Roman" w:hAnsi="Times New Roman" w:cs="Times New Roman"/>
                      <w:b/>
                      <w:color w:val="000000"/>
                      <w:sz w:val="20"/>
                      <w:szCs w:val="20"/>
                    </w:rPr>
                    <w:t>2013</w:t>
                  </w:r>
                </w:p>
              </w:tc>
            </w:tr>
            <w:tr w:rsidR="005A15D4" w:rsidRPr="00673DF2" w14:paraId="1FFF68F1" w14:textId="77777777" w:rsidTr="005A15D4">
              <w:trPr>
                <w:trHeight w:val="300"/>
              </w:trPr>
              <w:tc>
                <w:tcPr>
                  <w:tcW w:w="883" w:type="dxa"/>
                  <w:tcBorders>
                    <w:top w:val="single" w:sz="18" w:space="0" w:color="auto"/>
                    <w:right w:val="single" w:sz="18" w:space="0" w:color="auto"/>
                  </w:tcBorders>
                  <w:shd w:val="clear" w:color="auto" w:fill="auto"/>
                  <w:noWrap/>
                  <w:vAlign w:val="bottom"/>
                  <w:hideMark/>
                </w:tcPr>
                <w:p w14:paraId="76272845" w14:textId="77777777" w:rsidR="005A15D4" w:rsidRPr="00995C17" w:rsidRDefault="005A15D4" w:rsidP="005A15D4">
                  <w:pPr>
                    <w:rPr>
                      <w:rFonts w:ascii="Times New Roman" w:eastAsia="Times New Roman" w:hAnsi="Times New Roman" w:cs="Times New Roman"/>
                      <w:b/>
                      <w:color w:val="000000"/>
                      <w:sz w:val="20"/>
                      <w:szCs w:val="20"/>
                    </w:rPr>
                  </w:pPr>
                  <w:r w:rsidRPr="00995C17">
                    <w:rPr>
                      <w:rFonts w:ascii="Times New Roman" w:eastAsia="Times New Roman" w:hAnsi="Times New Roman" w:cs="Times New Roman"/>
                      <w:b/>
                      <w:color w:val="000000"/>
                      <w:sz w:val="20"/>
                      <w:szCs w:val="20"/>
                    </w:rPr>
                    <w:t>District</w:t>
                  </w:r>
                </w:p>
              </w:tc>
              <w:tc>
                <w:tcPr>
                  <w:tcW w:w="1167" w:type="dxa"/>
                  <w:tcBorders>
                    <w:top w:val="single" w:sz="18" w:space="0" w:color="auto"/>
                    <w:left w:val="single" w:sz="18" w:space="0" w:color="auto"/>
                  </w:tcBorders>
                  <w:shd w:val="clear" w:color="auto" w:fill="auto"/>
                  <w:noWrap/>
                  <w:vAlign w:val="bottom"/>
                  <w:hideMark/>
                </w:tcPr>
                <w:p w14:paraId="5740DF6B" w14:textId="77777777" w:rsidR="005A15D4" w:rsidRPr="00995C17" w:rsidRDefault="005A15D4" w:rsidP="005A15D4">
                  <w:pPr>
                    <w:rPr>
                      <w:rFonts w:ascii="Times New Roman" w:eastAsia="Times New Roman" w:hAnsi="Times New Roman" w:cs="Times New Roman"/>
                      <w:b/>
                      <w:color w:val="000000"/>
                      <w:sz w:val="20"/>
                      <w:szCs w:val="20"/>
                    </w:rPr>
                  </w:pPr>
                  <w:r w:rsidRPr="00995C17">
                    <w:rPr>
                      <w:rFonts w:ascii="Times New Roman" w:eastAsia="Times New Roman" w:hAnsi="Times New Roman" w:cs="Times New Roman"/>
                      <w:b/>
                      <w:color w:val="000000"/>
                      <w:sz w:val="20"/>
                      <w:szCs w:val="20"/>
                    </w:rPr>
                    <w:t>Individual Ch. 11</w:t>
                  </w:r>
                </w:p>
              </w:tc>
              <w:tc>
                <w:tcPr>
                  <w:tcW w:w="1064" w:type="dxa"/>
                  <w:tcBorders>
                    <w:top w:val="single" w:sz="18" w:space="0" w:color="auto"/>
                  </w:tcBorders>
                  <w:shd w:val="clear" w:color="auto" w:fill="auto"/>
                  <w:noWrap/>
                  <w:vAlign w:val="bottom"/>
                  <w:hideMark/>
                </w:tcPr>
                <w:p w14:paraId="6EC7EB8D" w14:textId="77777777" w:rsidR="005A15D4" w:rsidRPr="00995C17" w:rsidRDefault="005A15D4" w:rsidP="005A15D4">
                  <w:pPr>
                    <w:rPr>
                      <w:rFonts w:ascii="Times New Roman" w:eastAsia="Times New Roman" w:hAnsi="Times New Roman" w:cs="Times New Roman"/>
                      <w:b/>
                      <w:color w:val="000000"/>
                      <w:sz w:val="20"/>
                      <w:szCs w:val="20"/>
                    </w:rPr>
                  </w:pPr>
                  <w:r w:rsidRPr="00995C17">
                    <w:rPr>
                      <w:rFonts w:ascii="Times New Roman" w:eastAsia="Times New Roman" w:hAnsi="Times New Roman" w:cs="Times New Roman"/>
                      <w:b/>
                      <w:color w:val="000000"/>
                      <w:sz w:val="20"/>
                      <w:szCs w:val="20"/>
                    </w:rPr>
                    <w:t>% Whole Sample</w:t>
                  </w:r>
                </w:p>
              </w:tc>
              <w:tc>
                <w:tcPr>
                  <w:tcW w:w="1633" w:type="dxa"/>
                  <w:tcBorders>
                    <w:top w:val="single" w:sz="18" w:space="0" w:color="auto"/>
                    <w:right w:val="single" w:sz="18" w:space="0" w:color="auto"/>
                  </w:tcBorders>
                  <w:shd w:val="clear" w:color="auto" w:fill="auto"/>
                  <w:noWrap/>
                  <w:vAlign w:val="bottom"/>
                  <w:hideMark/>
                </w:tcPr>
                <w:p w14:paraId="06A47EB5" w14:textId="77777777" w:rsidR="005A15D4" w:rsidRPr="00995C17" w:rsidRDefault="005A15D4" w:rsidP="005A15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Pr="00995C17">
                    <w:rPr>
                      <w:rFonts w:ascii="Times New Roman" w:eastAsia="Times New Roman" w:hAnsi="Times New Roman" w:cs="Times New Roman"/>
                      <w:b/>
                      <w:color w:val="000000"/>
                      <w:sz w:val="20"/>
                      <w:szCs w:val="20"/>
                    </w:rPr>
                    <w:t xml:space="preserve">Individual of District Ch. 11 </w:t>
                  </w:r>
                </w:p>
              </w:tc>
              <w:tc>
                <w:tcPr>
                  <w:tcW w:w="1211" w:type="dxa"/>
                  <w:tcBorders>
                    <w:top w:val="single" w:sz="18" w:space="0" w:color="auto"/>
                    <w:left w:val="single" w:sz="18" w:space="0" w:color="auto"/>
                  </w:tcBorders>
                  <w:shd w:val="clear" w:color="auto" w:fill="auto"/>
                  <w:noWrap/>
                  <w:vAlign w:val="bottom"/>
                  <w:hideMark/>
                </w:tcPr>
                <w:p w14:paraId="6F9D8A3E" w14:textId="77777777" w:rsidR="005A15D4" w:rsidRPr="00995C17" w:rsidRDefault="005A15D4" w:rsidP="005A15D4">
                  <w:pPr>
                    <w:rPr>
                      <w:rFonts w:ascii="Times New Roman" w:eastAsia="Times New Roman" w:hAnsi="Times New Roman" w:cs="Times New Roman"/>
                      <w:b/>
                      <w:color w:val="000000"/>
                      <w:sz w:val="20"/>
                      <w:szCs w:val="20"/>
                    </w:rPr>
                  </w:pPr>
                  <w:r w:rsidRPr="00995C17">
                    <w:rPr>
                      <w:rFonts w:ascii="Times New Roman" w:eastAsia="Times New Roman" w:hAnsi="Times New Roman" w:cs="Times New Roman"/>
                      <w:b/>
                      <w:color w:val="000000"/>
                      <w:sz w:val="20"/>
                      <w:szCs w:val="20"/>
                    </w:rPr>
                    <w:t>Individual Ch. 11</w:t>
                  </w:r>
                </w:p>
              </w:tc>
              <w:tc>
                <w:tcPr>
                  <w:tcW w:w="984" w:type="dxa"/>
                  <w:tcBorders>
                    <w:top w:val="single" w:sz="18" w:space="0" w:color="auto"/>
                  </w:tcBorders>
                  <w:shd w:val="clear" w:color="auto" w:fill="auto"/>
                  <w:noWrap/>
                  <w:vAlign w:val="bottom"/>
                  <w:hideMark/>
                </w:tcPr>
                <w:p w14:paraId="09CD57F9" w14:textId="77777777" w:rsidR="005A15D4" w:rsidRPr="00995C17" w:rsidRDefault="005A15D4" w:rsidP="005A15D4">
                  <w:pPr>
                    <w:rPr>
                      <w:rFonts w:ascii="Times New Roman" w:eastAsia="Times New Roman" w:hAnsi="Times New Roman" w:cs="Times New Roman"/>
                      <w:b/>
                      <w:color w:val="000000"/>
                      <w:sz w:val="20"/>
                      <w:szCs w:val="20"/>
                    </w:rPr>
                  </w:pPr>
                  <w:r w:rsidRPr="00995C17">
                    <w:rPr>
                      <w:rFonts w:ascii="Times New Roman" w:eastAsia="Times New Roman" w:hAnsi="Times New Roman" w:cs="Times New Roman"/>
                      <w:b/>
                      <w:color w:val="000000"/>
                      <w:sz w:val="20"/>
                      <w:szCs w:val="20"/>
                    </w:rPr>
                    <w:t>% Whole Sample</w:t>
                  </w:r>
                </w:p>
              </w:tc>
              <w:tc>
                <w:tcPr>
                  <w:tcW w:w="1652" w:type="dxa"/>
                  <w:tcBorders>
                    <w:top w:val="single" w:sz="18" w:space="0" w:color="auto"/>
                  </w:tcBorders>
                  <w:shd w:val="clear" w:color="auto" w:fill="auto"/>
                  <w:noWrap/>
                  <w:vAlign w:val="bottom"/>
                  <w:hideMark/>
                </w:tcPr>
                <w:p w14:paraId="25B4B138" w14:textId="77777777" w:rsidR="005A15D4" w:rsidRPr="00995C17" w:rsidRDefault="005A15D4" w:rsidP="005A15D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Pr="00995C17">
                    <w:rPr>
                      <w:rFonts w:ascii="Times New Roman" w:eastAsia="Times New Roman" w:hAnsi="Times New Roman" w:cs="Times New Roman"/>
                      <w:b/>
                      <w:color w:val="000000"/>
                      <w:sz w:val="20"/>
                      <w:szCs w:val="20"/>
                    </w:rPr>
                    <w:t>Individual  of District Ch. 11</w:t>
                  </w:r>
                </w:p>
              </w:tc>
            </w:tr>
            <w:tr w:rsidR="005A15D4" w:rsidRPr="00673DF2" w14:paraId="41B1BB73" w14:textId="77777777" w:rsidTr="005A15D4">
              <w:trPr>
                <w:trHeight w:val="300"/>
              </w:trPr>
              <w:tc>
                <w:tcPr>
                  <w:tcW w:w="883" w:type="dxa"/>
                  <w:tcBorders>
                    <w:right w:val="single" w:sz="18" w:space="0" w:color="auto"/>
                  </w:tcBorders>
                  <w:shd w:val="clear" w:color="auto" w:fill="auto"/>
                  <w:noWrap/>
                  <w:vAlign w:val="bottom"/>
                  <w:hideMark/>
                </w:tcPr>
                <w:p w14:paraId="2469B6DA"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AK</w:t>
                  </w:r>
                </w:p>
              </w:tc>
              <w:tc>
                <w:tcPr>
                  <w:tcW w:w="1167" w:type="dxa"/>
                  <w:tcBorders>
                    <w:left w:val="single" w:sz="18" w:space="0" w:color="auto"/>
                  </w:tcBorders>
                  <w:shd w:val="clear" w:color="auto" w:fill="auto"/>
                  <w:noWrap/>
                  <w:vAlign w:val="bottom"/>
                  <w:hideMark/>
                </w:tcPr>
                <w:p w14:paraId="06987FB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w:t>
                  </w:r>
                </w:p>
              </w:tc>
              <w:tc>
                <w:tcPr>
                  <w:tcW w:w="1064" w:type="dxa"/>
                  <w:shd w:val="clear" w:color="auto" w:fill="auto"/>
                  <w:noWrap/>
                  <w:vAlign w:val="bottom"/>
                  <w:hideMark/>
                </w:tcPr>
                <w:p w14:paraId="23697ED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2134617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27%</w:t>
                  </w:r>
                </w:p>
              </w:tc>
              <w:tc>
                <w:tcPr>
                  <w:tcW w:w="1211" w:type="dxa"/>
                  <w:tcBorders>
                    <w:left w:val="single" w:sz="18" w:space="0" w:color="auto"/>
                  </w:tcBorders>
                  <w:shd w:val="clear" w:color="auto" w:fill="auto"/>
                  <w:noWrap/>
                  <w:vAlign w:val="bottom"/>
                  <w:hideMark/>
                </w:tcPr>
                <w:p w14:paraId="718AE34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984" w:type="dxa"/>
                  <w:shd w:val="clear" w:color="auto" w:fill="auto"/>
                  <w:noWrap/>
                  <w:vAlign w:val="bottom"/>
                  <w:hideMark/>
                </w:tcPr>
                <w:p w14:paraId="783DC93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755E676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33%</w:t>
                  </w:r>
                </w:p>
              </w:tc>
            </w:tr>
            <w:tr w:rsidR="005A15D4" w:rsidRPr="00673DF2" w14:paraId="45BCAB72" w14:textId="77777777" w:rsidTr="005A15D4">
              <w:trPr>
                <w:trHeight w:val="300"/>
              </w:trPr>
              <w:tc>
                <w:tcPr>
                  <w:tcW w:w="883" w:type="dxa"/>
                  <w:tcBorders>
                    <w:right w:val="single" w:sz="18" w:space="0" w:color="auto"/>
                  </w:tcBorders>
                  <w:shd w:val="clear" w:color="auto" w:fill="auto"/>
                  <w:noWrap/>
                  <w:vAlign w:val="bottom"/>
                  <w:hideMark/>
                </w:tcPr>
                <w:p w14:paraId="5A710D4F"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ALMD</w:t>
                  </w:r>
                </w:p>
              </w:tc>
              <w:tc>
                <w:tcPr>
                  <w:tcW w:w="1167" w:type="dxa"/>
                  <w:tcBorders>
                    <w:left w:val="single" w:sz="18" w:space="0" w:color="auto"/>
                  </w:tcBorders>
                  <w:shd w:val="clear" w:color="auto" w:fill="auto"/>
                  <w:noWrap/>
                  <w:vAlign w:val="bottom"/>
                  <w:hideMark/>
                </w:tcPr>
                <w:p w14:paraId="3E18641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17</w:t>
                  </w:r>
                </w:p>
              </w:tc>
              <w:tc>
                <w:tcPr>
                  <w:tcW w:w="1064" w:type="dxa"/>
                  <w:shd w:val="clear" w:color="auto" w:fill="auto"/>
                  <w:noWrap/>
                  <w:vAlign w:val="bottom"/>
                  <w:hideMark/>
                </w:tcPr>
                <w:p w14:paraId="48C3CE3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1ACC1A3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40%</w:t>
                  </w:r>
                </w:p>
              </w:tc>
              <w:tc>
                <w:tcPr>
                  <w:tcW w:w="1211" w:type="dxa"/>
                  <w:tcBorders>
                    <w:left w:val="single" w:sz="18" w:space="0" w:color="auto"/>
                  </w:tcBorders>
                  <w:shd w:val="clear" w:color="auto" w:fill="auto"/>
                  <w:noWrap/>
                  <w:vAlign w:val="bottom"/>
                  <w:hideMark/>
                </w:tcPr>
                <w:p w14:paraId="23163C7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w:t>
                  </w:r>
                </w:p>
              </w:tc>
              <w:tc>
                <w:tcPr>
                  <w:tcW w:w="984" w:type="dxa"/>
                  <w:shd w:val="clear" w:color="auto" w:fill="auto"/>
                  <w:noWrap/>
                  <w:vAlign w:val="bottom"/>
                  <w:hideMark/>
                </w:tcPr>
                <w:p w14:paraId="271B946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6819ED9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21%</w:t>
                  </w:r>
                </w:p>
              </w:tc>
            </w:tr>
            <w:tr w:rsidR="005A15D4" w:rsidRPr="00673DF2" w14:paraId="08F8F690" w14:textId="77777777" w:rsidTr="005A15D4">
              <w:trPr>
                <w:trHeight w:val="300"/>
              </w:trPr>
              <w:tc>
                <w:tcPr>
                  <w:tcW w:w="883" w:type="dxa"/>
                  <w:tcBorders>
                    <w:right w:val="single" w:sz="18" w:space="0" w:color="auto"/>
                  </w:tcBorders>
                  <w:shd w:val="clear" w:color="auto" w:fill="auto"/>
                  <w:noWrap/>
                  <w:vAlign w:val="bottom"/>
                  <w:hideMark/>
                </w:tcPr>
                <w:p w14:paraId="720A1C56"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ALND</w:t>
                  </w:r>
                </w:p>
              </w:tc>
              <w:tc>
                <w:tcPr>
                  <w:tcW w:w="1167" w:type="dxa"/>
                  <w:tcBorders>
                    <w:left w:val="single" w:sz="18" w:space="0" w:color="auto"/>
                  </w:tcBorders>
                  <w:shd w:val="clear" w:color="auto" w:fill="auto"/>
                  <w:noWrap/>
                  <w:vAlign w:val="bottom"/>
                  <w:hideMark/>
                </w:tcPr>
                <w:p w14:paraId="08EE0CF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38</w:t>
                  </w:r>
                </w:p>
              </w:tc>
              <w:tc>
                <w:tcPr>
                  <w:tcW w:w="1064" w:type="dxa"/>
                  <w:shd w:val="clear" w:color="auto" w:fill="auto"/>
                  <w:noWrap/>
                  <w:vAlign w:val="bottom"/>
                  <w:hideMark/>
                </w:tcPr>
                <w:p w14:paraId="2F747E8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33" w:type="dxa"/>
                  <w:tcBorders>
                    <w:right w:val="single" w:sz="18" w:space="0" w:color="auto"/>
                  </w:tcBorders>
                  <w:shd w:val="clear" w:color="auto" w:fill="auto"/>
                  <w:noWrap/>
                  <w:vAlign w:val="bottom"/>
                  <w:hideMark/>
                </w:tcPr>
                <w:p w14:paraId="2325F0B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42%</w:t>
                  </w:r>
                </w:p>
              </w:tc>
              <w:tc>
                <w:tcPr>
                  <w:tcW w:w="1211" w:type="dxa"/>
                  <w:tcBorders>
                    <w:left w:val="single" w:sz="18" w:space="0" w:color="auto"/>
                  </w:tcBorders>
                  <w:shd w:val="clear" w:color="auto" w:fill="auto"/>
                  <w:noWrap/>
                  <w:vAlign w:val="bottom"/>
                  <w:hideMark/>
                </w:tcPr>
                <w:p w14:paraId="019115E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20</w:t>
                  </w:r>
                </w:p>
              </w:tc>
              <w:tc>
                <w:tcPr>
                  <w:tcW w:w="984" w:type="dxa"/>
                  <w:shd w:val="clear" w:color="auto" w:fill="auto"/>
                  <w:noWrap/>
                  <w:vAlign w:val="bottom"/>
                  <w:hideMark/>
                </w:tcPr>
                <w:p w14:paraId="3602A5F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52" w:type="dxa"/>
                  <w:shd w:val="clear" w:color="auto" w:fill="auto"/>
                  <w:noWrap/>
                  <w:vAlign w:val="bottom"/>
                  <w:hideMark/>
                </w:tcPr>
                <w:p w14:paraId="1EA7085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35%</w:t>
                  </w:r>
                </w:p>
              </w:tc>
            </w:tr>
            <w:tr w:rsidR="005A15D4" w:rsidRPr="00673DF2" w14:paraId="16CB500E" w14:textId="77777777" w:rsidTr="005A15D4">
              <w:trPr>
                <w:trHeight w:val="300"/>
              </w:trPr>
              <w:tc>
                <w:tcPr>
                  <w:tcW w:w="883" w:type="dxa"/>
                  <w:tcBorders>
                    <w:right w:val="single" w:sz="18" w:space="0" w:color="auto"/>
                  </w:tcBorders>
                  <w:shd w:val="clear" w:color="auto" w:fill="auto"/>
                  <w:noWrap/>
                  <w:vAlign w:val="bottom"/>
                  <w:hideMark/>
                </w:tcPr>
                <w:p w14:paraId="5217A1D1"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ARED</w:t>
                  </w:r>
                </w:p>
              </w:tc>
              <w:tc>
                <w:tcPr>
                  <w:tcW w:w="1167" w:type="dxa"/>
                  <w:tcBorders>
                    <w:left w:val="single" w:sz="18" w:space="0" w:color="auto"/>
                  </w:tcBorders>
                  <w:shd w:val="clear" w:color="auto" w:fill="auto"/>
                  <w:noWrap/>
                  <w:vAlign w:val="bottom"/>
                  <w:hideMark/>
                </w:tcPr>
                <w:p w14:paraId="6FA7AEE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12</w:t>
                  </w:r>
                </w:p>
              </w:tc>
              <w:tc>
                <w:tcPr>
                  <w:tcW w:w="1064" w:type="dxa"/>
                  <w:shd w:val="clear" w:color="auto" w:fill="auto"/>
                  <w:noWrap/>
                  <w:vAlign w:val="bottom"/>
                  <w:hideMark/>
                </w:tcPr>
                <w:p w14:paraId="0EEDEE4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58DAADC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44%</w:t>
                  </w:r>
                </w:p>
              </w:tc>
              <w:tc>
                <w:tcPr>
                  <w:tcW w:w="1211" w:type="dxa"/>
                  <w:tcBorders>
                    <w:left w:val="single" w:sz="18" w:space="0" w:color="auto"/>
                  </w:tcBorders>
                  <w:shd w:val="clear" w:color="auto" w:fill="auto"/>
                  <w:noWrap/>
                  <w:vAlign w:val="bottom"/>
                  <w:hideMark/>
                </w:tcPr>
                <w:p w14:paraId="584A580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7</w:t>
                  </w:r>
                </w:p>
              </w:tc>
              <w:tc>
                <w:tcPr>
                  <w:tcW w:w="984" w:type="dxa"/>
                  <w:shd w:val="clear" w:color="auto" w:fill="auto"/>
                  <w:noWrap/>
                  <w:vAlign w:val="bottom"/>
                  <w:hideMark/>
                </w:tcPr>
                <w:p w14:paraId="3720EEF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057C90C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32%</w:t>
                  </w:r>
                </w:p>
              </w:tc>
            </w:tr>
            <w:tr w:rsidR="005A15D4" w:rsidRPr="00673DF2" w14:paraId="64AF6360" w14:textId="77777777" w:rsidTr="005A15D4">
              <w:trPr>
                <w:trHeight w:val="300"/>
              </w:trPr>
              <w:tc>
                <w:tcPr>
                  <w:tcW w:w="883" w:type="dxa"/>
                  <w:tcBorders>
                    <w:right w:val="single" w:sz="18" w:space="0" w:color="auto"/>
                  </w:tcBorders>
                  <w:shd w:val="clear" w:color="auto" w:fill="auto"/>
                  <w:noWrap/>
                  <w:vAlign w:val="bottom"/>
                  <w:hideMark/>
                </w:tcPr>
                <w:p w14:paraId="10CAE52E"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ARWD</w:t>
                  </w:r>
                </w:p>
              </w:tc>
              <w:tc>
                <w:tcPr>
                  <w:tcW w:w="1167" w:type="dxa"/>
                  <w:tcBorders>
                    <w:left w:val="single" w:sz="18" w:space="0" w:color="auto"/>
                  </w:tcBorders>
                  <w:shd w:val="clear" w:color="auto" w:fill="auto"/>
                  <w:noWrap/>
                  <w:vAlign w:val="bottom"/>
                  <w:hideMark/>
                </w:tcPr>
                <w:p w14:paraId="52C6E31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15</w:t>
                  </w:r>
                </w:p>
              </w:tc>
              <w:tc>
                <w:tcPr>
                  <w:tcW w:w="1064" w:type="dxa"/>
                  <w:shd w:val="clear" w:color="auto" w:fill="auto"/>
                  <w:noWrap/>
                  <w:vAlign w:val="bottom"/>
                  <w:hideMark/>
                </w:tcPr>
                <w:p w14:paraId="33039B5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2C6C11B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24%</w:t>
                  </w:r>
                </w:p>
              </w:tc>
              <w:tc>
                <w:tcPr>
                  <w:tcW w:w="1211" w:type="dxa"/>
                  <w:tcBorders>
                    <w:left w:val="single" w:sz="18" w:space="0" w:color="auto"/>
                  </w:tcBorders>
                  <w:shd w:val="clear" w:color="auto" w:fill="auto"/>
                  <w:noWrap/>
                  <w:vAlign w:val="bottom"/>
                  <w:hideMark/>
                </w:tcPr>
                <w:p w14:paraId="48F10FB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16</w:t>
                  </w:r>
                </w:p>
              </w:tc>
              <w:tc>
                <w:tcPr>
                  <w:tcW w:w="984" w:type="dxa"/>
                  <w:shd w:val="clear" w:color="auto" w:fill="auto"/>
                  <w:noWrap/>
                  <w:vAlign w:val="bottom"/>
                  <w:hideMark/>
                </w:tcPr>
                <w:p w14:paraId="62F3F48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52" w:type="dxa"/>
                  <w:shd w:val="clear" w:color="auto" w:fill="auto"/>
                  <w:noWrap/>
                  <w:vAlign w:val="bottom"/>
                  <w:hideMark/>
                </w:tcPr>
                <w:p w14:paraId="43F9E41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44%</w:t>
                  </w:r>
                </w:p>
              </w:tc>
            </w:tr>
            <w:tr w:rsidR="005A15D4" w:rsidRPr="00673DF2" w14:paraId="48E52157" w14:textId="77777777" w:rsidTr="005A15D4">
              <w:trPr>
                <w:trHeight w:val="300"/>
              </w:trPr>
              <w:tc>
                <w:tcPr>
                  <w:tcW w:w="883" w:type="dxa"/>
                  <w:tcBorders>
                    <w:right w:val="single" w:sz="18" w:space="0" w:color="auto"/>
                  </w:tcBorders>
                  <w:shd w:val="clear" w:color="auto" w:fill="auto"/>
                  <w:noWrap/>
                  <w:vAlign w:val="bottom"/>
                  <w:hideMark/>
                </w:tcPr>
                <w:p w14:paraId="378435BD"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AZ</w:t>
                  </w:r>
                </w:p>
              </w:tc>
              <w:tc>
                <w:tcPr>
                  <w:tcW w:w="1167" w:type="dxa"/>
                  <w:tcBorders>
                    <w:left w:val="single" w:sz="18" w:space="0" w:color="auto"/>
                  </w:tcBorders>
                  <w:shd w:val="clear" w:color="auto" w:fill="auto"/>
                  <w:noWrap/>
                  <w:vAlign w:val="bottom"/>
                  <w:hideMark/>
                </w:tcPr>
                <w:p w14:paraId="660E61A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294</w:t>
                  </w:r>
                </w:p>
              </w:tc>
              <w:tc>
                <w:tcPr>
                  <w:tcW w:w="1064" w:type="dxa"/>
                  <w:shd w:val="clear" w:color="auto" w:fill="auto"/>
                  <w:noWrap/>
                  <w:vAlign w:val="bottom"/>
                  <w:hideMark/>
                </w:tcPr>
                <w:p w14:paraId="50C56D9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7%</w:t>
                  </w:r>
                </w:p>
              </w:tc>
              <w:tc>
                <w:tcPr>
                  <w:tcW w:w="1633" w:type="dxa"/>
                  <w:tcBorders>
                    <w:right w:val="single" w:sz="18" w:space="0" w:color="auto"/>
                  </w:tcBorders>
                  <w:shd w:val="clear" w:color="auto" w:fill="auto"/>
                  <w:noWrap/>
                  <w:vAlign w:val="bottom"/>
                  <w:hideMark/>
                </w:tcPr>
                <w:p w14:paraId="410AABA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42%</w:t>
                  </w:r>
                </w:p>
              </w:tc>
              <w:tc>
                <w:tcPr>
                  <w:tcW w:w="1211" w:type="dxa"/>
                  <w:tcBorders>
                    <w:left w:val="single" w:sz="18" w:space="0" w:color="auto"/>
                  </w:tcBorders>
                  <w:shd w:val="clear" w:color="auto" w:fill="auto"/>
                  <w:noWrap/>
                  <w:vAlign w:val="bottom"/>
                  <w:hideMark/>
                </w:tcPr>
                <w:p w14:paraId="5167DF1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117</w:t>
                  </w:r>
                </w:p>
              </w:tc>
              <w:tc>
                <w:tcPr>
                  <w:tcW w:w="984" w:type="dxa"/>
                  <w:shd w:val="clear" w:color="auto" w:fill="auto"/>
                  <w:noWrap/>
                  <w:vAlign w:val="bottom"/>
                  <w:hideMark/>
                </w:tcPr>
                <w:p w14:paraId="18E547E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w:t>
                  </w:r>
                </w:p>
              </w:tc>
              <w:tc>
                <w:tcPr>
                  <w:tcW w:w="1652" w:type="dxa"/>
                  <w:shd w:val="clear" w:color="auto" w:fill="auto"/>
                  <w:noWrap/>
                  <w:vAlign w:val="bottom"/>
                  <w:hideMark/>
                </w:tcPr>
                <w:p w14:paraId="2F04094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41%</w:t>
                  </w:r>
                </w:p>
              </w:tc>
            </w:tr>
            <w:tr w:rsidR="005A15D4" w:rsidRPr="00673DF2" w14:paraId="5D227CC3" w14:textId="77777777" w:rsidTr="005A15D4">
              <w:trPr>
                <w:trHeight w:val="300"/>
              </w:trPr>
              <w:tc>
                <w:tcPr>
                  <w:tcW w:w="883" w:type="dxa"/>
                  <w:tcBorders>
                    <w:right w:val="single" w:sz="18" w:space="0" w:color="auto"/>
                  </w:tcBorders>
                  <w:shd w:val="clear" w:color="auto" w:fill="auto"/>
                  <w:noWrap/>
                  <w:vAlign w:val="bottom"/>
                  <w:hideMark/>
                </w:tcPr>
                <w:p w14:paraId="193CEF0F"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CACD</w:t>
                  </w:r>
                </w:p>
              </w:tc>
              <w:tc>
                <w:tcPr>
                  <w:tcW w:w="1167" w:type="dxa"/>
                  <w:tcBorders>
                    <w:left w:val="single" w:sz="18" w:space="0" w:color="auto"/>
                  </w:tcBorders>
                  <w:shd w:val="clear" w:color="auto" w:fill="auto"/>
                  <w:noWrap/>
                  <w:vAlign w:val="bottom"/>
                  <w:hideMark/>
                </w:tcPr>
                <w:p w14:paraId="51ABCDD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581</w:t>
                  </w:r>
                </w:p>
              </w:tc>
              <w:tc>
                <w:tcPr>
                  <w:tcW w:w="1064" w:type="dxa"/>
                  <w:shd w:val="clear" w:color="auto" w:fill="auto"/>
                  <w:noWrap/>
                  <w:vAlign w:val="bottom"/>
                  <w:hideMark/>
                </w:tcPr>
                <w:p w14:paraId="4705991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14%</w:t>
                  </w:r>
                </w:p>
              </w:tc>
              <w:tc>
                <w:tcPr>
                  <w:tcW w:w="1633" w:type="dxa"/>
                  <w:tcBorders>
                    <w:right w:val="single" w:sz="18" w:space="0" w:color="auto"/>
                  </w:tcBorders>
                  <w:shd w:val="clear" w:color="auto" w:fill="auto"/>
                  <w:noWrap/>
                  <w:vAlign w:val="bottom"/>
                  <w:hideMark/>
                </w:tcPr>
                <w:p w14:paraId="3CCDC55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47%</w:t>
                  </w:r>
                </w:p>
              </w:tc>
              <w:tc>
                <w:tcPr>
                  <w:tcW w:w="1211" w:type="dxa"/>
                  <w:tcBorders>
                    <w:left w:val="single" w:sz="18" w:space="0" w:color="auto"/>
                  </w:tcBorders>
                  <w:shd w:val="clear" w:color="auto" w:fill="auto"/>
                  <w:noWrap/>
                  <w:vAlign w:val="bottom"/>
                  <w:hideMark/>
                </w:tcPr>
                <w:p w14:paraId="3D1976B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349</w:t>
                  </w:r>
                </w:p>
              </w:tc>
              <w:tc>
                <w:tcPr>
                  <w:tcW w:w="984" w:type="dxa"/>
                  <w:shd w:val="clear" w:color="auto" w:fill="auto"/>
                  <w:noWrap/>
                  <w:vAlign w:val="bottom"/>
                  <w:hideMark/>
                </w:tcPr>
                <w:p w14:paraId="14EC6D4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13%</w:t>
                  </w:r>
                </w:p>
              </w:tc>
              <w:tc>
                <w:tcPr>
                  <w:tcW w:w="1652" w:type="dxa"/>
                  <w:shd w:val="clear" w:color="auto" w:fill="auto"/>
                  <w:noWrap/>
                  <w:vAlign w:val="bottom"/>
                  <w:hideMark/>
                </w:tcPr>
                <w:p w14:paraId="4D29F17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47%</w:t>
                  </w:r>
                </w:p>
              </w:tc>
            </w:tr>
            <w:tr w:rsidR="005A15D4" w:rsidRPr="00673DF2" w14:paraId="6C04AA73" w14:textId="77777777" w:rsidTr="005A15D4">
              <w:trPr>
                <w:trHeight w:val="300"/>
              </w:trPr>
              <w:tc>
                <w:tcPr>
                  <w:tcW w:w="883" w:type="dxa"/>
                  <w:tcBorders>
                    <w:right w:val="single" w:sz="18" w:space="0" w:color="auto"/>
                  </w:tcBorders>
                  <w:shd w:val="clear" w:color="auto" w:fill="auto"/>
                  <w:noWrap/>
                  <w:vAlign w:val="bottom"/>
                  <w:hideMark/>
                </w:tcPr>
                <w:p w14:paraId="0F1926B3"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CAED</w:t>
                  </w:r>
                </w:p>
              </w:tc>
              <w:tc>
                <w:tcPr>
                  <w:tcW w:w="1167" w:type="dxa"/>
                  <w:tcBorders>
                    <w:left w:val="single" w:sz="18" w:space="0" w:color="auto"/>
                  </w:tcBorders>
                  <w:shd w:val="clear" w:color="auto" w:fill="auto"/>
                  <w:noWrap/>
                  <w:vAlign w:val="bottom"/>
                  <w:hideMark/>
                </w:tcPr>
                <w:p w14:paraId="52EE5D0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118</w:t>
                  </w:r>
                </w:p>
              </w:tc>
              <w:tc>
                <w:tcPr>
                  <w:tcW w:w="1064" w:type="dxa"/>
                  <w:shd w:val="clear" w:color="auto" w:fill="auto"/>
                  <w:noWrap/>
                  <w:vAlign w:val="bottom"/>
                  <w:hideMark/>
                </w:tcPr>
                <w:p w14:paraId="1D745BC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w:t>
                  </w:r>
                </w:p>
              </w:tc>
              <w:tc>
                <w:tcPr>
                  <w:tcW w:w="1633" w:type="dxa"/>
                  <w:tcBorders>
                    <w:right w:val="single" w:sz="18" w:space="0" w:color="auto"/>
                  </w:tcBorders>
                  <w:shd w:val="clear" w:color="auto" w:fill="auto"/>
                  <w:noWrap/>
                  <w:vAlign w:val="bottom"/>
                  <w:hideMark/>
                </w:tcPr>
                <w:p w14:paraId="13F24AB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48%</w:t>
                  </w:r>
                </w:p>
              </w:tc>
              <w:tc>
                <w:tcPr>
                  <w:tcW w:w="1211" w:type="dxa"/>
                  <w:tcBorders>
                    <w:left w:val="single" w:sz="18" w:space="0" w:color="auto"/>
                  </w:tcBorders>
                  <w:shd w:val="clear" w:color="auto" w:fill="auto"/>
                  <w:noWrap/>
                  <w:vAlign w:val="bottom"/>
                  <w:hideMark/>
                </w:tcPr>
                <w:p w14:paraId="5128613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59</w:t>
                  </w:r>
                </w:p>
              </w:tc>
              <w:tc>
                <w:tcPr>
                  <w:tcW w:w="984" w:type="dxa"/>
                  <w:shd w:val="clear" w:color="auto" w:fill="auto"/>
                  <w:noWrap/>
                  <w:vAlign w:val="bottom"/>
                  <w:hideMark/>
                </w:tcPr>
                <w:p w14:paraId="15271B1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1652" w:type="dxa"/>
                  <w:shd w:val="clear" w:color="auto" w:fill="auto"/>
                  <w:noWrap/>
                  <w:vAlign w:val="bottom"/>
                  <w:hideMark/>
                </w:tcPr>
                <w:p w14:paraId="1846B7C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49%</w:t>
                  </w:r>
                </w:p>
              </w:tc>
            </w:tr>
            <w:tr w:rsidR="005A15D4" w:rsidRPr="00673DF2" w14:paraId="0972E188" w14:textId="77777777" w:rsidTr="005A15D4">
              <w:trPr>
                <w:trHeight w:val="300"/>
              </w:trPr>
              <w:tc>
                <w:tcPr>
                  <w:tcW w:w="883" w:type="dxa"/>
                  <w:tcBorders>
                    <w:right w:val="single" w:sz="18" w:space="0" w:color="auto"/>
                  </w:tcBorders>
                  <w:shd w:val="clear" w:color="auto" w:fill="auto"/>
                  <w:noWrap/>
                  <w:vAlign w:val="bottom"/>
                  <w:hideMark/>
                </w:tcPr>
                <w:p w14:paraId="0A0BEC3A"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CAND</w:t>
                  </w:r>
                </w:p>
              </w:tc>
              <w:tc>
                <w:tcPr>
                  <w:tcW w:w="1167" w:type="dxa"/>
                  <w:tcBorders>
                    <w:left w:val="single" w:sz="18" w:space="0" w:color="auto"/>
                  </w:tcBorders>
                  <w:shd w:val="clear" w:color="auto" w:fill="auto"/>
                  <w:noWrap/>
                  <w:vAlign w:val="bottom"/>
                  <w:hideMark/>
                </w:tcPr>
                <w:p w14:paraId="067216A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312</w:t>
                  </w:r>
                </w:p>
              </w:tc>
              <w:tc>
                <w:tcPr>
                  <w:tcW w:w="1064" w:type="dxa"/>
                  <w:shd w:val="clear" w:color="auto" w:fill="auto"/>
                  <w:noWrap/>
                  <w:vAlign w:val="bottom"/>
                  <w:hideMark/>
                </w:tcPr>
                <w:p w14:paraId="61DBFD9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8%</w:t>
                  </w:r>
                </w:p>
              </w:tc>
              <w:tc>
                <w:tcPr>
                  <w:tcW w:w="1633" w:type="dxa"/>
                  <w:tcBorders>
                    <w:right w:val="single" w:sz="18" w:space="0" w:color="auto"/>
                  </w:tcBorders>
                  <w:shd w:val="clear" w:color="auto" w:fill="auto"/>
                  <w:noWrap/>
                  <w:vAlign w:val="bottom"/>
                  <w:hideMark/>
                </w:tcPr>
                <w:p w14:paraId="4F9CDD3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65%</w:t>
                  </w:r>
                </w:p>
              </w:tc>
              <w:tc>
                <w:tcPr>
                  <w:tcW w:w="1211" w:type="dxa"/>
                  <w:tcBorders>
                    <w:left w:val="single" w:sz="18" w:space="0" w:color="auto"/>
                  </w:tcBorders>
                  <w:shd w:val="clear" w:color="auto" w:fill="auto"/>
                  <w:noWrap/>
                  <w:vAlign w:val="bottom"/>
                  <w:hideMark/>
                </w:tcPr>
                <w:p w14:paraId="4FDFE39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127</w:t>
                  </w:r>
                </w:p>
              </w:tc>
              <w:tc>
                <w:tcPr>
                  <w:tcW w:w="984" w:type="dxa"/>
                  <w:shd w:val="clear" w:color="auto" w:fill="auto"/>
                  <w:noWrap/>
                  <w:vAlign w:val="bottom"/>
                  <w:hideMark/>
                </w:tcPr>
                <w:p w14:paraId="5B2A284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w:t>
                  </w:r>
                </w:p>
              </w:tc>
              <w:tc>
                <w:tcPr>
                  <w:tcW w:w="1652" w:type="dxa"/>
                  <w:shd w:val="clear" w:color="auto" w:fill="auto"/>
                  <w:noWrap/>
                  <w:vAlign w:val="bottom"/>
                  <w:hideMark/>
                </w:tcPr>
                <w:p w14:paraId="7B5866F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61%</w:t>
                  </w:r>
                </w:p>
              </w:tc>
            </w:tr>
            <w:tr w:rsidR="005A15D4" w:rsidRPr="00673DF2" w14:paraId="2B8D71F3" w14:textId="77777777" w:rsidTr="005A15D4">
              <w:trPr>
                <w:trHeight w:val="300"/>
              </w:trPr>
              <w:tc>
                <w:tcPr>
                  <w:tcW w:w="883" w:type="dxa"/>
                  <w:tcBorders>
                    <w:right w:val="single" w:sz="18" w:space="0" w:color="auto"/>
                  </w:tcBorders>
                  <w:shd w:val="clear" w:color="auto" w:fill="auto"/>
                  <w:noWrap/>
                  <w:vAlign w:val="bottom"/>
                  <w:hideMark/>
                </w:tcPr>
                <w:p w14:paraId="1742E31E"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CASD</w:t>
                  </w:r>
                </w:p>
              </w:tc>
              <w:tc>
                <w:tcPr>
                  <w:tcW w:w="1167" w:type="dxa"/>
                  <w:tcBorders>
                    <w:left w:val="single" w:sz="18" w:space="0" w:color="auto"/>
                  </w:tcBorders>
                  <w:shd w:val="clear" w:color="auto" w:fill="auto"/>
                  <w:noWrap/>
                  <w:vAlign w:val="bottom"/>
                  <w:hideMark/>
                </w:tcPr>
                <w:p w14:paraId="7C0FBF0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77</w:t>
                  </w:r>
                </w:p>
              </w:tc>
              <w:tc>
                <w:tcPr>
                  <w:tcW w:w="1064" w:type="dxa"/>
                  <w:shd w:val="clear" w:color="auto" w:fill="auto"/>
                  <w:noWrap/>
                  <w:vAlign w:val="bottom"/>
                  <w:hideMark/>
                </w:tcPr>
                <w:p w14:paraId="0320542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1633" w:type="dxa"/>
                  <w:tcBorders>
                    <w:right w:val="single" w:sz="18" w:space="0" w:color="auto"/>
                  </w:tcBorders>
                  <w:shd w:val="clear" w:color="auto" w:fill="auto"/>
                  <w:noWrap/>
                  <w:vAlign w:val="bottom"/>
                  <w:hideMark/>
                </w:tcPr>
                <w:p w14:paraId="0A49F3B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53%</w:t>
                  </w:r>
                </w:p>
              </w:tc>
              <w:tc>
                <w:tcPr>
                  <w:tcW w:w="1211" w:type="dxa"/>
                  <w:tcBorders>
                    <w:left w:val="single" w:sz="18" w:space="0" w:color="auto"/>
                  </w:tcBorders>
                  <w:shd w:val="clear" w:color="auto" w:fill="auto"/>
                  <w:noWrap/>
                  <w:vAlign w:val="bottom"/>
                  <w:hideMark/>
                </w:tcPr>
                <w:p w14:paraId="5217F4F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33</w:t>
                  </w:r>
                </w:p>
              </w:tc>
              <w:tc>
                <w:tcPr>
                  <w:tcW w:w="984" w:type="dxa"/>
                  <w:shd w:val="clear" w:color="auto" w:fill="auto"/>
                  <w:noWrap/>
                  <w:vAlign w:val="bottom"/>
                  <w:hideMark/>
                </w:tcPr>
                <w:p w14:paraId="7C1CD89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52" w:type="dxa"/>
                  <w:shd w:val="clear" w:color="auto" w:fill="auto"/>
                  <w:noWrap/>
                  <w:vAlign w:val="bottom"/>
                  <w:hideMark/>
                </w:tcPr>
                <w:p w14:paraId="79AE375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40%</w:t>
                  </w:r>
                </w:p>
              </w:tc>
            </w:tr>
            <w:tr w:rsidR="005A15D4" w:rsidRPr="00673DF2" w14:paraId="404EAE38" w14:textId="77777777" w:rsidTr="005A15D4">
              <w:trPr>
                <w:trHeight w:val="300"/>
              </w:trPr>
              <w:tc>
                <w:tcPr>
                  <w:tcW w:w="883" w:type="dxa"/>
                  <w:tcBorders>
                    <w:right w:val="single" w:sz="18" w:space="0" w:color="auto"/>
                  </w:tcBorders>
                  <w:shd w:val="clear" w:color="auto" w:fill="auto"/>
                  <w:noWrap/>
                  <w:vAlign w:val="bottom"/>
                  <w:hideMark/>
                </w:tcPr>
                <w:p w14:paraId="6C59486C"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CO</w:t>
                  </w:r>
                </w:p>
              </w:tc>
              <w:tc>
                <w:tcPr>
                  <w:tcW w:w="1167" w:type="dxa"/>
                  <w:tcBorders>
                    <w:left w:val="single" w:sz="18" w:space="0" w:color="auto"/>
                  </w:tcBorders>
                  <w:shd w:val="clear" w:color="auto" w:fill="auto"/>
                  <w:noWrap/>
                  <w:vAlign w:val="bottom"/>
                  <w:hideMark/>
                </w:tcPr>
                <w:p w14:paraId="383C4C9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59</w:t>
                  </w:r>
                </w:p>
              </w:tc>
              <w:tc>
                <w:tcPr>
                  <w:tcW w:w="1064" w:type="dxa"/>
                  <w:shd w:val="clear" w:color="auto" w:fill="auto"/>
                  <w:noWrap/>
                  <w:vAlign w:val="bottom"/>
                  <w:hideMark/>
                </w:tcPr>
                <w:p w14:paraId="7C52684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33" w:type="dxa"/>
                  <w:tcBorders>
                    <w:right w:val="single" w:sz="18" w:space="0" w:color="auto"/>
                  </w:tcBorders>
                  <w:shd w:val="clear" w:color="auto" w:fill="auto"/>
                  <w:noWrap/>
                  <w:vAlign w:val="bottom"/>
                  <w:hideMark/>
                </w:tcPr>
                <w:p w14:paraId="0076A96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31%</w:t>
                  </w:r>
                </w:p>
              </w:tc>
              <w:tc>
                <w:tcPr>
                  <w:tcW w:w="1211" w:type="dxa"/>
                  <w:tcBorders>
                    <w:left w:val="single" w:sz="18" w:space="0" w:color="auto"/>
                  </w:tcBorders>
                  <w:shd w:val="clear" w:color="auto" w:fill="auto"/>
                  <w:noWrap/>
                  <w:vAlign w:val="bottom"/>
                  <w:hideMark/>
                </w:tcPr>
                <w:p w14:paraId="634DD75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34</w:t>
                  </w:r>
                </w:p>
              </w:tc>
              <w:tc>
                <w:tcPr>
                  <w:tcW w:w="984" w:type="dxa"/>
                  <w:shd w:val="clear" w:color="auto" w:fill="auto"/>
                  <w:noWrap/>
                  <w:vAlign w:val="bottom"/>
                  <w:hideMark/>
                </w:tcPr>
                <w:p w14:paraId="3C4A24C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52" w:type="dxa"/>
                  <w:shd w:val="clear" w:color="auto" w:fill="auto"/>
                  <w:noWrap/>
                  <w:vAlign w:val="bottom"/>
                  <w:hideMark/>
                </w:tcPr>
                <w:p w14:paraId="0371D03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32%</w:t>
                  </w:r>
                </w:p>
              </w:tc>
            </w:tr>
            <w:tr w:rsidR="005A15D4" w:rsidRPr="00673DF2" w14:paraId="7E8DBE3A" w14:textId="77777777" w:rsidTr="005A15D4">
              <w:trPr>
                <w:trHeight w:val="300"/>
              </w:trPr>
              <w:tc>
                <w:tcPr>
                  <w:tcW w:w="883" w:type="dxa"/>
                  <w:tcBorders>
                    <w:right w:val="single" w:sz="18" w:space="0" w:color="auto"/>
                  </w:tcBorders>
                  <w:shd w:val="clear" w:color="auto" w:fill="auto"/>
                  <w:noWrap/>
                  <w:vAlign w:val="bottom"/>
                  <w:hideMark/>
                </w:tcPr>
                <w:p w14:paraId="257E7010"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DE</w:t>
                  </w:r>
                </w:p>
              </w:tc>
              <w:tc>
                <w:tcPr>
                  <w:tcW w:w="1167" w:type="dxa"/>
                  <w:tcBorders>
                    <w:left w:val="single" w:sz="18" w:space="0" w:color="auto"/>
                  </w:tcBorders>
                  <w:shd w:val="clear" w:color="auto" w:fill="auto"/>
                  <w:noWrap/>
                  <w:vAlign w:val="bottom"/>
                  <w:hideMark/>
                </w:tcPr>
                <w:p w14:paraId="7E9DE7D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7</w:t>
                  </w:r>
                </w:p>
              </w:tc>
              <w:tc>
                <w:tcPr>
                  <w:tcW w:w="1064" w:type="dxa"/>
                  <w:shd w:val="clear" w:color="auto" w:fill="auto"/>
                  <w:noWrap/>
                  <w:vAlign w:val="bottom"/>
                  <w:hideMark/>
                </w:tcPr>
                <w:p w14:paraId="0AD4B8C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1DC1FD8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211" w:type="dxa"/>
                  <w:tcBorders>
                    <w:left w:val="single" w:sz="18" w:space="0" w:color="auto"/>
                  </w:tcBorders>
                  <w:shd w:val="clear" w:color="auto" w:fill="auto"/>
                  <w:noWrap/>
                  <w:vAlign w:val="bottom"/>
                  <w:hideMark/>
                </w:tcPr>
                <w:p w14:paraId="36278C8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w:t>
                  </w:r>
                </w:p>
              </w:tc>
              <w:tc>
                <w:tcPr>
                  <w:tcW w:w="984" w:type="dxa"/>
                  <w:shd w:val="clear" w:color="auto" w:fill="auto"/>
                  <w:noWrap/>
                  <w:vAlign w:val="bottom"/>
                  <w:hideMark/>
                </w:tcPr>
                <w:p w14:paraId="26467C7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7920E8B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r>
            <w:tr w:rsidR="005A15D4" w:rsidRPr="00673DF2" w14:paraId="5B92BE01" w14:textId="77777777" w:rsidTr="005A15D4">
              <w:trPr>
                <w:trHeight w:val="300"/>
              </w:trPr>
              <w:tc>
                <w:tcPr>
                  <w:tcW w:w="883" w:type="dxa"/>
                  <w:tcBorders>
                    <w:right w:val="single" w:sz="18" w:space="0" w:color="auto"/>
                  </w:tcBorders>
                  <w:shd w:val="clear" w:color="auto" w:fill="auto"/>
                  <w:noWrap/>
                  <w:vAlign w:val="bottom"/>
                  <w:hideMark/>
                </w:tcPr>
                <w:p w14:paraId="1EC7A4FE"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FLMD</w:t>
                  </w:r>
                </w:p>
              </w:tc>
              <w:tc>
                <w:tcPr>
                  <w:tcW w:w="1167" w:type="dxa"/>
                  <w:tcBorders>
                    <w:left w:val="single" w:sz="18" w:space="0" w:color="auto"/>
                  </w:tcBorders>
                  <w:shd w:val="clear" w:color="auto" w:fill="auto"/>
                  <w:noWrap/>
                  <w:vAlign w:val="bottom"/>
                  <w:hideMark/>
                </w:tcPr>
                <w:p w14:paraId="6C1169B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232</w:t>
                  </w:r>
                </w:p>
              </w:tc>
              <w:tc>
                <w:tcPr>
                  <w:tcW w:w="1064" w:type="dxa"/>
                  <w:shd w:val="clear" w:color="auto" w:fill="auto"/>
                  <w:noWrap/>
                  <w:vAlign w:val="bottom"/>
                  <w:hideMark/>
                </w:tcPr>
                <w:p w14:paraId="7312136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6%</w:t>
                  </w:r>
                </w:p>
              </w:tc>
              <w:tc>
                <w:tcPr>
                  <w:tcW w:w="1633" w:type="dxa"/>
                  <w:tcBorders>
                    <w:right w:val="single" w:sz="18" w:space="0" w:color="auto"/>
                  </w:tcBorders>
                  <w:shd w:val="clear" w:color="auto" w:fill="auto"/>
                  <w:noWrap/>
                  <w:vAlign w:val="bottom"/>
                  <w:hideMark/>
                </w:tcPr>
                <w:p w14:paraId="177E788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29%</w:t>
                  </w:r>
                </w:p>
              </w:tc>
              <w:tc>
                <w:tcPr>
                  <w:tcW w:w="1211" w:type="dxa"/>
                  <w:tcBorders>
                    <w:left w:val="single" w:sz="18" w:space="0" w:color="auto"/>
                  </w:tcBorders>
                  <w:shd w:val="clear" w:color="auto" w:fill="auto"/>
                  <w:noWrap/>
                  <w:vAlign w:val="bottom"/>
                  <w:hideMark/>
                </w:tcPr>
                <w:p w14:paraId="69E2E2D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146</w:t>
                  </w:r>
                </w:p>
              </w:tc>
              <w:tc>
                <w:tcPr>
                  <w:tcW w:w="984" w:type="dxa"/>
                  <w:shd w:val="clear" w:color="auto" w:fill="auto"/>
                  <w:noWrap/>
                  <w:vAlign w:val="bottom"/>
                  <w:hideMark/>
                </w:tcPr>
                <w:p w14:paraId="4024CEA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6%</w:t>
                  </w:r>
                </w:p>
              </w:tc>
              <w:tc>
                <w:tcPr>
                  <w:tcW w:w="1652" w:type="dxa"/>
                  <w:shd w:val="clear" w:color="auto" w:fill="auto"/>
                  <w:noWrap/>
                  <w:vAlign w:val="bottom"/>
                  <w:hideMark/>
                </w:tcPr>
                <w:p w14:paraId="5F18F59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35%</w:t>
                  </w:r>
                </w:p>
              </w:tc>
            </w:tr>
            <w:tr w:rsidR="005A15D4" w:rsidRPr="00673DF2" w14:paraId="65912A72" w14:textId="77777777" w:rsidTr="005A15D4">
              <w:trPr>
                <w:trHeight w:val="300"/>
              </w:trPr>
              <w:tc>
                <w:tcPr>
                  <w:tcW w:w="883" w:type="dxa"/>
                  <w:tcBorders>
                    <w:right w:val="single" w:sz="18" w:space="0" w:color="auto"/>
                  </w:tcBorders>
                  <w:shd w:val="clear" w:color="auto" w:fill="auto"/>
                  <w:noWrap/>
                  <w:vAlign w:val="bottom"/>
                  <w:hideMark/>
                </w:tcPr>
                <w:p w14:paraId="27901AE2"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FLND</w:t>
                  </w:r>
                </w:p>
              </w:tc>
              <w:tc>
                <w:tcPr>
                  <w:tcW w:w="1167" w:type="dxa"/>
                  <w:tcBorders>
                    <w:left w:val="single" w:sz="18" w:space="0" w:color="auto"/>
                  </w:tcBorders>
                  <w:shd w:val="clear" w:color="auto" w:fill="auto"/>
                  <w:noWrap/>
                  <w:vAlign w:val="bottom"/>
                  <w:hideMark/>
                </w:tcPr>
                <w:p w14:paraId="5E6426D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12</w:t>
                  </w:r>
                </w:p>
              </w:tc>
              <w:tc>
                <w:tcPr>
                  <w:tcW w:w="1064" w:type="dxa"/>
                  <w:shd w:val="clear" w:color="auto" w:fill="auto"/>
                  <w:noWrap/>
                  <w:vAlign w:val="bottom"/>
                  <w:hideMark/>
                </w:tcPr>
                <w:p w14:paraId="4333F98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3BF8729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26%</w:t>
                  </w:r>
                </w:p>
              </w:tc>
              <w:tc>
                <w:tcPr>
                  <w:tcW w:w="1211" w:type="dxa"/>
                  <w:tcBorders>
                    <w:left w:val="single" w:sz="18" w:space="0" w:color="auto"/>
                  </w:tcBorders>
                  <w:shd w:val="clear" w:color="auto" w:fill="auto"/>
                  <w:noWrap/>
                  <w:vAlign w:val="bottom"/>
                  <w:hideMark/>
                </w:tcPr>
                <w:p w14:paraId="45507CF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19</w:t>
                  </w:r>
                </w:p>
              </w:tc>
              <w:tc>
                <w:tcPr>
                  <w:tcW w:w="984" w:type="dxa"/>
                  <w:shd w:val="clear" w:color="auto" w:fill="auto"/>
                  <w:noWrap/>
                  <w:vAlign w:val="bottom"/>
                  <w:hideMark/>
                </w:tcPr>
                <w:p w14:paraId="3BD8055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52" w:type="dxa"/>
                  <w:shd w:val="clear" w:color="auto" w:fill="auto"/>
                  <w:noWrap/>
                  <w:vAlign w:val="bottom"/>
                  <w:hideMark/>
                </w:tcPr>
                <w:p w14:paraId="69510DF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40%</w:t>
                  </w:r>
                </w:p>
              </w:tc>
            </w:tr>
            <w:tr w:rsidR="005A15D4" w:rsidRPr="00673DF2" w14:paraId="58C457FA" w14:textId="77777777" w:rsidTr="009E554A">
              <w:trPr>
                <w:trHeight w:val="300"/>
              </w:trPr>
              <w:tc>
                <w:tcPr>
                  <w:tcW w:w="883" w:type="dxa"/>
                  <w:tcBorders>
                    <w:right w:val="single" w:sz="18" w:space="0" w:color="auto"/>
                  </w:tcBorders>
                  <w:shd w:val="clear" w:color="auto" w:fill="auto"/>
                  <w:noWrap/>
                  <w:vAlign w:val="bottom"/>
                  <w:hideMark/>
                </w:tcPr>
                <w:p w14:paraId="0D164B55"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FLSD</w:t>
                  </w:r>
                </w:p>
              </w:tc>
              <w:tc>
                <w:tcPr>
                  <w:tcW w:w="1167" w:type="dxa"/>
                  <w:tcBorders>
                    <w:left w:val="single" w:sz="18" w:space="0" w:color="auto"/>
                  </w:tcBorders>
                  <w:shd w:val="clear" w:color="auto" w:fill="auto"/>
                  <w:noWrap/>
                  <w:vAlign w:val="bottom"/>
                  <w:hideMark/>
                </w:tcPr>
                <w:p w14:paraId="2B54AF4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115</w:t>
                  </w:r>
                </w:p>
              </w:tc>
              <w:tc>
                <w:tcPr>
                  <w:tcW w:w="1064" w:type="dxa"/>
                  <w:shd w:val="clear" w:color="auto" w:fill="auto"/>
                  <w:noWrap/>
                  <w:vAlign w:val="bottom"/>
                  <w:hideMark/>
                </w:tcPr>
                <w:p w14:paraId="6AD527D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w:t>
                  </w:r>
                </w:p>
              </w:tc>
              <w:tc>
                <w:tcPr>
                  <w:tcW w:w="1633" w:type="dxa"/>
                  <w:tcBorders>
                    <w:right w:val="single" w:sz="18" w:space="0" w:color="auto"/>
                  </w:tcBorders>
                  <w:shd w:val="clear" w:color="auto" w:fill="auto"/>
                  <w:noWrap/>
                  <w:vAlign w:val="bottom"/>
                  <w:hideMark/>
                </w:tcPr>
                <w:p w14:paraId="0E67007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27%</w:t>
                  </w:r>
                </w:p>
              </w:tc>
              <w:tc>
                <w:tcPr>
                  <w:tcW w:w="1211" w:type="dxa"/>
                  <w:tcBorders>
                    <w:left w:val="single" w:sz="18" w:space="0" w:color="auto"/>
                  </w:tcBorders>
                  <w:shd w:val="clear" w:color="auto" w:fill="auto"/>
                  <w:noWrap/>
                  <w:vAlign w:val="bottom"/>
                  <w:hideMark/>
                </w:tcPr>
                <w:p w14:paraId="2088702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127</w:t>
                  </w:r>
                </w:p>
              </w:tc>
              <w:tc>
                <w:tcPr>
                  <w:tcW w:w="984" w:type="dxa"/>
                  <w:shd w:val="clear" w:color="auto" w:fill="auto"/>
                  <w:noWrap/>
                  <w:vAlign w:val="bottom"/>
                  <w:hideMark/>
                </w:tcPr>
                <w:p w14:paraId="2D443DA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w:t>
                  </w:r>
                </w:p>
              </w:tc>
              <w:tc>
                <w:tcPr>
                  <w:tcW w:w="1652" w:type="dxa"/>
                  <w:shd w:val="clear" w:color="auto" w:fill="auto"/>
                  <w:noWrap/>
                  <w:vAlign w:val="bottom"/>
                  <w:hideMark/>
                </w:tcPr>
                <w:p w14:paraId="2DFCDD5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39%</w:t>
                  </w:r>
                </w:p>
              </w:tc>
            </w:tr>
            <w:tr w:rsidR="005A15D4" w:rsidRPr="00673DF2" w14:paraId="642EF678" w14:textId="77777777" w:rsidTr="005A15D4">
              <w:trPr>
                <w:trHeight w:val="300"/>
              </w:trPr>
              <w:tc>
                <w:tcPr>
                  <w:tcW w:w="883" w:type="dxa"/>
                  <w:tcBorders>
                    <w:right w:val="single" w:sz="18" w:space="0" w:color="auto"/>
                  </w:tcBorders>
                  <w:shd w:val="clear" w:color="auto" w:fill="auto"/>
                  <w:noWrap/>
                  <w:vAlign w:val="bottom"/>
                  <w:hideMark/>
                </w:tcPr>
                <w:p w14:paraId="7F6FF7F2"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GAMD</w:t>
                  </w:r>
                </w:p>
              </w:tc>
              <w:tc>
                <w:tcPr>
                  <w:tcW w:w="1167" w:type="dxa"/>
                  <w:tcBorders>
                    <w:left w:val="single" w:sz="18" w:space="0" w:color="auto"/>
                  </w:tcBorders>
                  <w:shd w:val="clear" w:color="auto" w:fill="auto"/>
                  <w:noWrap/>
                  <w:vAlign w:val="bottom"/>
                  <w:hideMark/>
                </w:tcPr>
                <w:p w14:paraId="0587EED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13</w:t>
                  </w:r>
                </w:p>
              </w:tc>
              <w:tc>
                <w:tcPr>
                  <w:tcW w:w="1064" w:type="dxa"/>
                  <w:shd w:val="clear" w:color="auto" w:fill="auto"/>
                  <w:noWrap/>
                  <w:vAlign w:val="bottom"/>
                  <w:hideMark/>
                </w:tcPr>
                <w:p w14:paraId="4AE32FC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08ACFEE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16%</w:t>
                  </w:r>
                </w:p>
              </w:tc>
              <w:tc>
                <w:tcPr>
                  <w:tcW w:w="1211" w:type="dxa"/>
                  <w:tcBorders>
                    <w:left w:val="single" w:sz="18" w:space="0" w:color="auto"/>
                  </w:tcBorders>
                  <w:shd w:val="clear" w:color="auto" w:fill="auto"/>
                  <w:noWrap/>
                  <w:vAlign w:val="bottom"/>
                  <w:hideMark/>
                </w:tcPr>
                <w:p w14:paraId="6FBB7EF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16</w:t>
                  </w:r>
                </w:p>
              </w:tc>
              <w:tc>
                <w:tcPr>
                  <w:tcW w:w="984" w:type="dxa"/>
                  <w:shd w:val="clear" w:color="auto" w:fill="auto"/>
                  <w:noWrap/>
                  <w:vAlign w:val="bottom"/>
                  <w:hideMark/>
                </w:tcPr>
                <w:p w14:paraId="0702B98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52" w:type="dxa"/>
                  <w:shd w:val="clear" w:color="auto" w:fill="auto"/>
                  <w:noWrap/>
                  <w:vAlign w:val="bottom"/>
                  <w:hideMark/>
                </w:tcPr>
                <w:p w14:paraId="0E9423D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37%</w:t>
                  </w:r>
                </w:p>
              </w:tc>
            </w:tr>
            <w:tr w:rsidR="005A15D4" w:rsidRPr="00673DF2" w14:paraId="1870D699" w14:textId="77777777" w:rsidTr="005A15D4">
              <w:trPr>
                <w:trHeight w:val="300"/>
              </w:trPr>
              <w:tc>
                <w:tcPr>
                  <w:tcW w:w="883" w:type="dxa"/>
                  <w:tcBorders>
                    <w:right w:val="single" w:sz="18" w:space="0" w:color="auto"/>
                  </w:tcBorders>
                  <w:shd w:val="clear" w:color="auto" w:fill="auto"/>
                  <w:noWrap/>
                  <w:vAlign w:val="bottom"/>
                  <w:hideMark/>
                </w:tcPr>
                <w:p w14:paraId="78B248DC"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GAND</w:t>
                  </w:r>
                </w:p>
              </w:tc>
              <w:tc>
                <w:tcPr>
                  <w:tcW w:w="1167" w:type="dxa"/>
                  <w:tcBorders>
                    <w:left w:val="single" w:sz="18" w:space="0" w:color="auto"/>
                  </w:tcBorders>
                  <w:shd w:val="clear" w:color="auto" w:fill="auto"/>
                  <w:noWrap/>
                  <w:vAlign w:val="bottom"/>
                  <w:hideMark/>
                </w:tcPr>
                <w:p w14:paraId="6AA2160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68</w:t>
                  </w:r>
                </w:p>
              </w:tc>
              <w:tc>
                <w:tcPr>
                  <w:tcW w:w="1064" w:type="dxa"/>
                  <w:shd w:val="clear" w:color="auto" w:fill="auto"/>
                  <w:noWrap/>
                  <w:vAlign w:val="bottom"/>
                  <w:hideMark/>
                </w:tcPr>
                <w:p w14:paraId="67332EC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1633" w:type="dxa"/>
                  <w:tcBorders>
                    <w:right w:val="single" w:sz="18" w:space="0" w:color="auto"/>
                  </w:tcBorders>
                  <w:shd w:val="clear" w:color="auto" w:fill="auto"/>
                  <w:noWrap/>
                  <w:vAlign w:val="bottom"/>
                  <w:hideMark/>
                </w:tcPr>
                <w:p w14:paraId="31958EC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20%</w:t>
                  </w:r>
                </w:p>
              </w:tc>
              <w:tc>
                <w:tcPr>
                  <w:tcW w:w="1211" w:type="dxa"/>
                  <w:tcBorders>
                    <w:left w:val="single" w:sz="18" w:space="0" w:color="auto"/>
                  </w:tcBorders>
                  <w:shd w:val="clear" w:color="auto" w:fill="auto"/>
                  <w:noWrap/>
                  <w:vAlign w:val="bottom"/>
                  <w:hideMark/>
                </w:tcPr>
                <w:p w14:paraId="519290D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61</w:t>
                  </w:r>
                </w:p>
              </w:tc>
              <w:tc>
                <w:tcPr>
                  <w:tcW w:w="984" w:type="dxa"/>
                  <w:shd w:val="clear" w:color="auto" w:fill="auto"/>
                  <w:noWrap/>
                  <w:vAlign w:val="bottom"/>
                  <w:hideMark/>
                </w:tcPr>
                <w:p w14:paraId="7ECBD60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1652" w:type="dxa"/>
                  <w:shd w:val="clear" w:color="auto" w:fill="auto"/>
                  <w:noWrap/>
                  <w:vAlign w:val="bottom"/>
                  <w:hideMark/>
                </w:tcPr>
                <w:p w14:paraId="6CDDEA4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25%</w:t>
                  </w:r>
                </w:p>
              </w:tc>
            </w:tr>
            <w:tr w:rsidR="005A15D4" w:rsidRPr="00673DF2" w14:paraId="26D54E55" w14:textId="77777777" w:rsidTr="005A15D4">
              <w:trPr>
                <w:trHeight w:val="300"/>
              </w:trPr>
              <w:tc>
                <w:tcPr>
                  <w:tcW w:w="883" w:type="dxa"/>
                  <w:tcBorders>
                    <w:right w:val="single" w:sz="18" w:space="0" w:color="auto"/>
                  </w:tcBorders>
                  <w:shd w:val="clear" w:color="auto" w:fill="auto"/>
                  <w:noWrap/>
                  <w:vAlign w:val="bottom"/>
                  <w:hideMark/>
                </w:tcPr>
                <w:p w14:paraId="3BE55F5C"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GASD</w:t>
                  </w:r>
                </w:p>
              </w:tc>
              <w:tc>
                <w:tcPr>
                  <w:tcW w:w="1167" w:type="dxa"/>
                  <w:tcBorders>
                    <w:left w:val="single" w:sz="18" w:space="0" w:color="auto"/>
                  </w:tcBorders>
                  <w:shd w:val="clear" w:color="auto" w:fill="auto"/>
                  <w:noWrap/>
                  <w:vAlign w:val="bottom"/>
                  <w:hideMark/>
                </w:tcPr>
                <w:p w14:paraId="6988139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24</w:t>
                  </w:r>
                </w:p>
              </w:tc>
              <w:tc>
                <w:tcPr>
                  <w:tcW w:w="1064" w:type="dxa"/>
                  <w:shd w:val="clear" w:color="auto" w:fill="auto"/>
                  <w:noWrap/>
                  <w:vAlign w:val="bottom"/>
                  <w:hideMark/>
                </w:tcPr>
                <w:p w14:paraId="2464EA3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33" w:type="dxa"/>
                  <w:tcBorders>
                    <w:right w:val="single" w:sz="18" w:space="0" w:color="auto"/>
                  </w:tcBorders>
                  <w:shd w:val="clear" w:color="auto" w:fill="auto"/>
                  <w:noWrap/>
                  <w:vAlign w:val="bottom"/>
                  <w:hideMark/>
                </w:tcPr>
                <w:p w14:paraId="4E7A0FB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23%</w:t>
                  </w:r>
                </w:p>
              </w:tc>
              <w:tc>
                <w:tcPr>
                  <w:tcW w:w="1211" w:type="dxa"/>
                  <w:tcBorders>
                    <w:left w:val="single" w:sz="18" w:space="0" w:color="auto"/>
                  </w:tcBorders>
                  <w:shd w:val="clear" w:color="auto" w:fill="auto"/>
                  <w:noWrap/>
                  <w:vAlign w:val="bottom"/>
                  <w:hideMark/>
                </w:tcPr>
                <w:p w14:paraId="3BB9506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16</w:t>
                  </w:r>
                </w:p>
              </w:tc>
              <w:tc>
                <w:tcPr>
                  <w:tcW w:w="984" w:type="dxa"/>
                  <w:shd w:val="clear" w:color="auto" w:fill="auto"/>
                  <w:noWrap/>
                  <w:vAlign w:val="bottom"/>
                  <w:hideMark/>
                </w:tcPr>
                <w:p w14:paraId="4F4F058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52" w:type="dxa"/>
                  <w:shd w:val="clear" w:color="auto" w:fill="auto"/>
                  <w:noWrap/>
                  <w:vAlign w:val="bottom"/>
                  <w:hideMark/>
                </w:tcPr>
                <w:p w14:paraId="2593815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33%</w:t>
                  </w:r>
                </w:p>
              </w:tc>
            </w:tr>
            <w:tr w:rsidR="005A15D4" w:rsidRPr="00673DF2" w14:paraId="79CFDE06" w14:textId="77777777" w:rsidTr="005A15D4">
              <w:trPr>
                <w:trHeight w:val="300"/>
              </w:trPr>
              <w:tc>
                <w:tcPr>
                  <w:tcW w:w="883" w:type="dxa"/>
                  <w:tcBorders>
                    <w:right w:val="single" w:sz="18" w:space="0" w:color="auto"/>
                  </w:tcBorders>
                  <w:shd w:val="clear" w:color="auto" w:fill="auto"/>
                  <w:noWrap/>
                  <w:vAlign w:val="bottom"/>
                  <w:hideMark/>
                </w:tcPr>
                <w:p w14:paraId="602ACC0C"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IAND</w:t>
                  </w:r>
                </w:p>
              </w:tc>
              <w:tc>
                <w:tcPr>
                  <w:tcW w:w="1167" w:type="dxa"/>
                  <w:tcBorders>
                    <w:left w:val="single" w:sz="18" w:space="0" w:color="auto"/>
                  </w:tcBorders>
                  <w:shd w:val="clear" w:color="auto" w:fill="auto"/>
                  <w:noWrap/>
                  <w:vAlign w:val="bottom"/>
                  <w:hideMark/>
                </w:tcPr>
                <w:p w14:paraId="64E2D8E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w:t>
                  </w:r>
                </w:p>
              </w:tc>
              <w:tc>
                <w:tcPr>
                  <w:tcW w:w="1064" w:type="dxa"/>
                  <w:shd w:val="clear" w:color="auto" w:fill="auto"/>
                  <w:noWrap/>
                  <w:vAlign w:val="bottom"/>
                  <w:hideMark/>
                </w:tcPr>
                <w:p w14:paraId="6DA7E90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5DA302C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43%</w:t>
                  </w:r>
                </w:p>
              </w:tc>
              <w:tc>
                <w:tcPr>
                  <w:tcW w:w="1211" w:type="dxa"/>
                  <w:tcBorders>
                    <w:left w:val="single" w:sz="18" w:space="0" w:color="auto"/>
                  </w:tcBorders>
                  <w:shd w:val="clear" w:color="auto" w:fill="auto"/>
                  <w:noWrap/>
                  <w:vAlign w:val="bottom"/>
                  <w:hideMark/>
                </w:tcPr>
                <w:p w14:paraId="51AECC0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984" w:type="dxa"/>
                  <w:shd w:val="clear" w:color="auto" w:fill="auto"/>
                  <w:noWrap/>
                  <w:vAlign w:val="bottom"/>
                  <w:hideMark/>
                </w:tcPr>
                <w:p w14:paraId="39D6482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6C9A62D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r>
            <w:tr w:rsidR="005A15D4" w:rsidRPr="00673DF2" w14:paraId="3CAEBBE8" w14:textId="77777777" w:rsidTr="005A15D4">
              <w:trPr>
                <w:trHeight w:val="300"/>
              </w:trPr>
              <w:tc>
                <w:tcPr>
                  <w:tcW w:w="883" w:type="dxa"/>
                  <w:tcBorders>
                    <w:right w:val="single" w:sz="18" w:space="0" w:color="auto"/>
                  </w:tcBorders>
                  <w:shd w:val="clear" w:color="auto" w:fill="auto"/>
                  <w:noWrap/>
                  <w:vAlign w:val="bottom"/>
                  <w:hideMark/>
                </w:tcPr>
                <w:p w14:paraId="3685844A"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IASD</w:t>
                  </w:r>
                </w:p>
              </w:tc>
              <w:tc>
                <w:tcPr>
                  <w:tcW w:w="1167" w:type="dxa"/>
                  <w:tcBorders>
                    <w:left w:val="single" w:sz="18" w:space="0" w:color="auto"/>
                  </w:tcBorders>
                  <w:shd w:val="clear" w:color="auto" w:fill="auto"/>
                  <w:noWrap/>
                  <w:vAlign w:val="bottom"/>
                  <w:hideMark/>
                </w:tcPr>
                <w:p w14:paraId="3B30EB5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8</w:t>
                  </w:r>
                </w:p>
              </w:tc>
              <w:tc>
                <w:tcPr>
                  <w:tcW w:w="1064" w:type="dxa"/>
                  <w:shd w:val="clear" w:color="auto" w:fill="auto"/>
                  <w:noWrap/>
                  <w:vAlign w:val="bottom"/>
                  <w:hideMark/>
                </w:tcPr>
                <w:p w14:paraId="5EC0537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13501D8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25%</w:t>
                  </w:r>
                </w:p>
              </w:tc>
              <w:tc>
                <w:tcPr>
                  <w:tcW w:w="1211" w:type="dxa"/>
                  <w:tcBorders>
                    <w:left w:val="single" w:sz="18" w:space="0" w:color="auto"/>
                  </w:tcBorders>
                  <w:shd w:val="clear" w:color="auto" w:fill="auto"/>
                  <w:noWrap/>
                  <w:vAlign w:val="bottom"/>
                  <w:hideMark/>
                </w:tcPr>
                <w:p w14:paraId="0388CD1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984" w:type="dxa"/>
                  <w:shd w:val="clear" w:color="auto" w:fill="auto"/>
                  <w:noWrap/>
                  <w:vAlign w:val="bottom"/>
                  <w:hideMark/>
                </w:tcPr>
                <w:p w14:paraId="322F813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637C900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20%</w:t>
                  </w:r>
                </w:p>
              </w:tc>
            </w:tr>
            <w:tr w:rsidR="005A15D4" w:rsidRPr="00673DF2" w14:paraId="73D76E64" w14:textId="77777777" w:rsidTr="005A15D4">
              <w:trPr>
                <w:trHeight w:val="300"/>
              </w:trPr>
              <w:tc>
                <w:tcPr>
                  <w:tcW w:w="883" w:type="dxa"/>
                  <w:tcBorders>
                    <w:right w:val="single" w:sz="18" w:space="0" w:color="auto"/>
                  </w:tcBorders>
                  <w:shd w:val="clear" w:color="auto" w:fill="auto"/>
                  <w:noWrap/>
                  <w:vAlign w:val="bottom"/>
                  <w:hideMark/>
                </w:tcPr>
                <w:p w14:paraId="166B78D1"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ID</w:t>
                  </w:r>
                </w:p>
              </w:tc>
              <w:tc>
                <w:tcPr>
                  <w:tcW w:w="1167" w:type="dxa"/>
                  <w:tcBorders>
                    <w:left w:val="single" w:sz="18" w:space="0" w:color="auto"/>
                  </w:tcBorders>
                  <w:shd w:val="clear" w:color="auto" w:fill="auto"/>
                  <w:noWrap/>
                  <w:vAlign w:val="bottom"/>
                  <w:hideMark/>
                </w:tcPr>
                <w:p w14:paraId="3406B2F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31</w:t>
                  </w:r>
                </w:p>
              </w:tc>
              <w:tc>
                <w:tcPr>
                  <w:tcW w:w="1064" w:type="dxa"/>
                  <w:shd w:val="clear" w:color="auto" w:fill="auto"/>
                  <w:noWrap/>
                  <w:vAlign w:val="bottom"/>
                  <w:hideMark/>
                </w:tcPr>
                <w:p w14:paraId="000D24D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33" w:type="dxa"/>
                  <w:tcBorders>
                    <w:right w:val="single" w:sz="18" w:space="0" w:color="auto"/>
                  </w:tcBorders>
                  <w:shd w:val="clear" w:color="auto" w:fill="auto"/>
                  <w:noWrap/>
                  <w:vAlign w:val="bottom"/>
                  <w:hideMark/>
                </w:tcPr>
                <w:p w14:paraId="134B4E4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46%</w:t>
                  </w:r>
                </w:p>
              </w:tc>
              <w:tc>
                <w:tcPr>
                  <w:tcW w:w="1211" w:type="dxa"/>
                  <w:tcBorders>
                    <w:left w:val="single" w:sz="18" w:space="0" w:color="auto"/>
                  </w:tcBorders>
                  <w:shd w:val="clear" w:color="auto" w:fill="auto"/>
                  <w:noWrap/>
                  <w:vAlign w:val="bottom"/>
                  <w:hideMark/>
                </w:tcPr>
                <w:p w14:paraId="4B06010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11</w:t>
                  </w:r>
                </w:p>
              </w:tc>
              <w:tc>
                <w:tcPr>
                  <w:tcW w:w="984" w:type="dxa"/>
                  <w:shd w:val="clear" w:color="auto" w:fill="auto"/>
                  <w:noWrap/>
                  <w:vAlign w:val="bottom"/>
                  <w:hideMark/>
                </w:tcPr>
                <w:p w14:paraId="406198B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7B2C76D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41%</w:t>
                  </w:r>
                </w:p>
              </w:tc>
            </w:tr>
            <w:tr w:rsidR="005A15D4" w:rsidRPr="00673DF2" w14:paraId="2BC9A745" w14:textId="77777777" w:rsidTr="005A15D4">
              <w:trPr>
                <w:trHeight w:val="300"/>
              </w:trPr>
              <w:tc>
                <w:tcPr>
                  <w:tcW w:w="883" w:type="dxa"/>
                  <w:tcBorders>
                    <w:right w:val="single" w:sz="18" w:space="0" w:color="auto"/>
                  </w:tcBorders>
                  <w:shd w:val="clear" w:color="auto" w:fill="auto"/>
                  <w:noWrap/>
                  <w:vAlign w:val="bottom"/>
                  <w:hideMark/>
                </w:tcPr>
                <w:p w14:paraId="2AB2E858"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ILCD</w:t>
                  </w:r>
                </w:p>
              </w:tc>
              <w:tc>
                <w:tcPr>
                  <w:tcW w:w="1167" w:type="dxa"/>
                  <w:tcBorders>
                    <w:left w:val="single" w:sz="18" w:space="0" w:color="auto"/>
                  </w:tcBorders>
                  <w:shd w:val="clear" w:color="auto" w:fill="auto"/>
                  <w:noWrap/>
                  <w:vAlign w:val="bottom"/>
                  <w:hideMark/>
                </w:tcPr>
                <w:p w14:paraId="2C882EB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6</w:t>
                  </w:r>
                </w:p>
              </w:tc>
              <w:tc>
                <w:tcPr>
                  <w:tcW w:w="1064" w:type="dxa"/>
                  <w:shd w:val="clear" w:color="auto" w:fill="auto"/>
                  <w:noWrap/>
                  <w:vAlign w:val="bottom"/>
                  <w:hideMark/>
                </w:tcPr>
                <w:p w14:paraId="7F76006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6CFA069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30%</w:t>
                  </w:r>
                </w:p>
              </w:tc>
              <w:tc>
                <w:tcPr>
                  <w:tcW w:w="1211" w:type="dxa"/>
                  <w:tcBorders>
                    <w:left w:val="single" w:sz="18" w:space="0" w:color="auto"/>
                  </w:tcBorders>
                  <w:shd w:val="clear" w:color="auto" w:fill="auto"/>
                  <w:noWrap/>
                  <w:vAlign w:val="bottom"/>
                  <w:hideMark/>
                </w:tcPr>
                <w:p w14:paraId="4EDAEDD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7</w:t>
                  </w:r>
                </w:p>
              </w:tc>
              <w:tc>
                <w:tcPr>
                  <w:tcW w:w="984" w:type="dxa"/>
                  <w:shd w:val="clear" w:color="auto" w:fill="auto"/>
                  <w:noWrap/>
                  <w:vAlign w:val="bottom"/>
                  <w:hideMark/>
                </w:tcPr>
                <w:p w14:paraId="3FE288F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70ACAF3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32%</w:t>
                  </w:r>
                </w:p>
              </w:tc>
            </w:tr>
            <w:tr w:rsidR="005A15D4" w:rsidRPr="00673DF2" w14:paraId="0312C1F6" w14:textId="77777777" w:rsidTr="005A15D4">
              <w:trPr>
                <w:trHeight w:val="300"/>
              </w:trPr>
              <w:tc>
                <w:tcPr>
                  <w:tcW w:w="883" w:type="dxa"/>
                  <w:tcBorders>
                    <w:right w:val="single" w:sz="18" w:space="0" w:color="auto"/>
                  </w:tcBorders>
                  <w:shd w:val="clear" w:color="auto" w:fill="auto"/>
                  <w:noWrap/>
                  <w:vAlign w:val="bottom"/>
                  <w:hideMark/>
                </w:tcPr>
                <w:p w14:paraId="7222CC05"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ILND</w:t>
                  </w:r>
                </w:p>
              </w:tc>
              <w:tc>
                <w:tcPr>
                  <w:tcW w:w="1167" w:type="dxa"/>
                  <w:tcBorders>
                    <w:left w:val="single" w:sz="18" w:space="0" w:color="auto"/>
                  </w:tcBorders>
                  <w:shd w:val="clear" w:color="auto" w:fill="auto"/>
                  <w:noWrap/>
                  <w:vAlign w:val="bottom"/>
                  <w:hideMark/>
                </w:tcPr>
                <w:p w14:paraId="3BF9C05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82</w:t>
                  </w:r>
                </w:p>
              </w:tc>
              <w:tc>
                <w:tcPr>
                  <w:tcW w:w="1064" w:type="dxa"/>
                  <w:shd w:val="clear" w:color="auto" w:fill="auto"/>
                  <w:noWrap/>
                  <w:vAlign w:val="bottom"/>
                  <w:hideMark/>
                </w:tcPr>
                <w:p w14:paraId="7755CD5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1633" w:type="dxa"/>
                  <w:tcBorders>
                    <w:right w:val="single" w:sz="18" w:space="0" w:color="auto"/>
                  </w:tcBorders>
                  <w:shd w:val="clear" w:color="auto" w:fill="auto"/>
                  <w:noWrap/>
                  <w:vAlign w:val="bottom"/>
                  <w:hideMark/>
                </w:tcPr>
                <w:p w14:paraId="31B41BE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26%</w:t>
                  </w:r>
                </w:p>
              </w:tc>
              <w:tc>
                <w:tcPr>
                  <w:tcW w:w="1211" w:type="dxa"/>
                  <w:tcBorders>
                    <w:left w:val="single" w:sz="18" w:space="0" w:color="auto"/>
                  </w:tcBorders>
                  <w:shd w:val="clear" w:color="auto" w:fill="auto"/>
                  <w:noWrap/>
                  <w:vAlign w:val="bottom"/>
                  <w:hideMark/>
                </w:tcPr>
                <w:p w14:paraId="659EA8C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101</w:t>
                  </w:r>
                </w:p>
              </w:tc>
              <w:tc>
                <w:tcPr>
                  <w:tcW w:w="984" w:type="dxa"/>
                  <w:shd w:val="clear" w:color="auto" w:fill="auto"/>
                  <w:noWrap/>
                  <w:vAlign w:val="bottom"/>
                  <w:hideMark/>
                </w:tcPr>
                <w:p w14:paraId="12BEE2C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w:t>
                  </w:r>
                </w:p>
              </w:tc>
              <w:tc>
                <w:tcPr>
                  <w:tcW w:w="1652" w:type="dxa"/>
                  <w:shd w:val="clear" w:color="auto" w:fill="auto"/>
                  <w:noWrap/>
                  <w:vAlign w:val="bottom"/>
                  <w:hideMark/>
                </w:tcPr>
                <w:p w14:paraId="400E63A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33%</w:t>
                  </w:r>
                </w:p>
              </w:tc>
            </w:tr>
            <w:tr w:rsidR="005A15D4" w:rsidRPr="00673DF2" w14:paraId="31AA70ED" w14:textId="77777777" w:rsidTr="005A15D4">
              <w:trPr>
                <w:trHeight w:val="300"/>
              </w:trPr>
              <w:tc>
                <w:tcPr>
                  <w:tcW w:w="883" w:type="dxa"/>
                  <w:tcBorders>
                    <w:right w:val="single" w:sz="18" w:space="0" w:color="auto"/>
                  </w:tcBorders>
                  <w:shd w:val="clear" w:color="auto" w:fill="auto"/>
                  <w:noWrap/>
                  <w:vAlign w:val="bottom"/>
                  <w:hideMark/>
                </w:tcPr>
                <w:p w14:paraId="01A7B33E"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INSD</w:t>
                  </w:r>
                </w:p>
              </w:tc>
              <w:tc>
                <w:tcPr>
                  <w:tcW w:w="1167" w:type="dxa"/>
                  <w:tcBorders>
                    <w:left w:val="single" w:sz="18" w:space="0" w:color="auto"/>
                  </w:tcBorders>
                  <w:shd w:val="clear" w:color="auto" w:fill="auto"/>
                  <w:noWrap/>
                  <w:vAlign w:val="bottom"/>
                  <w:hideMark/>
                </w:tcPr>
                <w:p w14:paraId="1993FFD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16</w:t>
                  </w:r>
                </w:p>
              </w:tc>
              <w:tc>
                <w:tcPr>
                  <w:tcW w:w="1064" w:type="dxa"/>
                  <w:shd w:val="clear" w:color="auto" w:fill="auto"/>
                  <w:noWrap/>
                  <w:vAlign w:val="bottom"/>
                  <w:hideMark/>
                </w:tcPr>
                <w:p w14:paraId="5DCA629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38352E3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14%</w:t>
                  </w:r>
                </w:p>
              </w:tc>
              <w:tc>
                <w:tcPr>
                  <w:tcW w:w="1211" w:type="dxa"/>
                  <w:tcBorders>
                    <w:left w:val="single" w:sz="18" w:space="0" w:color="auto"/>
                  </w:tcBorders>
                  <w:shd w:val="clear" w:color="auto" w:fill="auto"/>
                  <w:noWrap/>
                  <w:vAlign w:val="bottom"/>
                  <w:hideMark/>
                </w:tcPr>
                <w:p w14:paraId="6B3B3E4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15</w:t>
                  </w:r>
                </w:p>
              </w:tc>
              <w:tc>
                <w:tcPr>
                  <w:tcW w:w="984" w:type="dxa"/>
                  <w:shd w:val="clear" w:color="auto" w:fill="auto"/>
                  <w:noWrap/>
                  <w:vAlign w:val="bottom"/>
                  <w:hideMark/>
                </w:tcPr>
                <w:p w14:paraId="5AD160D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52" w:type="dxa"/>
                  <w:shd w:val="clear" w:color="auto" w:fill="auto"/>
                  <w:noWrap/>
                  <w:vAlign w:val="bottom"/>
                  <w:hideMark/>
                </w:tcPr>
                <w:p w14:paraId="2D7D0EB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19%</w:t>
                  </w:r>
                </w:p>
              </w:tc>
            </w:tr>
            <w:tr w:rsidR="005A15D4" w:rsidRPr="00673DF2" w14:paraId="1A60DE7A" w14:textId="77777777" w:rsidTr="005A15D4">
              <w:trPr>
                <w:trHeight w:val="300"/>
              </w:trPr>
              <w:tc>
                <w:tcPr>
                  <w:tcW w:w="883" w:type="dxa"/>
                  <w:tcBorders>
                    <w:right w:val="single" w:sz="18" w:space="0" w:color="auto"/>
                  </w:tcBorders>
                  <w:shd w:val="clear" w:color="auto" w:fill="auto"/>
                  <w:noWrap/>
                  <w:vAlign w:val="bottom"/>
                  <w:hideMark/>
                </w:tcPr>
                <w:p w14:paraId="72BB03E5"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KS</w:t>
                  </w:r>
                </w:p>
              </w:tc>
              <w:tc>
                <w:tcPr>
                  <w:tcW w:w="1167" w:type="dxa"/>
                  <w:tcBorders>
                    <w:left w:val="single" w:sz="18" w:space="0" w:color="auto"/>
                  </w:tcBorders>
                  <w:shd w:val="clear" w:color="auto" w:fill="auto"/>
                  <w:noWrap/>
                  <w:vAlign w:val="bottom"/>
                  <w:hideMark/>
                </w:tcPr>
                <w:p w14:paraId="0B91533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17</w:t>
                  </w:r>
                </w:p>
              </w:tc>
              <w:tc>
                <w:tcPr>
                  <w:tcW w:w="1064" w:type="dxa"/>
                  <w:shd w:val="clear" w:color="auto" w:fill="auto"/>
                  <w:noWrap/>
                  <w:vAlign w:val="bottom"/>
                  <w:hideMark/>
                </w:tcPr>
                <w:p w14:paraId="613140F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3996061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29%</w:t>
                  </w:r>
                </w:p>
              </w:tc>
              <w:tc>
                <w:tcPr>
                  <w:tcW w:w="1211" w:type="dxa"/>
                  <w:tcBorders>
                    <w:left w:val="single" w:sz="18" w:space="0" w:color="auto"/>
                  </w:tcBorders>
                  <w:shd w:val="clear" w:color="auto" w:fill="auto"/>
                  <w:noWrap/>
                  <w:vAlign w:val="bottom"/>
                  <w:hideMark/>
                </w:tcPr>
                <w:p w14:paraId="4B75843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12</w:t>
                  </w:r>
                </w:p>
              </w:tc>
              <w:tc>
                <w:tcPr>
                  <w:tcW w:w="984" w:type="dxa"/>
                  <w:shd w:val="clear" w:color="auto" w:fill="auto"/>
                  <w:noWrap/>
                  <w:vAlign w:val="bottom"/>
                  <w:hideMark/>
                </w:tcPr>
                <w:p w14:paraId="765D16B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6C3DCFF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28%</w:t>
                  </w:r>
                </w:p>
              </w:tc>
            </w:tr>
            <w:tr w:rsidR="005A15D4" w:rsidRPr="00673DF2" w14:paraId="5374C99A" w14:textId="77777777" w:rsidTr="005A15D4">
              <w:trPr>
                <w:trHeight w:val="300"/>
              </w:trPr>
              <w:tc>
                <w:tcPr>
                  <w:tcW w:w="883" w:type="dxa"/>
                  <w:tcBorders>
                    <w:right w:val="single" w:sz="18" w:space="0" w:color="auto"/>
                  </w:tcBorders>
                  <w:shd w:val="clear" w:color="auto" w:fill="auto"/>
                  <w:noWrap/>
                  <w:vAlign w:val="bottom"/>
                  <w:hideMark/>
                </w:tcPr>
                <w:p w14:paraId="11439F67"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KYED</w:t>
                  </w:r>
                </w:p>
              </w:tc>
              <w:tc>
                <w:tcPr>
                  <w:tcW w:w="1167" w:type="dxa"/>
                  <w:tcBorders>
                    <w:left w:val="single" w:sz="18" w:space="0" w:color="auto"/>
                  </w:tcBorders>
                  <w:shd w:val="clear" w:color="auto" w:fill="auto"/>
                  <w:noWrap/>
                  <w:vAlign w:val="bottom"/>
                  <w:hideMark/>
                </w:tcPr>
                <w:p w14:paraId="6A46E4E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w:t>
                  </w:r>
                </w:p>
              </w:tc>
              <w:tc>
                <w:tcPr>
                  <w:tcW w:w="1064" w:type="dxa"/>
                  <w:shd w:val="clear" w:color="auto" w:fill="auto"/>
                  <w:noWrap/>
                  <w:vAlign w:val="bottom"/>
                  <w:hideMark/>
                </w:tcPr>
                <w:p w14:paraId="3CC8F58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0480BE1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13%</w:t>
                  </w:r>
                </w:p>
              </w:tc>
              <w:tc>
                <w:tcPr>
                  <w:tcW w:w="1211" w:type="dxa"/>
                  <w:tcBorders>
                    <w:left w:val="single" w:sz="18" w:space="0" w:color="auto"/>
                  </w:tcBorders>
                  <w:shd w:val="clear" w:color="auto" w:fill="auto"/>
                  <w:noWrap/>
                  <w:vAlign w:val="bottom"/>
                  <w:hideMark/>
                </w:tcPr>
                <w:p w14:paraId="5A098E7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w:t>
                  </w:r>
                </w:p>
              </w:tc>
              <w:tc>
                <w:tcPr>
                  <w:tcW w:w="984" w:type="dxa"/>
                  <w:shd w:val="clear" w:color="auto" w:fill="auto"/>
                  <w:noWrap/>
                  <w:vAlign w:val="bottom"/>
                  <w:hideMark/>
                </w:tcPr>
                <w:p w14:paraId="3BAA31D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0B47903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10%</w:t>
                  </w:r>
                </w:p>
              </w:tc>
            </w:tr>
            <w:tr w:rsidR="005A15D4" w:rsidRPr="00673DF2" w14:paraId="3916639F" w14:textId="77777777" w:rsidTr="005A15D4">
              <w:trPr>
                <w:trHeight w:val="300"/>
              </w:trPr>
              <w:tc>
                <w:tcPr>
                  <w:tcW w:w="883" w:type="dxa"/>
                  <w:tcBorders>
                    <w:right w:val="single" w:sz="18" w:space="0" w:color="auto"/>
                  </w:tcBorders>
                  <w:shd w:val="clear" w:color="auto" w:fill="auto"/>
                  <w:noWrap/>
                  <w:vAlign w:val="bottom"/>
                  <w:hideMark/>
                </w:tcPr>
                <w:p w14:paraId="4266EC31"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KYWD</w:t>
                  </w:r>
                </w:p>
              </w:tc>
              <w:tc>
                <w:tcPr>
                  <w:tcW w:w="1167" w:type="dxa"/>
                  <w:tcBorders>
                    <w:left w:val="single" w:sz="18" w:space="0" w:color="auto"/>
                  </w:tcBorders>
                  <w:shd w:val="clear" w:color="auto" w:fill="auto"/>
                  <w:noWrap/>
                  <w:vAlign w:val="bottom"/>
                  <w:hideMark/>
                </w:tcPr>
                <w:p w14:paraId="017FE61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6</w:t>
                  </w:r>
                </w:p>
              </w:tc>
              <w:tc>
                <w:tcPr>
                  <w:tcW w:w="1064" w:type="dxa"/>
                  <w:shd w:val="clear" w:color="auto" w:fill="auto"/>
                  <w:noWrap/>
                  <w:vAlign w:val="bottom"/>
                  <w:hideMark/>
                </w:tcPr>
                <w:p w14:paraId="22AA2B5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754C6FA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14%</w:t>
                  </w:r>
                </w:p>
              </w:tc>
              <w:tc>
                <w:tcPr>
                  <w:tcW w:w="1211" w:type="dxa"/>
                  <w:tcBorders>
                    <w:left w:val="single" w:sz="18" w:space="0" w:color="auto"/>
                  </w:tcBorders>
                  <w:shd w:val="clear" w:color="auto" w:fill="auto"/>
                  <w:noWrap/>
                  <w:vAlign w:val="bottom"/>
                  <w:hideMark/>
                </w:tcPr>
                <w:p w14:paraId="106566D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6</w:t>
                  </w:r>
                </w:p>
              </w:tc>
              <w:tc>
                <w:tcPr>
                  <w:tcW w:w="984" w:type="dxa"/>
                  <w:shd w:val="clear" w:color="auto" w:fill="auto"/>
                  <w:noWrap/>
                  <w:vAlign w:val="bottom"/>
                  <w:hideMark/>
                </w:tcPr>
                <w:p w14:paraId="1D26919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6BABCE4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18%</w:t>
                  </w:r>
                </w:p>
              </w:tc>
            </w:tr>
            <w:tr w:rsidR="005A15D4" w:rsidRPr="00673DF2" w14:paraId="44A93059" w14:textId="77777777" w:rsidTr="005A15D4">
              <w:trPr>
                <w:trHeight w:val="300"/>
              </w:trPr>
              <w:tc>
                <w:tcPr>
                  <w:tcW w:w="883" w:type="dxa"/>
                  <w:tcBorders>
                    <w:right w:val="single" w:sz="18" w:space="0" w:color="auto"/>
                  </w:tcBorders>
                  <w:shd w:val="clear" w:color="auto" w:fill="auto"/>
                  <w:noWrap/>
                  <w:vAlign w:val="bottom"/>
                  <w:hideMark/>
                </w:tcPr>
                <w:p w14:paraId="2AF8AA26"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LAED</w:t>
                  </w:r>
                </w:p>
              </w:tc>
              <w:tc>
                <w:tcPr>
                  <w:tcW w:w="1167" w:type="dxa"/>
                  <w:tcBorders>
                    <w:left w:val="single" w:sz="18" w:space="0" w:color="auto"/>
                  </w:tcBorders>
                  <w:shd w:val="clear" w:color="auto" w:fill="auto"/>
                  <w:noWrap/>
                  <w:vAlign w:val="bottom"/>
                  <w:hideMark/>
                </w:tcPr>
                <w:p w14:paraId="20A4300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8</w:t>
                  </w:r>
                </w:p>
              </w:tc>
              <w:tc>
                <w:tcPr>
                  <w:tcW w:w="1064" w:type="dxa"/>
                  <w:shd w:val="clear" w:color="auto" w:fill="auto"/>
                  <w:noWrap/>
                  <w:vAlign w:val="bottom"/>
                  <w:hideMark/>
                </w:tcPr>
                <w:p w14:paraId="55D417B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449DF19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15%</w:t>
                  </w:r>
                </w:p>
              </w:tc>
              <w:tc>
                <w:tcPr>
                  <w:tcW w:w="1211" w:type="dxa"/>
                  <w:tcBorders>
                    <w:left w:val="single" w:sz="18" w:space="0" w:color="auto"/>
                  </w:tcBorders>
                  <w:shd w:val="clear" w:color="auto" w:fill="auto"/>
                  <w:noWrap/>
                  <w:vAlign w:val="bottom"/>
                  <w:hideMark/>
                </w:tcPr>
                <w:p w14:paraId="7A4AE7B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10</w:t>
                  </w:r>
                </w:p>
              </w:tc>
              <w:tc>
                <w:tcPr>
                  <w:tcW w:w="984" w:type="dxa"/>
                  <w:shd w:val="clear" w:color="auto" w:fill="auto"/>
                  <w:noWrap/>
                  <w:vAlign w:val="bottom"/>
                  <w:hideMark/>
                </w:tcPr>
                <w:p w14:paraId="26A8C6A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33D9C6B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29%</w:t>
                  </w:r>
                </w:p>
              </w:tc>
            </w:tr>
            <w:tr w:rsidR="005A15D4" w:rsidRPr="00673DF2" w14:paraId="7A812013" w14:textId="77777777" w:rsidTr="005A15D4">
              <w:trPr>
                <w:trHeight w:val="300"/>
              </w:trPr>
              <w:tc>
                <w:tcPr>
                  <w:tcW w:w="883" w:type="dxa"/>
                  <w:tcBorders>
                    <w:right w:val="single" w:sz="18" w:space="0" w:color="auto"/>
                  </w:tcBorders>
                  <w:shd w:val="clear" w:color="auto" w:fill="auto"/>
                  <w:noWrap/>
                  <w:vAlign w:val="bottom"/>
                  <w:hideMark/>
                </w:tcPr>
                <w:p w14:paraId="29B0A651"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LAMD</w:t>
                  </w:r>
                </w:p>
              </w:tc>
              <w:tc>
                <w:tcPr>
                  <w:tcW w:w="1167" w:type="dxa"/>
                  <w:tcBorders>
                    <w:left w:val="single" w:sz="18" w:space="0" w:color="auto"/>
                  </w:tcBorders>
                  <w:shd w:val="clear" w:color="auto" w:fill="auto"/>
                  <w:noWrap/>
                  <w:vAlign w:val="bottom"/>
                  <w:hideMark/>
                </w:tcPr>
                <w:p w14:paraId="78E93F0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064" w:type="dxa"/>
                  <w:shd w:val="clear" w:color="auto" w:fill="auto"/>
                  <w:noWrap/>
                  <w:vAlign w:val="bottom"/>
                  <w:hideMark/>
                </w:tcPr>
                <w:p w14:paraId="2724B67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46786D2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6%</w:t>
                  </w:r>
                </w:p>
              </w:tc>
              <w:tc>
                <w:tcPr>
                  <w:tcW w:w="1211" w:type="dxa"/>
                  <w:tcBorders>
                    <w:left w:val="single" w:sz="18" w:space="0" w:color="auto"/>
                  </w:tcBorders>
                  <w:shd w:val="clear" w:color="auto" w:fill="auto"/>
                  <w:noWrap/>
                  <w:vAlign w:val="bottom"/>
                  <w:hideMark/>
                </w:tcPr>
                <w:p w14:paraId="1500A2C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984" w:type="dxa"/>
                  <w:shd w:val="clear" w:color="auto" w:fill="auto"/>
                  <w:noWrap/>
                  <w:vAlign w:val="bottom"/>
                  <w:hideMark/>
                </w:tcPr>
                <w:p w14:paraId="547065F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7704496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10%</w:t>
                  </w:r>
                </w:p>
              </w:tc>
            </w:tr>
            <w:tr w:rsidR="005A15D4" w:rsidRPr="00673DF2" w14:paraId="0FBB2472" w14:textId="77777777" w:rsidTr="005A15D4">
              <w:trPr>
                <w:trHeight w:val="300"/>
              </w:trPr>
              <w:tc>
                <w:tcPr>
                  <w:tcW w:w="883" w:type="dxa"/>
                  <w:tcBorders>
                    <w:right w:val="single" w:sz="18" w:space="0" w:color="auto"/>
                  </w:tcBorders>
                  <w:shd w:val="clear" w:color="auto" w:fill="auto"/>
                  <w:noWrap/>
                  <w:vAlign w:val="bottom"/>
                  <w:hideMark/>
                </w:tcPr>
                <w:p w14:paraId="46B87E80"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LAWD</w:t>
                  </w:r>
                </w:p>
              </w:tc>
              <w:tc>
                <w:tcPr>
                  <w:tcW w:w="1167" w:type="dxa"/>
                  <w:tcBorders>
                    <w:left w:val="single" w:sz="18" w:space="0" w:color="auto"/>
                  </w:tcBorders>
                  <w:shd w:val="clear" w:color="auto" w:fill="auto"/>
                  <w:noWrap/>
                  <w:vAlign w:val="bottom"/>
                  <w:hideMark/>
                </w:tcPr>
                <w:p w14:paraId="2ED9C93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20</w:t>
                  </w:r>
                </w:p>
              </w:tc>
              <w:tc>
                <w:tcPr>
                  <w:tcW w:w="1064" w:type="dxa"/>
                  <w:shd w:val="clear" w:color="auto" w:fill="auto"/>
                  <w:noWrap/>
                  <w:vAlign w:val="bottom"/>
                  <w:hideMark/>
                </w:tcPr>
                <w:p w14:paraId="740A3A1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4762A99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27%</w:t>
                  </w:r>
                </w:p>
              </w:tc>
              <w:tc>
                <w:tcPr>
                  <w:tcW w:w="1211" w:type="dxa"/>
                  <w:tcBorders>
                    <w:left w:val="single" w:sz="18" w:space="0" w:color="auto"/>
                  </w:tcBorders>
                  <w:shd w:val="clear" w:color="auto" w:fill="auto"/>
                  <w:noWrap/>
                  <w:vAlign w:val="bottom"/>
                  <w:hideMark/>
                </w:tcPr>
                <w:p w14:paraId="2F11ED9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17</w:t>
                  </w:r>
                </w:p>
              </w:tc>
              <w:tc>
                <w:tcPr>
                  <w:tcW w:w="984" w:type="dxa"/>
                  <w:shd w:val="clear" w:color="auto" w:fill="auto"/>
                  <w:noWrap/>
                  <w:vAlign w:val="bottom"/>
                  <w:hideMark/>
                </w:tcPr>
                <w:p w14:paraId="5DD46F8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52" w:type="dxa"/>
                  <w:shd w:val="clear" w:color="auto" w:fill="auto"/>
                  <w:noWrap/>
                  <w:vAlign w:val="bottom"/>
                  <w:hideMark/>
                </w:tcPr>
                <w:p w14:paraId="39C683C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43%</w:t>
                  </w:r>
                </w:p>
              </w:tc>
            </w:tr>
            <w:tr w:rsidR="005A15D4" w:rsidRPr="00673DF2" w14:paraId="1AD4E6E1" w14:textId="77777777" w:rsidTr="005A15D4">
              <w:trPr>
                <w:trHeight w:val="300"/>
              </w:trPr>
              <w:tc>
                <w:tcPr>
                  <w:tcW w:w="883" w:type="dxa"/>
                  <w:tcBorders>
                    <w:right w:val="single" w:sz="18" w:space="0" w:color="auto"/>
                  </w:tcBorders>
                  <w:shd w:val="clear" w:color="auto" w:fill="auto"/>
                  <w:noWrap/>
                  <w:vAlign w:val="bottom"/>
                  <w:hideMark/>
                </w:tcPr>
                <w:p w14:paraId="1971DC25"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MA</w:t>
                  </w:r>
                </w:p>
              </w:tc>
              <w:tc>
                <w:tcPr>
                  <w:tcW w:w="1167" w:type="dxa"/>
                  <w:tcBorders>
                    <w:left w:val="single" w:sz="18" w:space="0" w:color="auto"/>
                  </w:tcBorders>
                  <w:shd w:val="clear" w:color="auto" w:fill="auto"/>
                  <w:noWrap/>
                  <w:vAlign w:val="bottom"/>
                  <w:hideMark/>
                </w:tcPr>
                <w:p w14:paraId="401729C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125</w:t>
                  </w:r>
                </w:p>
              </w:tc>
              <w:tc>
                <w:tcPr>
                  <w:tcW w:w="1064" w:type="dxa"/>
                  <w:shd w:val="clear" w:color="auto" w:fill="auto"/>
                  <w:noWrap/>
                  <w:vAlign w:val="bottom"/>
                  <w:hideMark/>
                </w:tcPr>
                <w:p w14:paraId="53AB2CF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w:t>
                  </w:r>
                </w:p>
              </w:tc>
              <w:tc>
                <w:tcPr>
                  <w:tcW w:w="1633" w:type="dxa"/>
                  <w:tcBorders>
                    <w:right w:val="single" w:sz="18" w:space="0" w:color="auto"/>
                  </w:tcBorders>
                  <w:shd w:val="clear" w:color="auto" w:fill="auto"/>
                  <w:noWrap/>
                  <w:vAlign w:val="bottom"/>
                  <w:hideMark/>
                </w:tcPr>
                <w:p w14:paraId="68E98A0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47%</w:t>
                  </w:r>
                </w:p>
              </w:tc>
              <w:tc>
                <w:tcPr>
                  <w:tcW w:w="1211" w:type="dxa"/>
                  <w:tcBorders>
                    <w:left w:val="single" w:sz="18" w:space="0" w:color="auto"/>
                  </w:tcBorders>
                  <w:shd w:val="clear" w:color="auto" w:fill="auto"/>
                  <w:noWrap/>
                  <w:vAlign w:val="bottom"/>
                  <w:hideMark/>
                </w:tcPr>
                <w:p w14:paraId="6260F72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54</w:t>
                  </w:r>
                </w:p>
              </w:tc>
              <w:tc>
                <w:tcPr>
                  <w:tcW w:w="984" w:type="dxa"/>
                  <w:shd w:val="clear" w:color="auto" w:fill="auto"/>
                  <w:noWrap/>
                  <w:vAlign w:val="bottom"/>
                  <w:hideMark/>
                </w:tcPr>
                <w:p w14:paraId="3CF6470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1652" w:type="dxa"/>
                  <w:shd w:val="clear" w:color="auto" w:fill="auto"/>
                  <w:noWrap/>
                  <w:vAlign w:val="bottom"/>
                  <w:hideMark/>
                </w:tcPr>
                <w:p w14:paraId="4F0F58F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44%</w:t>
                  </w:r>
                </w:p>
              </w:tc>
            </w:tr>
            <w:tr w:rsidR="005A15D4" w:rsidRPr="00673DF2" w14:paraId="524640F3" w14:textId="77777777" w:rsidTr="005A15D4">
              <w:trPr>
                <w:trHeight w:val="300"/>
              </w:trPr>
              <w:tc>
                <w:tcPr>
                  <w:tcW w:w="883" w:type="dxa"/>
                  <w:tcBorders>
                    <w:right w:val="single" w:sz="18" w:space="0" w:color="auto"/>
                  </w:tcBorders>
                  <w:shd w:val="clear" w:color="auto" w:fill="auto"/>
                  <w:noWrap/>
                  <w:vAlign w:val="bottom"/>
                  <w:hideMark/>
                </w:tcPr>
                <w:p w14:paraId="74AA15D5"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MD</w:t>
                  </w:r>
                </w:p>
              </w:tc>
              <w:tc>
                <w:tcPr>
                  <w:tcW w:w="1167" w:type="dxa"/>
                  <w:tcBorders>
                    <w:left w:val="single" w:sz="18" w:space="0" w:color="auto"/>
                  </w:tcBorders>
                  <w:shd w:val="clear" w:color="auto" w:fill="auto"/>
                  <w:noWrap/>
                  <w:vAlign w:val="bottom"/>
                  <w:hideMark/>
                </w:tcPr>
                <w:p w14:paraId="3C14934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153</w:t>
                  </w:r>
                </w:p>
              </w:tc>
              <w:tc>
                <w:tcPr>
                  <w:tcW w:w="1064" w:type="dxa"/>
                  <w:shd w:val="clear" w:color="auto" w:fill="auto"/>
                  <w:noWrap/>
                  <w:vAlign w:val="bottom"/>
                  <w:hideMark/>
                </w:tcPr>
                <w:p w14:paraId="7C61D64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w:t>
                  </w:r>
                </w:p>
              </w:tc>
              <w:tc>
                <w:tcPr>
                  <w:tcW w:w="1633" w:type="dxa"/>
                  <w:tcBorders>
                    <w:right w:val="single" w:sz="18" w:space="0" w:color="auto"/>
                  </w:tcBorders>
                  <w:shd w:val="clear" w:color="auto" w:fill="auto"/>
                  <w:noWrap/>
                  <w:vAlign w:val="bottom"/>
                  <w:hideMark/>
                </w:tcPr>
                <w:p w14:paraId="5066BF2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49%</w:t>
                  </w:r>
                </w:p>
              </w:tc>
              <w:tc>
                <w:tcPr>
                  <w:tcW w:w="1211" w:type="dxa"/>
                  <w:tcBorders>
                    <w:left w:val="single" w:sz="18" w:space="0" w:color="auto"/>
                  </w:tcBorders>
                  <w:shd w:val="clear" w:color="auto" w:fill="auto"/>
                  <w:noWrap/>
                  <w:vAlign w:val="bottom"/>
                  <w:hideMark/>
                </w:tcPr>
                <w:p w14:paraId="10BF44B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81</w:t>
                  </w:r>
                </w:p>
              </w:tc>
              <w:tc>
                <w:tcPr>
                  <w:tcW w:w="984" w:type="dxa"/>
                  <w:shd w:val="clear" w:color="auto" w:fill="auto"/>
                  <w:noWrap/>
                  <w:vAlign w:val="bottom"/>
                  <w:hideMark/>
                </w:tcPr>
                <w:p w14:paraId="14BBA6E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w:t>
                  </w:r>
                </w:p>
              </w:tc>
              <w:tc>
                <w:tcPr>
                  <w:tcW w:w="1652" w:type="dxa"/>
                  <w:shd w:val="clear" w:color="auto" w:fill="auto"/>
                  <w:noWrap/>
                  <w:vAlign w:val="bottom"/>
                  <w:hideMark/>
                </w:tcPr>
                <w:p w14:paraId="7DFF9D6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45%</w:t>
                  </w:r>
                </w:p>
              </w:tc>
            </w:tr>
            <w:tr w:rsidR="005A15D4" w:rsidRPr="00673DF2" w14:paraId="26334979" w14:textId="77777777" w:rsidTr="005A15D4">
              <w:trPr>
                <w:trHeight w:val="300"/>
              </w:trPr>
              <w:tc>
                <w:tcPr>
                  <w:tcW w:w="883" w:type="dxa"/>
                  <w:tcBorders>
                    <w:right w:val="single" w:sz="18" w:space="0" w:color="auto"/>
                  </w:tcBorders>
                  <w:shd w:val="clear" w:color="auto" w:fill="auto"/>
                  <w:noWrap/>
                  <w:vAlign w:val="bottom"/>
                  <w:hideMark/>
                </w:tcPr>
                <w:p w14:paraId="6C367D85"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MIED</w:t>
                  </w:r>
                </w:p>
              </w:tc>
              <w:tc>
                <w:tcPr>
                  <w:tcW w:w="1167" w:type="dxa"/>
                  <w:tcBorders>
                    <w:left w:val="single" w:sz="18" w:space="0" w:color="auto"/>
                  </w:tcBorders>
                  <w:shd w:val="clear" w:color="auto" w:fill="auto"/>
                  <w:noWrap/>
                  <w:vAlign w:val="bottom"/>
                  <w:hideMark/>
                </w:tcPr>
                <w:p w14:paraId="017A4FF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50</w:t>
                  </w:r>
                </w:p>
              </w:tc>
              <w:tc>
                <w:tcPr>
                  <w:tcW w:w="1064" w:type="dxa"/>
                  <w:shd w:val="clear" w:color="auto" w:fill="auto"/>
                  <w:noWrap/>
                  <w:vAlign w:val="bottom"/>
                  <w:hideMark/>
                </w:tcPr>
                <w:p w14:paraId="4C5A083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33" w:type="dxa"/>
                  <w:tcBorders>
                    <w:right w:val="single" w:sz="18" w:space="0" w:color="auto"/>
                  </w:tcBorders>
                  <w:shd w:val="clear" w:color="auto" w:fill="auto"/>
                  <w:noWrap/>
                  <w:vAlign w:val="bottom"/>
                  <w:hideMark/>
                </w:tcPr>
                <w:p w14:paraId="34F96E1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27%</w:t>
                  </w:r>
                </w:p>
              </w:tc>
              <w:tc>
                <w:tcPr>
                  <w:tcW w:w="1211" w:type="dxa"/>
                  <w:tcBorders>
                    <w:left w:val="single" w:sz="18" w:space="0" w:color="auto"/>
                  </w:tcBorders>
                  <w:shd w:val="clear" w:color="auto" w:fill="auto"/>
                  <w:noWrap/>
                  <w:vAlign w:val="bottom"/>
                  <w:hideMark/>
                </w:tcPr>
                <w:p w14:paraId="600113F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33</w:t>
                  </w:r>
                </w:p>
              </w:tc>
              <w:tc>
                <w:tcPr>
                  <w:tcW w:w="984" w:type="dxa"/>
                  <w:shd w:val="clear" w:color="auto" w:fill="auto"/>
                  <w:noWrap/>
                  <w:vAlign w:val="bottom"/>
                  <w:hideMark/>
                </w:tcPr>
                <w:p w14:paraId="2467B9A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52" w:type="dxa"/>
                  <w:shd w:val="clear" w:color="auto" w:fill="auto"/>
                  <w:noWrap/>
                  <w:vAlign w:val="bottom"/>
                  <w:hideMark/>
                </w:tcPr>
                <w:p w14:paraId="3A49399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21%</w:t>
                  </w:r>
                </w:p>
              </w:tc>
            </w:tr>
            <w:tr w:rsidR="005A15D4" w:rsidRPr="00673DF2" w14:paraId="0430BDD4" w14:textId="77777777" w:rsidTr="005A15D4">
              <w:trPr>
                <w:trHeight w:val="300"/>
              </w:trPr>
              <w:tc>
                <w:tcPr>
                  <w:tcW w:w="883" w:type="dxa"/>
                  <w:tcBorders>
                    <w:right w:val="single" w:sz="18" w:space="0" w:color="auto"/>
                  </w:tcBorders>
                  <w:shd w:val="clear" w:color="auto" w:fill="auto"/>
                  <w:noWrap/>
                  <w:vAlign w:val="bottom"/>
                  <w:hideMark/>
                </w:tcPr>
                <w:p w14:paraId="189664DA"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MIWD</w:t>
                  </w:r>
                </w:p>
              </w:tc>
              <w:tc>
                <w:tcPr>
                  <w:tcW w:w="1167" w:type="dxa"/>
                  <w:tcBorders>
                    <w:left w:val="single" w:sz="18" w:space="0" w:color="auto"/>
                  </w:tcBorders>
                  <w:shd w:val="clear" w:color="auto" w:fill="auto"/>
                  <w:noWrap/>
                  <w:vAlign w:val="bottom"/>
                  <w:hideMark/>
                </w:tcPr>
                <w:p w14:paraId="5CA7B40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14</w:t>
                  </w:r>
                </w:p>
              </w:tc>
              <w:tc>
                <w:tcPr>
                  <w:tcW w:w="1064" w:type="dxa"/>
                  <w:shd w:val="clear" w:color="auto" w:fill="auto"/>
                  <w:noWrap/>
                  <w:vAlign w:val="bottom"/>
                  <w:hideMark/>
                </w:tcPr>
                <w:p w14:paraId="28B1FFD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4FB043F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27%</w:t>
                  </w:r>
                </w:p>
              </w:tc>
              <w:tc>
                <w:tcPr>
                  <w:tcW w:w="1211" w:type="dxa"/>
                  <w:tcBorders>
                    <w:left w:val="single" w:sz="18" w:space="0" w:color="auto"/>
                  </w:tcBorders>
                  <w:shd w:val="clear" w:color="auto" w:fill="auto"/>
                  <w:noWrap/>
                  <w:vAlign w:val="bottom"/>
                  <w:hideMark/>
                </w:tcPr>
                <w:p w14:paraId="382BBC9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10</w:t>
                  </w:r>
                </w:p>
              </w:tc>
              <w:tc>
                <w:tcPr>
                  <w:tcW w:w="984" w:type="dxa"/>
                  <w:shd w:val="clear" w:color="auto" w:fill="auto"/>
                  <w:noWrap/>
                  <w:vAlign w:val="bottom"/>
                  <w:hideMark/>
                </w:tcPr>
                <w:p w14:paraId="00EF85C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7FEB628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26%</w:t>
                  </w:r>
                </w:p>
              </w:tc>
            </w:tr>
            <w:tr w:rsidR="005A15D4" w:rsidRPr="00673DF2" w14:paraId="08D40897" w14:textId="77777777" w:rsidTr="005A15D4">
              <w:trPr>
                <w:trHeight w:val="300"/>
              </w:trPr>
              <w:tc>
                <w:tcPr>
                  <w:tcW w:w="883" w:type="dxa"/>
                  <w:tcBorders>
                    <w:right w:val="single" w:sz="18" w:space="0" w:color="auto"/>
                  </w:tcBorders>
                  <w:shd w:val="clear" w:color="auto" w:fill="auto"/>
                  <w:noWrap/>
                  <w:vAlign w:val="bottom"/>
                  <w:hideMark/>
                </w:tcPr>
                <w:p w14:paraId="5CEF1DBE"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MN</w:t>
                  </w:r>
                </w:p>
              </w:tc>
              <w:tc>
                <w:tcPr>
                  <w:tcW w:w="1167" w:type="dxa"/>
                  <w:tcBorders>
                    <w:left w:val="single" w:sz="18" w:space="0" w:color="auto"/>
                  </w:tcBorders>
                  <w:shd w:val="clear" w:color="auto" w:fill="auto"/>
                  <w:noWrap/>
                  <w:vAlign w:val="bottom"/>
                  <w:hideMark/>
                </w:tcPr>
                <w:p w14:paraId="5C54F6E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13</w:t>
                  </w:r>
                </w:p>
              </w:tc>
              <w:tc>
                <w:tcPr>
                  <w:tcW w:w="1064" w:type="dxa"/>
                  <w:shd w:val="clear" w:color="auto" w:fill="auto"/>
                  <w:noWrap/>
                  <w:vAlign w:val="bottom"/>
                  <w:hideMark/>
                </w:tcPr>
                <w:p w14:paraId="4291304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56F5A8E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16%</w:t>
                  </w:r>
                </w:p>
              </w:tc>
              <w:tc>
                <w:tcPr>
                  <w:tcW w:w="1211" w:type="dxa"/>
                  <w:tcBorders>
                    <w:left w:val="single" w:sz="18" w:space="0" w:color="auto"/>
                  </w:tcBorders>
                  <w:shd w:val="clear" w:color="auto" w:fill="auto"/>
                  <w:noWrap/>
                  <w:vAlign w:val="bottom"/>
                  <w:hideMark/>
                </w:tcPr>
                <w:p w14:paraId="295E481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14</w:t>
                  </w:r>
                </w:p>
              </w:tc>
              <w:tc>
                <w:tcPr>
                  <w:tcW w:w="984" w:type="dxa"/>
                  <w:shd w:val="clear" w:color="auto" w:fill="auto"/>
                  <w:noWrap/>
                  <w:vAlign w:val="bottom"/>
                  <w:hideMark/>
                </w:tcPr>
                <w:p w14:paraId="21016D5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52" w:type="dxa"/>
                  <w:shd w:val="clear" w:color="auto" w:fill="auto"/>
                  <w:noWrap/>
                  <w:vAlign w:val="bottom"/>
                  <w:hideMark/>
                </w:tcPr>
                <w:p w14:paraId="4ECC25D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19%</w:t>
                  </w:r>
                </w:p>
              </w:tc>
            </w:tr>
            <w:tr w:rsidR="005A15D4" w:rsidRPr="00673DF2" w14:paraId="35B972D7" w14:textId="77777777" w:rsidTr="005A15D4">
              <w:trPr>
                <w:trHeight w:val="300"/>
              </w:trPr>
              <w:tc>
                <w:tcPr>
                  <w:tcW w:w="883" w:type="dxa"/>
                  <w:tcBorders>
                    <w:right w:val="single" w:sz="18" w:space="0" w:color="auto"/>
                  </w:tcBorders>
                  <w:shd w:val="clear" w:color="auto" w:fill="auto"/>
                  <w:noWrap/>
                  <w:vAlign w:val="bottom"/>
                  <w:hideMark/>
                </w:tcPr>
                <w:p w14:paraId="495A42C6"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MOWD</w:t>
                  </w:r>
                </w:p>
              </w:tc>
              <w:tc>
                <w:tcPr>
                  <w:tcW w:w="1167" w:type="dxa"/>
                  <w:tcBorders>
                    <w:left w:val="single" w:sz="18" w:space="0" w:color="auto"/>
                  </w:tcBorders>
                  <w:shd w:val="clear" w:color="auto" w:fill="auto"/>
                  <w:noWrap/>
                  <w:vAlign w:val="bottom"/>
                  <w:hideMark/>
                </w:tcPr>
                <w:p w14:paraId="26C08F6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21</w:t>
                  </w:r>
                </w:p>
              </w:tc>
              <w:tc>
                <w:tcPr>
                  <w:tcW w:w="1064" w:type="dxa"/>
                  <w:shd w:val="clear" w:color="auto" w:fill="auto"/>
                  <w:noWrap/>
                  <w:vAlign w:val="bottom"/>
                  <w:hideMark/>
                </w:tcPr>
                <w:p w14:paraId="444B3F3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33" w:type="dxa"/>
                  <w:tcBorders>
                    <w:right w:val="single" w:sz="18" w:space="0" w:color="auto"/>
                  </w:tcBorders>
                  <w:shd w:val="clear" w:color="auto" w:fill="auto"/>
                  <w:noWrap/>
                  <w:vAlign w:val="bottom"/>
                  <w:hideMark/>
                </w:tcPr>
                <w:p w14:paraId="15C4C2B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31%</w:t>
                  </w:r>
                </w:p>
              </w:tc>
              <w:tc>
                <w:tcPr>
                  <w:tcW w:w="1211" w:type="dxa"/>
                  <w:tcBorders>
                    <w:left w:val="single" w:sz="18" w:space="0" w:color="auto"/>
                  </w:tcBorders>
                  <w:shd w:val="clear" w:color="auto" w:fill="auto"/>
                  <w:noWrap/>
                  <w:vAlign w:val="bottom"/>
                  <w:hideMark/>
                </w:tcPr>
                <w:p w14:paraId="386E1CD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19</w:t>
                  </w:r>
                </w:p>
              </w:tc>
              <w:tc>
                <w:tcPr>
                  <w:tcW w:w="984" w:type="dxa"/>
                  <w:shd w:val="clear" w:color="auto" w:fill="auto"/>
                  <w:noWrap/>
                  <w:vAlign w:val="bottom"/>
                  <w:hideMark/>
                </w:tcPr>
                <w:p w14:paraId="7354B5A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52" w:type="dxa"/>
                  <w:shd w:val="clear" w:color="auto" w:fill="auto"/>
                  <w:noWrap/>
                  <w:vAlign w:val="bottom"/>
                  <w:hideMark/>
                </w:tcPr>
                <w:p w14:paraId="13C989D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37%</w:t>
                  </w:r>
                </w:p>
              </w:tc>
            </w:tr>
            <w:tr w:rsidR="005A15D4" w:rsidRPr="00673DF2" w14:paraId="6899E0B8" w14:textId="77777777" w:rsidTr="005A15D4">
              <w:trPr>
                <w:trHeight w:val="300"/>
              </w:trPr>
              <w:tc>
                <w:tcPr>
                  <w:tcW w:w="883" w:type="dxa"/>
                  <w:tcBorders>
                    <w:right w:val="single" w:sz="18" w:space="0" w:color="auto"/>
                  </w:tcBorders>
                  <w:shd w:val="clear" w:color="auto" w:fill="auto"/>
                  <w:noWrap/>
                  <w:vAlign w:val="bottom"/>
                  <w:hideMark/>
                </w:tcPr>
                <w:p w14:paraId="2677805E"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MSND</w:t>
                  </w:r>
                </w:p>
              </w:tc>
              <w:tc>
                <w:tcPr>
                  <w:tcW w:w="1167" w:type="dxa"/>
                  <w:tcBorders>
                    <w:left w:val="single" w:sz="18" w:space="0" w:color="auto"/>
                  </w:tcBorders>
                  <w:shd w:val="clear" w:color="auto" w:fill="auto"/>
                  <w:noWrap/>
                  <w:vAlign w:val="bottom"/>
                  <w:hideMark/>
                </w:tcPr>
                <w:p w14:paraId="51845CF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7</w:t>
                  </w:r>
                </w:p>
              </w:tc>
              <w:tc>
                <w:tcPr>
                  <w:tcW w:w="1064" w:type="dxa"/>
                  <w:shd w:val="clear" w:color="auto" w:fill="auto"/>
                  <w:noWrap/>
                  <w:vAlign w:val="bottom"/>
                  <w:hideMark/>
                </w:tcPr>
                <w:p w14:paraId="5DEEEF6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3264334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24%</w:t>
                  </w:r>
                </w:p>
              </w:tc>
              <w:tc>
                <w:tcPr>
                  <w:tcW w:w="1211" w:type="dxa"/>
                  <w:tcBorders>
                    <w:left w:val="single" w:sz="18" w:space="0" w:color="auto"/>
                  </w:tcBorders>
                  <w:shd w:val="clear" w:color="auto" w:fill="auto"/>
                  <w:noWrap/>
                  <w:vAlign w:val="bottom"/>
                  <w:hideMark/>
                </w:tcPr>
                <w:p w14:paraId="4910800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10</w:t>
                  </w:r>
                </w:p>
              </w:tc>
              <w:tc>
                <w:tcPr>
                  <w:tcW w:w="984" w:type="dxa"/>
                  <w:shd w:val="clear" w:color="auto" w:fill="auto"/>
                  <w:noWrap/>
                  <w:vAlign w:val="bottom"/>
                  <w:hideMark/>
                </w:tcPr>
                <w:p w14:paraId="190CD78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1CB50BF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38%</w:t>
                  </w:r>
                </w:p>
              </w:tc>
            </w:tr>
            <w:tr w:rsidR="005A15D4" w:rsidRPr="00673DF2" w14:paraId="2FA3FB1B" w14:textId="77777777" w:rsidTr="005A15D4">
              <w:trPr>
                <w:trHeight w:val="300"/>
              </w:trPr>
              <w:tc>
                <w:tcPr>
                  <w:tcW w:w="883" w:type="dxa"/>
                  <w:tcBorders>
                    <w:right w:val="single" w:sz="18" w:space="0" w:color="auto"/>
                  </w:tcBorders>
                  <w:shd w:val="clear" w:color="auto" w:fill="auto"/>
                  <w:noWrap/>
                  <w:vAlign w:val="bottom"/>
                  <w:hideMark/>
                </w:tcPr>
                <w:p w14:paraId="724EDDB0"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MSSD</w:t>
                  </w:r>
                </w:p>
              </w:tc>
              <w:tc>
                <w:tcPr>
                  <w:tcW w:w="1167" w:type="dxa"/>
                  <w:tcBorders>
                    <w:left w:val="single" w:sz="18" w:space="0" w:color="auto"/>
                  </w:tcBorders>
                  <w:shd w:val="clear" w:color="auto" w:fill="auto"/>
                  <w:noWrap/>
                  <w:vAlign w:val="bottom"/>
                  <w:hideMark/>
                </w:tcPr>
                <w:p w14:paraId="569BA9E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10</w:t>
                  </w:r>
                </w:p>
              </w:tc>
              <w:tc>
                <w:tcPr>
                  <w:tcW w:w="1064" w:type="dxa"/>
                  <w:shd w:val="clear" w:color="auto" w:fill="auto"/>
                  <w:noWrap/>
                  <w:vAlign w:val="bottom"/>
                  <w:hideMark/>
                </w:tcPr>
                <w:p w14:paraId="2CD15A8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768AF0E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21%</w:t>
                  </w:r>
                </w:p>
              </w:tc>
              <w:tc>
                <w:tcPr>
                  <w:tcW w:w="1211" w:type="dxa"/>
                  <w:tcBorders>
                    <w:left w:val="single" w:sz="18" w:space="0" w:color="auto"/>
                  </w:tcBorders>
                  <w:shd w:val="clear" w:color="auto" w:fill="auto"/>
                  <w:noWrap/>
                  <w:vAlign w:val="bottom"/>
                  <w:hideMark/>
                </w:tcPr>
                <w:p w14:paraId="4B49353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12</w:t>
                  </w:r>
                </w:p>
              </w:tc>
              <w:tc>
                <w:tcPr>
                  <w:tcW w:w="984" w:type="dxa"/>
                  <w:shd w:val="clear" w:color="auto" w:fill="auto"/>
                  <w:noWrap/>
                  <w:vAlign w:val="bottom"/>
                  <w:hideMark/>
                </w:tcPr>
                <w:p w14:paraId="528B9B0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50C84FA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41%</w:t>
                  </w:r>
                </w:p>
              </w:tc>
            </w:tr>
            <w:tr w:rsidR="005A15D4" w:rsidRPr="00673DF2" w14:paraId="35196866" w14:textId="77777777" w:rsidTr="005A15D4">
              <w:trPr>
                <w:trHeight w:val="300"/>
              </w:trPr>
              <w:tc>
                <w:tcPr>
                  <w:tcW w:w="883" w:type="dxa"/>
                  <w:tcBorders>
                    <w:right w:val="single" w:sz="18" w:space="0" w:color="auto"/>
                  </w:tcBorders>
                  <w:shd w:val="clear" w:color="auto" w:fill="auto"/>
                  <w:noWrap/>
                  <w:vAlign w:val="bottom"/>
                  <w:hideMark/>
                </w:tcPr>
                <w:p w14:paraId="40E4FAF3"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MT</w:t>
                  </w:r>
                </w:p>
              </w:tc>
              <w:tc>
                <w:tcPr>
                  <w:tcW w:w="1167" w:type="dxa"/>
                  <w:tcBorders>
                    <w:left w:val="single" w:sz="18" w:space="0" w:color="auto"/>
                  </w:tcBorders>
                  <w:shd w:val="clear" w:color="auto" w:fill="auto"/>
                  <w:noWrap/>
                  <w:vAlign w:val="bottom"/>
                  <w:hideMark/>
                </w:tcPr>
                <w:p w14:paraId="2B7C025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12</w:t>
                  </w:r>
                </w:p>
              </w:tc>
              <w:tc>
                <w:tcPr>
                  <w:tcW w:w="1064" w:type="dxa"/>
                  <w:shd w:val="clear" w:color="auto" w:fill="auto"/>
                  <w:noWrap/>
                  <w:vAlign w:val="bottom"/>
                  <w:hideMark/>
                </w:tcPr>
                <w:p w14:paraId="4F7270B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745ADD4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34%</w:t>
                  </w:r>
                </w:p>
              </w:tc>
              <w:tc>
                <w:tcPr>
                  <w:tcW w:w="1211" w:type="dxa"/>
                  <w:tcBorders>
                    <w:left w:val="single" w:sz="18" w:space="0" w:color="auto"/>
                  </w:tcBorders>
                  <w:shd w:val="clear" w:color="auto" w:fill="auto"/>
                  <w:noWrap/>
                  <w:vAlign w:val="bottom"/>
                  <w:hideMark/>
                </w:tcPr>
                <w:p w14:paraId="5CE864A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9</w:t>
                  </w:r>
                </w:p>
              </w:tc>
              <w:tc>
                <w:tcPr>
                  <w:tcW w:w="984" w:type="dxa"/>
                  <w:shd w:val="clear" w:color="auto" w:fill="auto"/>
                  <w:noWrap/>
                  <w:vAlign w:val="bottom"/>
                  <w:hideMark/>
                </w:tcPr>
                <w:p w14:paraId="5A6A55C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3C69777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56%</w:t>
                  </w:r>
                </w:p>
              </w:tc>
            </w:tr>
            <w:tr w:rsidR="005A15D4" w:rsidRPr="00673DF2" w14:paraId="5A4898E2" w14:textId="77777777" w:rsidTr="005A15D4">
              <w:trPr>
                <w:trHeight w:val="300"/>
              </w:trPr>
              <w:tc>
                <w:tcPr>
                  <w:tcW w:w="883" w:type="dxa"/>
                  <w:tcBorders>
                    <w:right w:val="single" w:sz="18" w:space="0" w:color="auto"/>
                  </w:tcBorders>
                  <w:shd w:val="clear" w:color="auto" w:fill="auto"/>
                  <w:noWrap/>
                  <w:vAlign w:val="bottom"/>
                  <w:hideMark/>
                </w:tcPr>
                <w:p w14:paraId="2AC6EC2B"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NCED</w:t>
                  </w:r>
                </w:p>
              </w:tc>
              <w:tc>
                <w:tcPr>
                  <w:tcW w:w="1167" w:type="dxa"/>
                  <w:tcBorders>
                    <w:left w:val="single" w:sz="18" w:space="0" w:color="auto"/>
                  </w:tcBorders>
                  <w:shd w:val="clear" w:color="auto" w:fill="auto"/>
                  <w:noWrap/>
                  <w:vAlign w:val="bottom"/>
                  <w:hideMark/>
                </w:tcPr>
                <w:p w14:paraId="2C5F02A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62</w:t>
                  </w:r>
                </w:p>
              </w:tc>
              <w:tc>
                <w:tcPr>
                  <w:tcW w:w="1064" w:type="dxa"/>
                  <w:shd w:val="clear" w:color="auto" w:fill="auto"/>
                  <w:noWrap/>
                  <w:vAlign w:val="bottom"/>
                  <w:hideMark/>
                </w:tcPr>
                <w:p w14:paraId="53F613D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1633" w:type="dxa"/>
                  <w:tcBorders>
                    <w:right w:val="single" w:sz="18" w:space="0" w:color="auto"/>
                  </w:tcBorders>
                  <w:shd w:val="clear" w:color="auto" w:fill="auto"/>
                  <w:noWrap/>
                  <w:vAlign w:val="bottom"/>
                  <w:hideMark/>
                </w:tcPr>
                <w:p w14:paraId="22630D8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38%</w:t>
                  </w:r>
                </w:p>
              </w:tc>
              <w:tc>
                <w:tcPr>
                  <w:tcW w:w="1211" w:type="dxa"/>
                  <w:tcBorders>
                    <w:left w:val="single" w:sz="18" w:space="0" w:color="auto"/>
                  </w:tcBorders>
                  <w:shd w:val="clear" w:color="auto" w:fill="auto"/>
                  <w:noWrap/>
                  <w:vAlign w:val="bottom"/>
                  <w:hideMark/>
                </w:tcPr>
                <w:p w14:paraId="4D0A83E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50</w:t>
                  </w:r>
                </w:p>
              </w:tc>
              <w:tc>
                <w:tcPr>
                  <w:tcW w:w="984" w:type="dxa"/>
                  <w:shd w:val="clear" w:color="auto" w:fill="auto"/>
                  <w:noWrap/>
                  <w:vAlign w:val="bottom"/>
                  <w:hideMark/>
                </w:tcPr>
                <w:p w14:paraId="2774086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1652" w:type="dxa"/>
                  <w:shd w:val="clear" w:color="auto" w:fill="auto"/>
                  <w:noWrap/>
                  <w:vAlign w:val="bottom"/>
                  <w:hideMark/>
                </w:tcPr>
                <w:p w14:paraId="2973CB3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40%</w:t>
                  </w:r>
                </w:p>
              </w:tc>
            </w:tr>
            <w:tr w:rsidR="005A15D4" w:rsidRPr="00673DF2" w14:paraId="6EA55E11" w14:textId="77777777" w:rsidTr="005A15D4">
              <w:trPr>
                <w:trHeight w:val="300"/>
              </w:trPr>
              <w:tc>
                <w:tcPr>
                  <w:tcW w:w="883" w:type="dxa"/>
                  <w:tcBorders>
                    <w:right w:val="single" w:sz="18" w:space="0" w:color="auto"/>
                  </w:tcBorders>
                  <w:shd w:val="clear" w:color="auto" w:fill="auto"/>
                  <w:noWrap/>
                  <w:vAlign w:val="bottom"/>
                  <w:hideMark/>
                </w:tcPr>
                <w:p w14:paraId="2E1DF902"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NCMD</w:t>
                  </w:r>
                </w:p>
              </w:tc>
              <w:tc>
                <w:tcPr>
                  <w:tcW w:w="1167" w:type="dxa"/>
                  <w:tcBorders>
                    <w:left w:val="single" w:sz="18" w:space="0" w:color="auto"/>
                  </w:tcBorders>
                  <w:shd w:val="clear" w:color="auto" w:fill="auto"/>
                  <w:noWrap/>
                  <w:vAlign w:val="bottom"/>
                  <w:hideMark/>
                </w:tcPr>
                <w:p w14:paraId="4EE6929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w:t>
                  </w:r>
                </w:p>
              </w:tc>
              <w:tc>
                <w:tcPr>
                  <w:tcW w:w="1064" w:type="dxa"/>
                  <w:shd w:val="clear" w:color="auto" w:fill="auto"/>
                  <w:noWrap/>
                  <w:vAlign w:val="bottom"/>
                  <w:hideMark/>
                </w:tcPr>
                <w:p w14:paraId="7E91EAD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3EEC1BD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11%</w:t>
                  </w:r>
                </w:p>
              </w:tc>
              <w:tc>
                <w:tcPr>
                  <w:tcW w:w="1211" w:type="dxa"/>
                  <w:tcBorders>
                    <w:left w:val="single" w:sz="18" w:space="0" w:color="auto"/>
                  </w:tcBorders>
                  <w:shd w:val="clear" w:color="auto" w:fill="auto"/>
                  <w:noWrap/>
                  <w:vAlign w:val="bottom"/>
                  <w:hideMark/>
                </w:tcPr>
                <w:p w14:paraId="02F4F52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w:t>
                  </w:r>
                </w:p>
              </w:tc>
              <w:tc>
                <w:tcPr>
                  <w:tcW w:w="984" w:type="dxa"/>
                  <w:shd w:val="clear" w:color="auto" w:fill="auto"/>
                  <w:noWrap/>
                  <w:vAlign w:val="bottom"/>
                  <w:hideMark/>
                </w:tcPr>
                <w:p w14:paraId="0A6E92A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4EFD835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13%</w:t>
                  </w:r>
                </w:p>
              </w:tc>
            </w:tr>
            <w:tr w:rsidR="005A15D4" w:rsidRPr="00673DF2" w14:paraId="3CF7D68E" w14:textId="77777777" w:rsidTr="005A15D4">
              <w:trPr>
                <w:trHeight w:val="300"/>
              </w:trPr>
              <w:tc>
                <w:tcPr>
                  <w:tcW w:w="883" w:type="dxa"/>
                  <w:tcBorders>
                    <w:right w:val="single" w:sz="18" w:space="0" w:color="auto"/>
                  </w:tcBorders>
                  <w:shd w:val="clear" w:color="auto" w:fill="auto"/>
                  <w:noWrap/>
                  <w:vAlign w:val="bottom"/>
                  <w:hideMark/>
                </w:tcPr>
                <w:p w14:paraId="5916942E"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NCWD</w:t>
                  </w:r>
                </w:p>
              </w:tc>
              <w:tc>
                <w:tcPr>
                  <w:tcW w:w="1167" w:type="dxa"/>
                  <w:tcBorders>
                    <w:left w:val="single" w:sz="18" w:space="0" w:color="auto"/>
                  </w:tcBorders>
                  <w:shd w:val="clear" w:color="auto" w:fill="auto"/>
                  <w:noWrap/>
                  <w:vAlign w:val="bottom"/>
                  <w:hideMark/>
                </w:tcPr>
                <w:p w14:paraId="523F990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21</w:t>
                  </w:r>
                </w:p>
              </w:tc>
              <w:tc>
                <w:tcPr>
                  <w:tcW w:w="1064" w:type="dxa"/>
                  <w:shd w:val="clear" w:color="auto" w:fill="auto"/>
                  <w:noWrap/>
                  <w:vAlign w:val="bottom"/>
                  <w:hideMark/>
                </w:tcPr>
                <w:p w14:paraId="6CDE861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33" w:type="dxa"/>
                  <w:tcBorders>
                    <w:right w:val="single" w:sz="18" w:space="0" w:color="auto"/>
                  </w:tcBorders>
                  <w:shd w:val="clear" w:color="auto" w:fill="auto"/>
                  <w:noWrap/>
                  <w:vAlign w:val="bottom"/>
                  <w:hideMark/>
                </w:tcPr>
                <w:p w14:paraId="2FCB3DC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18%</w:t>
                  </w:r>
                </w:p>
              </w:tc>
              <w:tc>
                <w:tcPr>
                  <w:tcW w:w="1211" w:type="dxa"/>
                  <w:tcBorders>
                    <w:left w:val="single" w:sz="18" w:space="0" w:color="auto"/>
                  </w:tcBorders>
                  <w:shd w:val="clear" w:color="auto" w:fill="auto"/>
                  <w:noWrap/>
                  <w:vAlign w:val="bottom"/>
                  <w:hideMark/>
                </w:tcPr>
                <w:p w14:paraId="230DED4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9</w:t>
                  </w:r>
                </w:p>
              </w:tc>
              <w:tc>
                <w:tcPr>
                  <w:tcW w:w="984" w:type="dxa"/>
                  <w:shd w:val="clear" w:color="auto" w:fill="auto"/>
                  <w:noWrap/>
                  <w:vAlign w:val="bottom"/>
                  <w:hideMark/>
                </w:tcPr>
                <w:p w14:paraId="6853E16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74FA2F5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18%</w:t>
                  </w:r>
                </w:p>
              </w:tc>
            </w:tr>
            <w:tr w:rsidR="005A15D4" w:rsidRPr="00673DF2" w14:paraId="4AB49329" w14:textId="77777777" w:rsidTr="005A15D4">
              <w:trPr>
                <w:trHeight w:val="300"/>
              </w:trPr>
              <w:tc>
                <w:tcPr>
                  <w:tcW w:w="883" w:type="dxa"/>
                  <w:tcBorders>
                    <w:right w:val="single" w:sz="18" w:space="0" w:color="auto"/>
                  </w:tcBorders>
                  <w:shd w:val="clear" w:color="auto" w:fill="auto"/>
                  <w:noWrap/>
                  <w:vAlign w:val="bottom"/>
                  <w:hideMark/>
                </w:tcPr>
                <w:p w14:paraId="0AEEE26D"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ND</w:t>
                  </w:r>
                </w:p>
              </w:tc>
              <w:tc>
                <w:tcPr>
                  <w:tcW w:w="1167" w:type="dxa"/>
                  <w:tcBorders>
                    <w:left w:val="single" w:sz="18" w:space="0" w:color="auto"/>
                  </w:tcBorders>
                  <w:shd w:val="clear" w:color="auto" w:fill="auto"/>
                  <w:noWrap/>
                  <w:vAlign w:val="bottom"/>
                  <w:hideMark/>
                </w:tcPr>
                <w:p w14:paraId="0971251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w:t>
                  </w:r>
                </w:p>
              </w:tc>
              <w:tc>
                <w:tcPr>
                  <w:tcW w:w="1064" w:type="dxa"/>
                  <w:shd w:val="clear" w:color="auto" w:fill="auto"/>
                  <w:noWrap/>
                  <w:vAlign w:val="bottom"/>
                  <w:hideMark/>
                </w:tcPr>
                <w:p w14:paraId="54A8FE1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722848D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38%</w:t>
                  </w:r>
                </w:p>
              </w:tc>
              <w:tc>
                <w:tcPr>
                  <w:tcW w:w="1211" w:type="dxa"/>
                  <w:tcBorders>
                    <w:left w:val="single" w:sz="18" w:space="0" w:color="auto"/>
                  </w:tcBorders>
                  <w:shd w:val="clear" w:color="auto" w:fill="auto"/>
                  <w:noWrap/>
                  <w:vAlign w:val="bottom"/>
                  <w:hideMark/>
                </w:tcPr>
                <w:p w14:paraId="0E7F387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984" w:type="dxa"/>
                  <w:shd w:val="clear" w:color="auto" w:fill="auto"/>
                  <w:noWrap/>
                  <w:vAlign w:val="bottom"/>
                  <w:hideMark/>
                </w:tcPr>
                <w:p w14:paraId="41A54D3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7D914FF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r>
            <w:tr w:rsidR="005A15D4" w:rsidRPr="00673DF2" w14:paraId="229E7A6F" w14:textId="77777777" w:rsidTr="005A15D4">
              <w:trPr>
                <w:trHeight w:val="300"/>
              </w:trPr>
              <w:tc>
                <w:tcPr>
                  <w:tcW w:w="883" w:type="dxa"/>
                  <w:tcBorders>
                    <w:right w:val="single" w:sz="18" w:space="0" w:color="auto"/>
                  </w:tcBorders>
                  <w:shd w:val="clear" w:color="auto" w:fill="auto"/>
                  <w:noWrap/>
                  <w:vAlign w:val="bottom"/>
                  <w:hideMark/>
                </w:tcPr>
                <w:p w14:paraId="0C7E782B"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NE</w:t>
                  </w:r>
                </w:p>
              </w:tc>
              <w:tc>
                <w:tcPr>
                  <w:tcW w:w="1167" w:type="dxa"/>
                  <w:tcBorders>
                    <w:left w:val="single" w:sz="18" w:space="0" w:color="auto"/>
                  </w:tcBorders>
                  <w:shd w:val="clear" w:color="auto" w:fill="auto"/>
                  <w:noWrap/>
                  <w:vAlign w:val="bottom"/>
                  <w:hideMark/>
                </w:tcPr>
                <w:p w14:paraId="6AD4CF2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22</w:t>
                  </w:r>
                </w:p>
              </w:tc>
              <w:tc>
                <w:tcPr>
                  <w:tcW w:w="1064" w:type="dxa"/>
                  <w:shd w:val="clear" w:color="auto" w:fill="auto"/>
                  <w:noWrap/>
                  <w:vAlign w:val="bottom"/>
                  <w:hideMark/>
                </w:tcPr>
                <w:p w14:paraId="011BFA9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33" w:type="dxa"/>
                  <w:tcBorders>
                    <w:right w:val="single" w:sz="18" w:space="0" w:color="auto"/>
                  </w:tcBorders>
                  <w:shd w:val="clear" w:color="auto" w:fill="auto"/>
                  <w:noWrap/>
                  <w:vAlign w:val="bottom"/>
                  <w:hideMark/>
                </w:tcPr>
                <w:p w14:paraId="29692A3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28%</w:t>
                  </w:r>
                </w:p>
              </w:tc>
              <w:tc>
                <w:tcPr>
                  <w:tcW w:w="1211" w:type="dxa"/>
                  <w:tcBorders>
                    <w:left w:val="single" w:sz="18" w:space="0" w:color="auto"/>
                  </w:tcBorders>
                  <w:shd w:val="clear" w:color="auto" w:fill="auto"/>
                  <w:noWrap/>
                  <w:vAlign w:val="bottom"/>
                  <w:hideMark/>
                </w:tcPr>
                <w:p w14:paraId="4285D5D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w:t>
                  </w:r>
                </w:p>
              </w:tc>
              <w:tc>
                <w:tcPr>
                  <w:tcW w:w="984" w:type="dxa"/>
                  <w:shd w:val="clear" w:color="auto" w:fill="auto"/>
                  <w:noWrap/>
                  <w:vAlign w:val="bottom"/>
                  <w:hideMark/>
                </w:tcPr>
                <w:p w14:paraId="2368F46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0C75E9F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14%</w:t>
                  </w:r>
                </w:p>
              </w:tc>
            </w:tr>
            <w:tr w:rsidR="005A15D4" w:rsidRPr="00673DF2" w14:paraId="7C735D54" w14:textId="77777777" w:rsidTr="005A15D4">
              <w:trPr>
                <w:trHeight w:val="300"/>
              </w:trPr>
              <w:tc>
                <w:tcPr>
                  <w:tcW w:w="883" w:type="dxa"/>
                  <w:tcBorders>
                    <w:right w:val="single" w:sz="18" w:space="0" w:color="auto"/>
                  </w:tcBorders>
                  <w:shd w:val="clear" w:color="auto" w:fill="auto"/>
                  <w:noWrap/>
                  <w:vAlign w:val="bottom"/>
                  <w:hideMark/>
                </w:tcPr>
                <w:p w14:paraId="34CBC0E7"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NH</w:t>
                  </w:r>
                </w:p>
              </w:tc>
              <w:tc>
                <w:tcPr>
                  <w:tcW w:w="1167" w:type="dxa"/>
                  <w:tcBorders>
                    <w:left w:val="single" w:sz="18" w:space="0" w:color="auto"/>
                  </w:tcBorders>
                  <w:shd w:val="clear" w:color="auto" w:fill="auto"/>
                  <w:noWrap/>
                  <w:vAlign w:val="bottom"/>
                  <w:hideMark/>
                </w:tcPr>
                <w:p w14:paraId="07B429D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12</w:t>
                  </w:r>
                </w:p>
              </w:tc>
              <w:tc>
                <w:tcPr>
                  <w:tcW w:w="1064" w:type="dxa"/>
                  <w:shd w:val="clear" w:color="auto" w:fill="auto"/>
                  <w:noWrap/>
                  <w:vAlign w:val="bottom"/>
                  <w:hideMark/>
                </w:tcPr>
                <w:p w14:paraId="25B5373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34139E8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30%</w:t>
                  </w:r>
                </w:p>
              </w:tc>
              <w:tc>
                <w:tcPr>
                  <w:tcW w:w="1211" w:type="dxa"/>
                  <w:tcBorders>
                    <w:left w:val="single" w:sz="18" w:space="0" w:color="auto"/>
                  </w:tcBorders>
                  <w:shd w:val="clear" w:color="auto" w:fill="auto"/>
                  <w:noWrap/>
                  <w:vAlign w:val="bottom"/>
                  <w:hideMark/>
                </w:tcPr>
                <w:p w14:paraId="6FB59CA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9</w:t>
                  </w:r>
                </w:p>
              </w:tc>
              <w:tc>
                <w:tcPr>
                  <w:tcW w:w="984" w:type="dxa"/>
                  <w:shd w:val="clear" w:color="auto" w:fill="auto"/>
                  <w:noWrap/>
                  <w:vAlign w:val="bottom"/>
                  <w:hideMark/>
                </w:tcPr>
                <w:p w14:paraId="2548677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65B56F1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26%</w:t>
                  </w:r>
                </w:p>
              </w:tc>
            </w:tr>
            <w:tr w:rsidR="005A15D4" w:rsidRPr="00673DF2" w14:paraId="43F80DA4" w14:textId="77777777" w:rsidTr="005A15D4">
              <w:trPr>
                <w:trHeight w:val="300"/>
              </w:trPr>
              <w:tc>
                <w:tcPr>
                  <w:tcW w:w="883" w:type="dxa"/>
                  <w:tcBorders>
                    <w:right w:val="single" w:sz="18" w:space="0" w:color="auto"/>
                  </w:tcBorders>
                  <w:shd w:val="clear" w:color="auto" w:fill="auto"/>
                  <w:noWrap/>
                  <w:vAlign w:val="bottom"/>
                  <w:hideMark/>
                </w:tcPr>
                <w:p w14:paraId="70D06483"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NJ</w:t>
                  </w:r>
                </w:p>
              </w:tc>
              <w:tc>
                <w:tcPr>
                  <w:tcW w:w="1167" w:type="dxa"/>
                  <w:tcBorders>
                    <w:left w:val="single" w:sz="18" w:space="0" w:color="auto"/>
                  </w:tcBorders>
                  <w:shd w:val="clear" w:color="auto" w:fill="auto"/>
                  <w:noWrap/>
                  <w:vAlign w:val="bottom"/>
                  <w:hideMark/>
                </w:tcPr>
                <w:p w14:paraId="05ACDF5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93</w:t>
                  </w:r>
                </w:p>
              </w:tc>
              <w:tc>
                <w:tcPr>
                  <w:tcW w:w="1064" w:type="dxa"/>
                  <w:shd w:val="clear" w:color="auto" w:fill="auto"/>
                  <w:noWrap/>
                  <w:vAlign w:val="bottom"/>
                  <w:hideMark/>
                </w:tcPr>
                <w:p w14:paraId="53FFE54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1633" w:type="dxa"/>
                  <w:tcBorders>
                    <w:right w:val="single" w:sz="18" w:space="0" w:color="auto"/>
                  </w:tcBorders>
                  <w:shd w:val="clear" w:color="auto" w:fill="auto"/>
                  <w:noWrap/>
                  <w:vAlign w:val="bottom"/>
                  <w:hideMark/>
                </w:tcPr>
                <w:p w14:paraId="1B0C30E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27%</w:t>
                  </w:r>
                </w:p>
              </w:tc>
              <w:tc>
                <w:tcPr>
                  <w:tcW w:w="1211" w:type="dxa"/>
                  <w:tcBorders>
                    <w:left w:val="single" w:sz="18" w:space="0" w:color="auto"/>
                  </w:tcBorders>
                  <w:shd w:val="clear" w:color="auto" w:fill="auto"/>
                  <w:noWrap/>
                  <w:vAlign w:val="bottom"/>
                  <w:hideMark/>
                </w:tcPr>
                <w:p w14:paraId="3DBE0DA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80</w:t>
                  </w:r>
                </w:p>
              </w:tc>
              <w:tc>
                <w:tcPr>
                  <w:tcW w:w="984" w:type="dxa"/>
                  <w:shd w:val="clear" w:color="auto" w:fill="auto"/>
                  <w:noWrap/>
                  <w:vAlign w:val="bottom"/>
                  <w:hideMark/>
                </w:tcPr>
                <w:p w14:paraId="3F1D93E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w:t>
                  </w:r>
                </w:p>
              </w:tc>
              <w:tc>
                <w:tcPr>
                  <w:tcW w:w="1652" w:type="dxa"/>
                  <w:shd w:val="clear" w:color="auto" w:fill="auto"/>
                  <w:noWrap/>
                  <w:vAlign w:val="bottom"/>
                  <w:hideMark/>
                </w:tcPr>
                <w:p w14:paraId="6CC1055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24%</w:t>
                  </w:r>
                </w:p>
              </w:tc>
            </w:tr>
            <w:tr w:rsidR="005A15D4" w:rsidRPr="00673DF2" w14:paraId="63FF5790" w14:textId="77777777" w:rsidTr="005A15D4">
              <w:trPr>
                <w:trHeight w:val="300"/>
              </w:trPr>
              <w:tc>
                <w:tcPr>
                  <w:tcW w:w="883" w:type="dxa"/>
                  <w:tcBorders>
                    <w:right w:val="single" w:sz="18" w:space="0" w:color="auto"/>
                  </w:tcBorders>
                  <w:shd w:val="clear" w:color="auto" w:fill="auto"/>
                  <w:noWrap/>
                  <w:vAlign w:val="bottom"/>
                  <w:hideMark/>
                </w:tcPr>
                <w:p w14:paraId="1E30176F"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NM</w:t>
                  </w:r>
                </w:p>
              </w:tc>
              <w:tc>
                <w:tcPr>
                  <w:tcW w:w="1167" w:type="dxa"/>
                  <w:tcBorders>
                    <w:left w:val="single" w:sz="18" w:space="0" w:color="auto"/>
                  </w:tcBorders>
                  <w:shd w:val="clear" w:color="auto" w:fill="auto"/>
                  <w:noWrap/>
                  <w:vAlign w:val="bottom"/>
                  <w:hideMark/>
                </w:tcPr>
                <w:p w14:paraId="35FFC26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16</w:t>
                  </w:r>
                </w:p>
              </w:tc>
              <w:tc>
                <w:tcPr>
                  <w:tcW w:w="1064" w:type="dxa"/>
                  <w:shd w:val="clear" w:color="auto" w:fill="auto"/>
                  <w:noWrap/>
                  <w:vAlign w:val="bottom"/>
                  <w:hideMark/>
                </w:tcPr>
                <w:p w14:paraId="2FD1FBC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25B3EB2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32%</w:t>
                  </w:r>
                </w:p>
              </w:tc>
              <w:tc>
                <w:tcPr>
                  <w:tcW w:w="1211" w:type="dxa"/>
                  <w:tcBorders>
                    <w:left w:val="single" w:sz="18" w:space="0" w:color="auto"/>
                  </w:tcBorders>
                  <w:shd w:val="clear" w:color="auto" w:fill="auto"/>
                  <w:noWrap/>
                  <w:vAlign w:val="bottom"/>
                  <w:hideMark/>
                </w:tcPr>
                <w:p w14:paraId="0250774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13</w:t>
                  </w:r>
                </w:p>
              </w:tc>
              <w:tc>
                <w:tcPr>
                  <w:tcW w:w="984" w:type="dxa"/>
                  <w:shd w:val="clear" w:color="auto" w:fill="auto"/>
                  <w:noWrap/>
                  <w:vAlign w:val="bottom"/>
                  <w:hideMark/>
                </w:tcPr>
                <w:p w14:paraId="63FBD4C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4F1E99C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43%</w:t>
                  </w:r>
                </w:p>
              </w:tc>
            </w:tr>
            <w:tr w:rsidR="005A15D4" w:rsidRPr="00673DF2" w14:paraId="3F32F369" w14:textId="77777777" w:rsidTr="005A15D4">
              <w:trPr>
                <w:trHeight w:val="300"/>
              </w:trPr>
              <w:tc>
                <w:tcPr>
                  <w:tcW w:w="883" w:type="dxa"/>
                  <w:tcBorders>
                    <w:right w:val="single" w:sz="18" w:space="0" w:color="auto"/>
                  </w:tcBorders>
                  <w:shd w:val="clear" w:color="auto" w:fill="auto"/>
                  <w:noWrap/>
                  <w:vAlign w:val="bottom"/>
                  <w:hideMark/>
                </w:tcPr>
                <w:p w14:paraId="55CF2673"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NV</w:t>
                  </w:r>
                </w:p>
              </w:tc>
              <w:tc>
                <w:tcPr>
                  <w:tcW w:w="1167" w:type="dxa"/>
                  <w:tcBorders>
                    <w:left w:val="single" w:sz="18" w:space="0" w:color="auto"/>
                  </w:tcBorders>
                  <w:shd w:val="clear" w:color="auto" w:fill="auto"/>
                  <w:noWrap/>
                  <w:vAlign w:val="bottom"/>
                  <w:hideMark/>
                </w:tcPr>
                <w:p w14:paraId="0702DC4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200</w:t>
                  </w:r>
                </w:p>
              </w:tc>
              <w:tc>
                <w:tcPr>
                  <w:tcW w:w="1064" w:type="dxa"/>
                  <w:shd w:val="clear" w:color="auto" w:fill="auto"/>
                  <w:noWrap/>
                  <w:vAlign w:val="bottom"/>
                  <w:hideMark/>
                </w:tcPr>
                <w:p w14:paraId="13C942B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w:t>
                  </w:r>
                </w:p>
              </w:tc>
              <w:tc>
                <w:tcPr>
                  <w:tcW w:w="1633" w:type="dxa"/>
                  <w:tcBorders>
                    <w:right w:val="single" w:sz="18" w:space="0" w:color="auto"/>
                  </w:tcBorders>
                  <w:shd w:val="clear" w:color="auto" w:fill="auto"/>
                  <w:noWrap/>
                  <w:vAlign w:val="bottom"/>
                  <w:hideMark/>
                </w:tcPr>
                <w:p w14:paraId="2B1260A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40%</w:t>
                  </w:r>
                </w:p>
              </w:tc>
              <w:tc>
                <w:tcPr>
                  <w:tcW w:w="1211" w:type="dxa"/>
                  <w:tcBorders>
                    <w:left w:val="single" w:sz="18" w:space="0" w:color="auto"/>
                  </w:tcBorders>
                  <w:shd w:val="clear" w:color="auto" w:fill="auto"/>
                  <w:noWrap/>
                  <w:vAlign w:val="bottom"/>
                  <w:hideMark/>
                </w:tcPr>
                <w:p w14:paraId="7B1269D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125</w:t>
                  </w:r>
                </w:p>
              </w:tc>
              <w:tc>
                <w:tcPr>
                  <w:tcW w:w="984" w:type="dxa"/>
                  <w:shd w:val="clear" w:color="auto" w:fill="auto"/>
                  <w:noWrap/>
                  <w:vAlign w:val="bottom"/>
                  <w:hideMark/>
                </w:tcPr>
                <w:p w14:paraId="0C72428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w:t>
                  </w:r>
                </w:p>
              </w:tc>
              <w:tc>
                <w:tcPr>
                  <w:tcW w:w="1652" w:type="dxa"/>
                  <w:shd w:val="clear" w:color="auto" w:fill="auto"/>
                  <w:noWrap/>
                  <w:vAlign w:val="bottom"/>
                  <w:hideMark/>
                </w:tcPr>
                <w:p w14:paraId="166F198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47%</w:t>
                  </w:r>
                </w:p>
              </w:tc>
            </w:tr>
            <w:tr w:rsidR="005A15D4" w:rsidRPr="00673DF2" w14:paraId="1650348A" w14:textId="77777777" w:rsidTr="005A15D4">
              <w:trPr>
                <w:trHeight w:val="300"/>
              </w:trPr>
              <w:tc>
                <w:tcPr>
                  <w:tcW w:w="883" w:type="dxa"/>
                  <w:tcBorders>
                    <w:right w:val="single" w:sz="18" w:space="0" w:color="auto"/>
                  </w:tcBorders>
                  <w:shd w:val="clear" w:color="auto" w:fill="auto"/>
                  <w:noWrap/>
                  <w:vAlign w:val="bottom"/>
                  <w:hideMark/>
                </w:tcPr>
                <w:p w14:paraId="20B0D2CC"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NYED</w:t>
                  </w:r>
                </w:p>
              </w:tc>
              <w:tc>
                <w:tcPr>
                  <w:tcW w:w="1167" w:type="dxa"/>
                  <w:tcBorders>
                    <w:left w:val="single" w:sz="18" w:space="0" w:color="auto"/>
                  </w:tcBorders>
                  <w:shd w:val="clear" w:color="auto" w:fill="auto"/>
                  <w:noWrap/>
                  <w:vAlign w:val="bottom"/>
                  <w:hideMark/>
                </w:tcPr>
                <w:p w14:paraId="3A9392C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43</w:t>
                  </w:r>
                </w:p>
              </w:tc>
              <w:tc>
                <w:tcPr>
                  <w:tcW w:w="1064" w:type="dxa"/>
                  <w:shd w:val="clear" w:color="auto" w:fill="auto"/>
                  <w:noWrap/>
                  <w:vAlign w:val="bottom"/>
                  <w:hideMark/>
                </w:tcPr>
                <w:p w14:paraId="4A73D99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33" w:type="dxa"/>
                  <w:tcBorders>
                    <w:right w:val="single" w:sz="18" w:space="0" w:color="auto"/>
                  </w:tcBorders>
                  <w:shd w:val="clear" w:color="auto" w:fill="auto"/>
                  <w:noWrap/>
                  <w:vAlign w:val="bottom"/>
                  <w:hideMark/>
                </w:tcPr>
                <w:p w14:paraId="596FD0F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15%</w:t>
                  </w:r>
                </w:p>
              </w:tc>
              <w:tc>
                <w:tcPr>
                  <w:tcW w:w="1211" w:type="dxa"/>
                  <w:tcBorders>
                    <w:left w:val="single" w:sz="18" w:space="0" w:color="auto"/>
                  </w:tcBorders>
                  <w:shd w:val="clear" w:color="auto" w:fill="auto"/>
                  <w:noWrap/>
                  <w:vAlign w:val="bottom"/>
                  <w:hideMark/>
                </w:tcPr>
                <w:p w14:paraId="31AFB24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34</w:t>
                  </w:r>
                </w:p>
              </w:tc>
              <w:tc>
                <w:tcPr>
                  <w:tcW w:w="984" w:type="dxa"/>
                  <w:shd w:val="clear" w:color="auto" w:fill="auto"/>
                  <w:noWrap/>
                  <w:vAlign w:val="bottom"/>
                  <w:hideMark/>
                </w:tcPr>
                <w:p w14:paraId="3C560F0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52" w:type="dxa"/>
                  <w:shd w:val="clear" w:color="auto" w:fill="auto"/>
                  <w:noWrap/>
                  <w:vAlign w:val="bottom"/>
                  <w:hideMark/>
                </w:tcPr>
                <w:p w14:paraId="4C8B47D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13%</w:t>
                  </w:r>
                </w:p>
              </w:tc>
            </w:tr>
            <w:tr w:rsidR="005A15D4" w:rsidRPr="00673DF2" w14:paraId="3DA919A7" w14:textId="77777777" w:rsidTr="005A15D4">
              <w:trPr>
                <w:trHeight w:val="300"/>
              </w:trPr>
              <w:tc>
                <w:tcPr>
                  <w:tcW w:w="883" w:type="dxa"/>
                  <w:tcBorders>
                    <w:right w:val="single" w:sz="18" w:space="0" w:color="auto"/>
                  </w:tcBorders>
                  <w:shd w:val="clear" w:color="auto" w:fill="auto"/>
                  <w:noWrap/>
                  <w:vAlign w:val="bottom"/>
                  <w:hideMark/>
                </w:tcPr>
                <w:p w14:paraId="1DFC4A68"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NYND</w:t>
                  </w:r>
                </w:p>
              </w:tc>
              <w:tc>
                <w:tcPr>
                  <w:tcW w:w="1167" w:type="dxa"/>
                  <w:tcBorders>
                    <w:left w:val="single" w:sz="18" w:space="0" w:color="auto"/>
                  </w:tcBorders>
                  <w:shd w:val="clear" w:color="auto" w:fill="auto"/>
                  <w:noWrap/>
                  <w:vAlign w:val="bottom"/>
                  <w:hideMark/>
                </w:tcPr>
                <w:p w14:paraId="72BF3B1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8</w:t>
                  </w:r>
                </w:p>
              </w:tc>
              <w:tc>
                <w:tcPr>
                  <w:tcW w:w="1064" w:type="dxa"/>
                  <w:shd w:val="clear" w:color="auto" w:fill="auto"/>
                  <w:noWrap/>
                  <w:vAlign w:val="bottom"/>
                  <w:hideMark/>
                </w:tcPr>
                <w:p w14:paraId="2D49D95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052484B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18%</w:t>
                  </w:r>
                </w:p>
              </w:tc>
              <w:tc>
                <w:tcPr>
                  <w:tcW w:w="1211" w:type="dxa"/>
                  <w:tcBorders>
                    <w:left w:val="single" w:sz="18" w:space="0" w:color="auto"/>
                  </w:tcBorders>
                  <w:shd w:val="clear" w:color="auto" w:fill="auto"/>
                  <w:noWrap/>
                  <w:vAlign w:val="bottom"/>
                  <w:hideMark/>
                </w:tcPr>
                <w:p w14:paraId="65039E8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7</w:t>
                  </w:r>
                </w:p>
              </w:tc>
              <w:tc>
                <w:tcPr>
                  <w:tcW w:w="984" w:type="dxa"/>
                  <w:shd w:val="clear" w:color="auto" w:fill="auto"/>
                  <w:noWrap/>
                  <w:vAlign w:val="bottom"/>
                  <w:hideMark/>
                </w:tcPr>
                <w:p w14:paraId="56E61A5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548CEE9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23%</w:t>
                  </w:r>
                </w:p>
              </w:tc>
            </w:tr>
            <w:tr w:rsidR="005A15D4" w:rsidRPr="00673DF2" w14:paraId="40ACC357" w14:textId="77777777" w:rsidTr="005A15D4">
              <w:trPr>
                <w:trHeight w:val="300"/>
              </w:trPr>
              <w:tc>
                <w:tcPr>
                  <w:tcW w:w="883" w:type="dxa"/>
                  <w:tcBorders>
                    <w:right w:val="single" w:sz="18" w:space="0" w:color="auto"/>
                  </w:tcBorders>
                  <w:shd w:val="clear" w:color="auto" w:fill="auto"/>
                  <w:noWrap/>
                  <w:vAlign w:val="bottom"/>
                  <w:hideMark/>
                </w:tcPr>
                <w:p w14:paraId="1B49E181"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NYSD</w:t>
                  </w:r>
                </w:p>
              </w:tc>
              <w:tc>
                <w:tcPr>
                  <w:tcW w:w="1167" w:type="dxa"/>
                  <w:tcBorders>
                    <w:left w:val="single" w:sz="18" w:space="0" w:color="auto"/>
                  </w:tcBorders>
                  <w:shd w:val="clear" w:color="auto" w:fill="auto"/>
                  <w:noWrap/>
                  <w:vAlign w:val="bottom"/>
                  <w:hideMark/>
                </w:tcPr>
                <w:p w14:paraId="7C5CD06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66</w:t>
                  </w:r>
                </w:p>
              </w:tc>
              <w:tc>
                <w:tcPr>
                  <w:tcW w:w="1064" w:type="dxa"/>
                  <w:shd w:val="clear" w:color="auto" w:fill="auto"/>
                  <w:noWrap/>
                  <w:vAlign w:val="bottom"/>
                  <w:hideMark/>
                </w:tcPr>
                <w:p w14:paraId="0FB4D92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1633" w:type="dxa"/>
                  <w:tcBorders>
                    <w:right w:val="single" w:sz="18" w:space="0" w:color="auto"/>
                  </w:tcBorders>
                  <w:shd w:val="clear" w:color="auto" w:fill="auto"/>
                  <w:noWrap/>
                  <w:vAlign w:val="bottom"/>
                  <w:hideMark/>
                </w:tcPr>
                <w:p w14:paraId="27FAF12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6%</w:t>
                  </w:r>
                </w:p>
              </w:tc>
              <w:tc>
                <w:tcPr>
                  <w:tcW w:w="1211" w:type="dxa"/>
                  <w:tcBorders>
                    <w:left w:val="single" w:sz="18" w:space="0" w:color="auto"/>
                  </w:tcBorders>
                  <w:shd w:val="clear" w:color="auto" w:fill="auto"/>
                  <w:noWrap/>
                  <w:vAlign w:val="bottom"/>
                  <w:hideMark/>
                </w:tcPr>
                <w:p w14:paraId="61022C0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41</w:t>
                  </w:r>
                </w:p>
              </w:tc>
              <w:tc>
                <w:tcPr>
                  <w:tcW w:w="984" w:type="dxa"/>
                  <w:shd w:val="clear" w:color="auto" w:fill="auto"/>
                  <w:noWrap/>
                  <w:vAlign w:val="bottom"/>
                  <w:hideMark/>
                </w:tcPr>
                <w:p w14:paraId="2B60C21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1652" w:type="dxa"/>
                  <w:shd w:val="clear" w:color="auto" w:fill="auto"/>
                  <w:noWrap/>
                  <w:vAlign w:val="bottom"/>
                  <w:hideMark/>
                </w:tcPr>
                <w:p w14:paraId="3A03D91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10%</w:t>
                  </w:r>
                </w:p>
              </w:tc>
            </w:tr>
            <w:tr w:rsidR="005A15D4" w:rsidRPr="00673DF2" w14:paraId="5FF6575F" w14:textId="77777777" w:rsidTr="005A15D4">
              <w:trPr>
                <w:trHeight w:val="300"/>
              </w:trPr>
              <w:tc>
                <w:tcPr>
                  <w:tcW w:w="883" w:type="dxa"/>
                  <w:tcBorders>
                    <w:right w:val="single" w:sz="18" w:space="0" w:color="auto"/>
                  </w:tcBorders>
                  <w:shd w:val="clear" w:color="auto" w:fill="auto"/>
                  <w:noWrap/>
                  <w:vAlign w:val="bottom"/>
                  <w:hideMark/>
                </w:tcPr>
                <w:p w14:paraId="3ECEB4FA"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OHND</w:t>
                  </w:r>
                </w:p>
              </w:tc>
              <w:tc>
                <w:tcPr>
                  <w:tcW w:w="1167" w:type="dxa"/>
                  <w:tcBorders>
                    <w:left w:val="single" w:sz="18" w:space="0" w:color="auto"/>
                  </w:tcBorders>
                  <w:shd w:val="clear" w:color="auto" w:fill="auto"/>
                  <w:noWrap/>
                  <w:vAlign w:val="bottom"/>
                  <w:hideMark/>
                </w:tcPr>
                <w:p w14:paraId="1B01A28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21</w:t>
                  </w:r>
                </w:p>
              </w:tc>
              <w:tc>
                <w:tcPr>
                  <w:tcW w:w="1064" w:type="dxa"/>
                  <w:shd w:val="clear" w:color="auto" w:fill="auto"/>
                  <w:noWrap/>
                  <w:vAlign w:val="bottom"/>
                  <w:hideMark/>
                </w:tcPr>
                <w:p w14:paraId="28C4E85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33" w:type="dxa"/>
                  <w:tcBorders>
                    <w:right w:val="single" w:sz="18" w:space="0" w:color="auto"/>
                  </w:tcBorders>
                  <w:shd w:val="clear" w:color="auto" w:fill="auto"/>
                  <w:noWrap/>
                  <w:vAlign w:val="bottom"/>
                  <w:hideMark/>
                </w:tcPr>
                <w:p w14:paraId="2513110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19%</w:t>
                  </w:r>
                </w:p>
              </w:tc>
              <w:tc>
                <w:tcPr>
                  <w:tcW w:w="1211" w:type="dxa"/>
                  <w:tcBorders>
                    <w:left w:val="single" w:sz="18" w:space="0" w:color="auto"/>
                  </w:tcBorders>
                  <w:shd w:val="clear" w:color="auto" w:fill="auto"/>
                  <w:noWrap/>
                  <w:vAlign w:val="bottom"/>
                  <w:hideMark/>
                </w:tcPr>
                <w:p w14:paraId="6780F9D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13</w:t>
                  </w:r>
                </w:p>
              </w:tc>
              <w:tc>
                <w:tcPr>
                  <w:tcW w:w="984" w:type="dxa"/>
                  <w:shd w:val="clear" w:color="auto" w:fill="auto"/>
                  <w:noWrap/>
                  <w:vAlign w:val="bottom"/>
                  <w:hideMark/>
                </w:tcPr>
                <w:p w14:paraId="59FD345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61CF121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25%</w:t>
                  </w:r>
                </w:p>
              </w:tc>
            </w:tr>
            <w:tr w:rsidR="005A15D4" w:rsidRPr="00673DF2" w14:paraId="4B5E3553" w14:textId="77777777" w:rsidTr="005A15D4">
              <w:trPr>
                <w:trHeight w:val="300"/>
              </w:trPr>
              <w:tc>
                <w:tcPr>
                  <w:tcW w:w="883" w:type="dxa"/>
                  <w:tcBorders>
                    <w:right w:val="single" w:sz="18" w:space="0" w:color="auto"/>
                  </w:tcBorders>
                  <w:shd w:val="clear" w:color="auto" w:fill="auto"/>
                  <w:noWrap/>
                  <w:vAlign w:val="bottom"/>
                  <w:hideMark/>
                </w:tcPr>
                <w:p w14:paraId="0882AEE2"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OHSD</w:t>
                  </w:r>
                </w:p>
              </w:tc>
              <w:tc>
                <w:tcPr>
                  <w:tcW w:w="1167" w:type="dxa"/>
                  <w:tcBorders>
                    <w:left w:val="single" w:sz="18" w:space="0" w:color="auto"/>
                  </w:tcBorders>
                  <w:shd w:val="clear" w:color="auto" w:fill="auto"/>
                  <w:noWrap/>
                  <w:vAlign w:val="bottom"/>
                  <w:hideMark/>
                </w:tcPr>
                <w:p w14:paraId="187BBFA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21</w:t>
                  </w:r>
                </w:p>
              </w:tc>
              <w:tc>
                <w:tcPr>
                  <w:tcW w:w="1064" w:type="dxa"/>
                  <w:shd w:val="clear" w:color="auto" w:fill="auto"/>
                  <w:noWrap/>
                  <w:vAlign w:val="bottom"/>
                  <w:hideMark/>
                </w:tcPr>
                <w:p w14:paraId="5E73982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33" w:type="dxa"/>
                  <w:tcBorders>
                    <w:right w:val="single" w:sz="18" w:space="0" w:color="auto"/>
                  </w:tcBorders>
                  <w:shd w:val="clear" w:color="auto" w:fill="auto"/>
                  <w:noWrap/>
                  <w:vAlign w:val="bottom"/>
                  <w:hideMark/>
                </w:tcPr>
                <w:p w14:paraId="13A0ABA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35%</w:t>
                  </w:r>
                </w:p>
              </w:tc>
              <w:tc>
                <w:tcPr>
                  <w:tcW w:w="1211" w:type="dxa"/>
                  <w:tcBorders>
                    <w:left w:val="single" w:sz="18" w:space="0" w:color="auto"/>
                  </w:tcBorders>
                  <w:shd w:val="clear" w:color="auto" w:fill="auto"/>
                  <w:noWrap/>
                  <w:vAlign w:val="bottom"/>
                  <w:hideMark/>
                </w:tcPr>
                <w:p w14:paraId="15E68C0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22</w:t>
                  </w:r>
                </w:p>
              </w:tc>
              <w:tc>
                <w:tcPr>
                  <w:tcW w:w="984" w:type="dxa"/>
                  <w:shd w:val="clear" w:color="auto" w:fill="auto"/>
                  <w:noWrap/>
                  <w:vAlign w:val="bottom"/>
                  <w:hideMark/>
                </w:tcPr>
                <w:p w14:paraId="48959D6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52" w:type="dxa"/>
                  <w:shd w:val="clear" w:color="auto" w:fill="auto"/>
                  <w:noWrap/>
                  <w:vAlign w:val="bottom"/>
                  <w:hideMark/>
                </w:tcPr>
                <w:p w14:paraId="2EC4B4F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36%</w:t>
                  </w:r>
                </w:p>
              </w:tc>
            </w:tr>
            <w:tr w:rsidR="005A15D4" w:rsidRPr="00673DF2" w14:paraId="3B847163" w14:textId="77777777" w:rsidTr="005A15D4">
              <w:trPr>
                <w:trHeight w:val="300"/>
              </w:trPr>
              <w:tc>
                <w:tcPr>
                  <w:tcW w:w="883" w:type="dxa"/>
                  <w:tcBorders>
                    <w:right w:val="single" w:sz="18" w:space="0" w:color="auto"/>
                  </w:tcBorders>
                  <w:shd w:val="clear" w:color="auto" w:fill="auto"/>
                  <w:noWrap/>
                  <w:vAlign w:val="bottom"/>
                  <w:hideMark/>
                </w:tcPr>
                <w:p w14:paraId="78309EB2"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OKED</w:t>
                  </w:r>
                </w:p>
              </w:tc>
              <w:tc>
                <w:tcPr>
                  <w:tcW w:w="1167" w:type="dxa"/>
                  <w:tcBorders>
                    <w:left w:val="single" w:sz="18" w:space="0" w:color="auto"/>
                  </w:tcBorders>
                  <w:shd w:val="clear" w:color="auto" w:fill="auto"/>
                  <w:noWrap/>
                  <w:vAlign w:val="bottom"/>
                  <w:hideMark/>
                </w:tcPr>
                <w:p w14:paraId="7C4501E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w:t>
                  </w:r>
                </w:p>
              </w:tc>
              <w:tc>
                <w:tcPr>
                  <w:tcW w:w="1064" w:type="dxa"/>
                  <w:shd w:val="clear" w:color="auto" w:fill="auto"/>
                  <w:noWrap/>
                  <w:vAlign w:val="bottom"/>
                  <w:hideMark/>
                </w:tcPr>
                <w:p w14:paraId="7E67FD9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7679A7D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27%</w:t>
                  </w:r>
                </w:p>
              </w:tc>
              <w:tc>
                <w:tcPr>
                  <w:tcW w:w="1211" w:type="dxa"/>
                  <w:tcBorders>
                    <w:left w:val="single" w:sz="18" w:space="0" w:color="auto"/>
                  </w:tcBorders>
                  <w:shd w:val="clear" w:color="auto" w:fill="auto"/>
                  <w:noWrap/>
                  <w:vAlign w:val="bottom"/>
                  <w:hideMark/>
                </w:tcPr>
                <w:p w14:paraId="342885F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984" w:type="dxa"/>
                  <w:shd w:val="clear" w:color="auto" w:fill="auto"/>
                  <w:noWrap/>
                  <w:vAlign w:val="bottom"/>
                  <w:hideMark/>
                </w:tcPr>
                <w:p w14:paraId="11A7809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61FCD50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67%</w:t>
                  </w:r>
                </w:p>
              </w:tc>
            </w:tr>
            <w:tr w:rsidR="005A15D4" w:rsidRPr="00673DF2" w14:paraId="33C5AA76" w14:textId="77777777" w:rsidTr="005A15D4">
              <w:trPr>
                <w:trHeight w:val="300"/>
              </w:trPr>
              <w:tc>
                <w:tcPr>
                  <w:tcW w:w="883" w:type="dxa"/>
                  <w:tcBorders>
                    <w:right w:val="single" w:sz="18" w:space="0" w:color="auto"/>
                  </w:tcBorders>
                  <w:shd w:val="clear" w:color="auto" w:fill="auto"/>
                  <w:noWrap/>
                  <w:vAlign w:val="bottom"/>
                  <w:hideMark/>
                </w:tcPr>
                <w:p w14:paraId="62FEBDA0"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OKND</w:t>
                  </w:r>
                </w:p>
              </w:tc>
              <w:tc>
                <w:tcPr>
                  <w:tcW w:w="1167" w:type="dxa"/>
                  <w:tcBorders>
                    <w:left w:val="single" w:sz="18" w:space="0" w:color="auto"/>
                  </w:tcBorders>
                  <w:shd w:val="clear" w:color="auto" w:fill="auto"/>
                  <w:noWrap/>
                  <w:vAlign w:val="bottom"/>
                  <w:hideMark/>
                </w:tcPr>
                <w:p w14:paraId="61BD9B1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1064" w:type="dxa"/>
                  <w:shd w:val="clear" w:color="auto" w:fill="auto"/>
                  <w:noWrap/>
                  <w:vAlign w:val="bottom"/>
                  <w:hideMark/>
                </w:tcPr>
                <w:p w14:paraId="41F36D6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32B94DD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8%</w:t>
                  </w:r>
                </w:p>
              </w:tc>
              <w:tc>
                <w:tcPr>
                  <w:tcW w:w="1211" w:type="dxa"/>
                  <w:tcBorders>
                    <w:left w:val="single" w:sz="18" w:space="0" w:color="auto"/>
                  </w:tcBorders>
                  <w:shd w:val="clear" w:color="auto" w:fill="auto"/>
                  <w:noWrap/>
                  <w:vAlign w:val="bottom"/>
                  <w:hideMark/>
                </w:tcPr>
                <w:p w14:paraId="09EC95F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984" w:type="dxa"/>
                  <w:shd w:val="clear" w:color="auto" w:fill="auto"/>
                  <w:noWrap/>
                  <w:vAlign w:val="bottom"/>
                  <w:hideMark/>
                </w:tcPr>
                <w:p w14:paraId="5440E7A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59051A1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17%</w:t>
                  </w:r>
                </w:p>
              </w:tc>
            </w:tr>
            <w:tr w:rsidR="005A15D4" w:rsidRPr="00673DF2" w14:paraId="248019BC" w14:textId="77777777" w:rsidTr="005A15D4">
              <w:trPr>
                <w:trHeight w:val="300"/>
              </w:trPr>
              <w:tc>
                <w:tcPr>
                  <w:tcW w:w="883" w:type="dxa"/>
                  <w:tcBorders>
                    <w:right w:val="single" w:sz="18" w:space="0" w:color="auto"/>
                  </w:tcBorders>
                  <w:shd w:val="clear" w:color="auto" w:fill="auto"/>
                  <w:noWrap/>
                  <w:vAlign w:val="bottom"/>
                  <w:hideMark/>
                </w:tcPr>
                <w:p w14:paraId="412931C1"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OR</w:t>
                  </w:r>
                </w:p>
              </w:tc>
              <w:tc>
                <w:tcPr>
                  <w:tcW w:w="1167" w:type="dxa"/>
                  <w:tcBorders>
                    <w:left w:val="single" w:sz="18" w:space="0" w:color="auto"/>
                  </w:tcBorders>
                  <w:shd w:val="clear" w:color="auto" w:fill="auto"/>
                  <w:noWrap/>
                  <w:vAlign w:val="bottom"/>
                  <w:hideMark/>
                </w:tcPr>
                <w:p w14:paraId="64669E7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26</w:t>
                  </w:r>
                </w:p>
              </w:tc>
              <w:tc>
                <w:tcPr>
                  <w:tcW w:w="1064" w:type="dxa"/>
                  <w:shd w:val="clear" w:color="auto" w:fill="auto"/>
                  <w:noWrap/>
                  <w:vAlign w:val="bottom"/>
                  <w:hideMark/>
                </w:tcPr>
                <w:p w14:paraId="4FDB186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33" w:type="dxa"/>
                  <w:tcBorders>
                    <w:right w:val="single" w:sz="18" w:space="0" w:color="auto"/>
                  </w:tcBorders>
                  <w:shd w:val="clear" w:color="auto" w:fill="auto"/>
                  <w:noWrap/>
                  <w:vAlign w:val="bottom"/>
                  <w:hideMark/>
                </w:tcPr>
                <w:p w14:paraId="2343C59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39%</w:t>
                  </w:r>
                </w:p>
              </w:tc>
              <w:tc>
                <w:tcPr>
                  <w:tcW w:w="1211" w:type="dxa"/>
                  <w:tcBorders>
                    <w:left w:val="single" w:sz="18" w:space="0" w:color="auto"/>
                  </w:tcBorders>
                  <w:shd w:val="clear" w:color="auto" w:fill="auto"/>
                  <w:noWrap/>
                  <w:vAlign w:val="bottom"/>
                  <w:hideMark/>
                </w:tcPr>
                <w:p w14:paraId="7A00F99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12</w:t>
                  </w:r>
                </w:p>
              </w:tc>
              <w:tc>
                <w:tcPr>
                  <w:tcW w:w="984" w:type="dxa"/>
                  <w:shd w:val="clear" w:color="auto" w:fill="auto"/>
                  <w:noWrap/>
                  <w:vAlign w:val="bottom"/>
                  <w:hideMark/>
                </w:tcPr>
                <w:p w14:paraId="127402B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0799709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32%</w:t>
                  </w:r>
                </w:p>
              </w:tc>
            </w:tr>
            <w:tr w:rsidR="005A15D4" w:rsidRPr="00673DF2" w14:paraId="19D8641F" w14:textId="77777777" w:rsidTr="005A15D4">
              <w:trPr>
                <w:trHeight w:val="300"/>
              </w:trPr>
              <w:tc>
                <w:tcPr>
                  <w:tcW w:w="883" w:type="dxa"/>
                  <w:tcBorders>
                    <w:right w:val="single" w:sz="18" w:space="0" w:color="auto"/>
                  </w:tcBorders>
                  <w:shd w:val="clear" w:color="auto" w:fill="auto"/>
                  <w:noWrap/>
                  <w:vAlign w:val="bottom"/>
                  <w:hideMark/>
                </w:tcPr>
                <w:p w14:paraId="6167F778"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PAED</w:t>
                  </w:r>
                </w:p>
              </w:tc>
              <w:tc>
                <w:tcPr>
                  <w:tcW w:w="1167" w:type="dxa"/>
                  <w:tcBorders>
                    <w:left w:val="single" w:sz="18" w:space="0" w:color="auto"/>
                  </w:tcBorders>
                  <w:shd w:val="clear" w:color="auto" w:fill="auto"/>
                  <w:noWrap/>
                  <w:vAlign w:val="bottom"/>
                  <w:hideMark/>
                </w:tcPr>
                <w:p w14:paraId="6C8D9CF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36</w:t>
                  </w:r>
                </w:p>
              </w:tc>
              <w:tc>
                <w:tcPr>
                  <w:tcW w:w="1064" w:type="dxa"/>
                  <w:shd w:val="clear" w:color="auto" w:fill="auto"/>
                  <w:noWrap/>
                  <w:vAlign w:val="bottom"/>
                  <w:hideMark/>
                </w:tcPr>
                <w:p w14:paraId="0FCACE6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33" w:type="dxa"/>
                  <w:tcBorders>
                    <w:right w:val="single" w:sz="18" w:space="0" w:color="auto"/>
                  </w:tcBorders>
                  <w:shd w:val="clear" w:color="auto" w:fill="auto"/>
                  <w:noWrap/>
                  <w:vAlign w:val="bottom"/>
                  <w:hideMark/>
                </w:tcPr>
                <w:p w14:paraId="725CFAD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23%</w:t>
                  </w:r>
                </w:p>
              </w:tc>
              <w:tc>
                <w:tcPr>
                  <w:tcW w:w="1211" w:type="dxa"/>
                  <w:tcBorders>
                    <w:left w:val="single" w:sz="18" w:space="0" w:color="auto"/>
                  </w:tcBorders>
                  <w:shd w:val="clear" w:color="auto" w:fill="auto"/>
                  <w:noWrap/>
                  <w:vAlign w:val="bottom"/>
                  <w:hideMark/>
                </w:tcPr>
                <w:p w14:paraId="740FF77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29</w:t>
                  </w:r>
                </w:p>
              </w:tc>
              <w:tc>
                <w:tcPr>
                  <w:tcW w:w="984" w:type="dxa"/>
                  <w:shd w:val="clear" w:color="auto" w:fill="auto"/>
                  <w:noWrap/>
                  <w:vAlign w:val="bottom"/>
                  <w:hideMark/>
                </w:tcPr>
                <w:p w14:paraId="2396CAD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52" w:type="dxa"/>
                  <w:shd w:val="clear" w:color="auto" w:fill="auto"/>
                  <w:noWrap/>
                  <w:vAlign w:val="bottom"/>
                  <w:hideMark/>
                </w:tcPr>
                <w:p w14:paraId="6AF0256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23%</w:t>
                  </w:r>
                </w:p>
              </w:tc>
            </w:tr>
            <w:tr w:rsidR="005A15D4" w:rsidRPr="00673DF2" w14:paraId="4796E975" w14:textId="77777777" w:rsidTr="005A15D4">
              <w:trPr>
                <w:trHeight w:val="300"/>
              </w:trPr>
              <w:tc>
                <w:tcPr>
                  <w:tcW w:w="883" w:type="dxa"/>
                  <w:tcBorders>
                    <w:right w:val="single" w:sz="18" w:space="0" w:color="auto"/>
                  </w:tcBorders>
                  <w:shd w:val="clear" w:color="auto" w:fill="auto"/>
                  <w:noWrap/>
                  <w:vAlign w:val="bottom"/>
                  <w:hideMark/>
                </w:tcPr>
                <w:p w14:paraId="1D85C29E"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PAMD</w:t>
                  </w:r>
                </w:p>
              </w:tc>
              <w:tc>
                <w:tcPr>
                  <w:tcW w:w="1167" w:type="dxa"/>
                  <w:tcBorders>
                    <w:left w:val="single" w:sz="18" w:space="0" w:color="auto"/>
                  </w:tcBorders>
                  <w:shd w:val="clear" w:color="auto" w:fill="auto"/>
                  <w:noWrap/>
                  <w:vAlign w:val="bottom"/>
                  <w:hideMark/>
                </w:tcPr>
                <w:p w14:paraId="2F87FA9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9</w:t>
                  </w:r>
                </w:p>
              </w:tc>
              <w:tc>
                <w:tcPr>
                  <w:tcW w:w="1064" w:type="dxa"/>
                  <w:shd w:val="clear" w:color="auto" w:fill="auto"/>
                  <w:noWrap/>
                  <w:vAlign w:val="bottom"/>
                  <w:hideMark/>
                </w:tcPr>
                <w:p w14:paraId="0EA47E5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578FBE8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21%</w:t>
                  </w:r>
                </w:p>
              </w:tc>
              <w:tc>
                <w:tcPr>
                  <w:tcW w:w="1211" w:type="dxa"/>
                  <w:tcBorders>
                    <w:left w:val="single" w:sz="18" w:space="0" w:color="auto"/>
                  </w:tcBorders>
                  <w:shd w:val="clear" w:color="auto" w:fill="auto"/>
                  <w:noWrap/>
                  <w:vAlign w:val="bottom"/>
                  <w:hideMark/>
                </w:tcPr>
                <w:p w14:paraId="408C07B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7</w:t>
                  </w:r>
                </w:p>
              </w:tc>
              <w:tc>
                <w:tcPr>
                  <w:tcW w:w="984" w:type="dxa"/>
                  <w:shd w:val="clear" w:color="auto" w:fill="auto"/>
                  <w:noWrap/>
                  <w:vAlign w:val="bottom"/>
                  <w:hideMark/>
                </w:tcPr>
                <w:p w14:paraId="5711FCA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6816A3C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14%</w:t>
                  </w:r>
                </w:p>
              </w:tc>
            </w:tr>
            <w:tr w:rsidR="005A15D4" w:rsidRPr="00673DF2" w14:paraId="34D8CE60" w14:textId="77777777" w:rsidTr="005A15D4">
              <w:trPr>
                <w:trHeight w:val="300"/>
              </w:trPr>
              <w:tc>
                <w:tcPr>
                  <w:tcW w:w="883" w:type="dxa"/>
                  <w:tcBorders>
                    <w:right w:val="single" w:sz="18" w:space="0" w:color="auto"/>
                  </w:tcBorders>
                  <w:shd w:val="clear" w:color="auto" w:fill="auto"/>
                  <w:noWrap/>
                  <w:vAlign w:val="bottom"/>
                  <w:hideMark/>
                </w:tcPr>
                <w:p w14:paraId="0386FC42"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PAWD</w:t>
                  </w:r>
                </w:p>
              </w:tc>
              <w:tc>
                <w:tcPr>
                  <w:tcW w:w="1167" w:type="dxa"/>
                  <w:tcBorders>
                    <w:left w:val="single" w:sz="18" w:space="0" w:color="auto"/>
                  </w:tcBorders>
                  <w:shd w:val="clear" w:color="auto" w:fill="auto"/>
                  <w:noWrap/>
                  <w:vAlign w:val="bottom"/>
                  <w:hideMark/>
                </w:tcPr>
                <w:p w14:paraId="6C881FC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66</w:t>
                  </w:r>
                </w:p>
              </w:tc>
              <w:tc>
                <w:tcPr>
                  <w:tcW w:w="1064" w:type="dxa"/>
                  <w:shd w:val="clear" w:color="auto" w:fill="auto"/>
                  <w:noWrap/>
                  <w:vAlign w:val="bottom"/>
                  <w:hideMark/>
                </w:tcPr>
                <w:p w14:paraId="3D38112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1633" w:type="dxa"/>
                  <w:tcBorders>
                    <w:right w:val="single" w:sz="18" w:space="0" w:color="auto"/>
                  </w:tcBorders>
                  <w:shd w:val="clear" w:color="auto" w:fill="auto"/>
                  <w:noWrap/>
                  <w:vAlign w:val="bottom"/>
                  <w:hideMark/>
                </w:tcPr>
                <w:p w14:paraId="2AF6C26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37%</w:t>
                  </w:r>
                </w:p>
              </w:tc>
              <w:tc>
                <w:tcPr>
                  <w:tcW w:w="1211" w:type="dxa"/>
                  <w:tcBorders>
                    <w:left w:val="single" w:sz="18" w:space="0" w:color="auto"/>
                  </w:tcBorders>
                  <w:shd w:val="clear" w:color="auto" w:fill="auto"/>
                  <w:noWrap/>
                  <w:vAlign w:val="bottom"/>
                  <w:hideMark/>
                </w:tcPr>
                <w:p w14:paraId="578C12C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46</w:t>
                  </w:r>
                </w:p>
              </w:tc>
              <w:tc>
                <w:tcPr>
                  <w:tcW w:w="984" w:type="dxa"/>
                  <w:shd w:val="clear" w:color="auto" w:fill="auto"/>
                  <w:noWrap/>
                  <w:vAlign w:val="bottom"/>
                  <w:hideMark/>
                </w:tcPr>
                <w:p w14:paraId="33BA1D3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1652" w:type="dxa"/>
                  <w:shd w:val="clear" w:color="auto" w:fill="auto"/>
                  <w:noWrap/>
                  <w:vAlign w:val="bottom"/>
                  <w:hideMark/>
                </w:tcPr>
                <w:p w14:paraId="05FF793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43%</w:t>
                  </w:r>
                </w:p>
              </w:tc>
            </w:tr>
            <w:tr w:rsidR="005A15D4" w:rsidRPr="00673DF2" w14:paraId="5B2746A1" w14:textId="77777777" w:rsidTr="005A15D4">
              <w:trPr>
                <w:trHeight w:val="300"/>
              </w:trPr>
              <w:tc>
                <w:tcPr>
                  <w:tcW w:w="883" w:type="dxa"/>
                  <w:tcBorders>
                    <w:right w:val="single" w:sz="18" w:space="0" w:color="auto"/>
                  </w:tcBorders>
                  <w:shd w:val="clear" w:color="auto" w:fill="auto"/>
                  <w:noWrap/>
                  <w:vAlign w:val="bottom"/>
                  <w:hideMark/>
                </w:tcPr>
                <w:p w14:paraId="7C720B98"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PR</w:t>
                  </w:r>
                </w:p>
              </w:tc>
              <w:tc>
                <w:tcPr>
                  <w:tcW w:w="1167" w:type="dxa"/>
                  <w:tcBorders>
                    <w:left w:val="single" w:sz="18" w:space="0" w:color="auto"/>
                  </w:tcBorders>
                  <w:shd w:val="clear" w:color="auto" w:fill="auto"/>
                  <w:noWrap/>
                  <w:vAlign w:val="bottom"/>
                  <w:hideMark/>
                </w:tcPr>
                <w:p w14:paraId="3E33B47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60</w:t>
                  </w:r>
                </w:p>
              </w:tc>
              <w:tc>
                <w:tcPr>
                  <w:tcW w:w="1064" w:type="dxa"/>
                  <w:shd w:val="clear" w:color="auto" w:fill="auto"/>
                  <w:noWrap/>
                  <w:vAlign w:val="bottom"/>
                  <w:hideMark/>
                </w:tcPr>
                <w:p w14:paraId="609E0E0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33" w:type="dxa"/>
                  <w:tcBorders>
                    <w:right w:val="single" w:sz="18" w:space="0" w:color="auto"/>
                  </w:tcBorders>
                  <w:shd w:val="clear" w:color="auto" w:fill="auto"/>
                  <w:noWrap/>
                  <w:vAlign w:val="bottom"/>
                  <w:hideMark/>
                </w:tcPr>
                <w:p w14:paraId="2A8CADC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36%</w:t>
                  </w:r>
                </w:p>
              </w:tc>
              <w:tc>
                <w:tcPr>
                  <w:tcW w:w="1211" w:type="dxa"/>
                  <w:tcBorders>
                    <w:left w:val="single" w:sz="18" w:space="0" w:color="auto"/>
                  </w:tcBorders>
                  <w:shd w:val="clear" w:color="auto" w:fill="auto"/>
                  <w:noWrap/>
                  <w:vAlign w:val="bottom"/>
                  <w:hideMark/>
                </w:tcPr>
                <w:p w14:paraId="71F3B4E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131</w:t>
                  </w:r>
                </w:p>
              </w:tc>
              <w:tc>
                <w:tcPr>
                  <w:tcW w:w="984" w:type="dxa"/>
                  <w:shd w:val="clear" w:color="auto" w:fill="auto"/>
                  <w:noWrap/>
                  <w:vAlign w:val="bottom"/>
                  <w:hideMark/>
                </w:tcPr>
                <w:p w14:paraId="2D71288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w:t>
                  </w:r>
                </w:p>
              </w:tc>
              <w:tc>
                <w:tcPr>
                  <w:tcW w:w="1652" w:type="dxa"/>
                  <w:shd w:val="clear" w:color="auto" w:fill="auto"/>
                  <w:noWrap/>
                  <w:vAlign w:val="bottom"/>
                  <w:hideMark/>
                </w:tcPr>
                <w:p w14:paraId="692C14C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58%</w:t>
                  </w:r>
                </w:p>
              </w:tc>
            </w:tr>
            <w:tr w:rsidR="005A15D4" w:rsidRPr="00673DF2" w14:paraId="4E570992" w14:textId="77777777" w:rsidTr="005A15D4">
              <w:trPr>
                <w:trHeight w:val="300"/>
              </w:trPr>
              <w:tc>
                <w:tcPr>
                  <w:tcW w:w="883" w:type="dxa"/>
                  <w:tcBorders>
                    <w:right w:val="single" w:sz="18" w:space="0" w:color="auto"/>
                  </w:tcBorders>
                  <w:shd w:val="clear" w:color="auto" w:fill="auto"/>
                  <w:noWrap/>
                  <w:vAlign w:val="bottom"/>
                  <w:hideMark/>
                </w:tcPr>
                <w:p w14:paraId="0CCD6AE1"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RI</w:t>
                  </w:r>
                </w:p>
              </w:tc>
              <w:tc>
                <w:tcPr>
                  <w:tcW w:w="1167" w:type="dxa"/>
                  <w:tcBorders>
                    <w:left w:val="single" w:sz="18" w:space="0" w:color="auto"/>
                  </w:tcBorders>
                  <w:shd w:val="clear" w:color="auto" w:fill="auto"/>
                  <w:noWrap/>
                  <w:vAlign w:val="bottom"/>
                  <w:hideMark/>
                </w:tcPr>
                <w:p w14:paraId="3F89EBC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w:t>
                  </w:r>
                </w:p>
              </w:tc>
              <w:tc>
                <w:tcPr>
                  <w:tcW w:w="1064" w:type="dxa"/>
                  <w:shd w:val="clear" w:color="auto" w:fill="auto"/>
                  <w:noWrap/>
                  <w:vAlign w:val="bottom"/>
                  <w:hideMark/>
                </w:tcPr>
                <w:p w14:paraId="29278B1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6D108C2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18%</w:t>
                  </w:r>
                </w:p>
              </w:tc>
              <w:tc>
                <w:tcPr>
                  <w:tcW w:w="1211" w:type="dxa"/>
                  <w:tcBorders>
                    <w:left w:val="single" w:sz="18" w:space="0" w:color="auto"/>
                  </w:tcBorders>
                  <w:shd w:val="clear" w:color="auto" w:fill="auto"/>
                  <w:noWrap/>
                  <w:vAlign w:val="bottom"/>
                  <w:hideMark/>
                </w:tcPr>
                <w:p w14:paraId="2EDCE1D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984" w:type="dxa"/>
                  <w:shd w:val="clear" w:color="auto" w:fill="auto"/>
                  <w:noWrap/>
                  <w:vAlign w:val="bottom"/>
                  <w:hideMark/>
                </w:tcPr>
                <w:p w14:paraId="6AD01DA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4D0EDD9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20%</w:t>
                  </w:r>
                </w:p>
              </w:tc>
            </w:tr>
            <w:tr w:rsidR="005A15D4" w:rsidRPr="00673DF2" w14:paraId="3A434836" w14:textId="77777777" w:rsidTr="005A15D4">
              <w:trPr>
                <w:trHeight w:val="300"/>
              </w:trPr>
              <w:tc>
                <w:tcPr>
                  <w:tcW w:w="883" w:type="dxa"/>
                  <w:tcBorders>
                    <w:right w:val="single" w:sz="18" w:space="0" w:color="auto"/>
                  </w:tcBorders>
                  <w:shd w:val="clear" w:color="auto" w:fill="auto"/>
                  <w:noWrap/>
                  <w:vAlign w:val="bottom"/>
                  <w:hideMark/>
                </w:tcPr>
                <w:p w14:paraId="7C171694"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SC</w:t>
                  </w:r>
                </w:p>
              </w:tc>
              <w:tc>
                <w:tcPr>
                  <w:tcW w:w="1167" w:type="dxa"/>
                  <w:tcBorders>
                    <w:left w:val="single" w:sz="18" w:space="0" w:color="auto"/>
                  </w:tcBorders>
                  <w:shd w:val="clear" w:color="auto" w:fill="auto"/>
                  <w:noWrap/>
                  <w:vAlign w:val="bottom"/>
                  <w:hideMark/>
                </w:tcPr>
                <w:p w14:paraId="1CCA253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40</w:t>
                  </w:r>
                </w:p>
              </w:tc>
              <w:tc>
                <w:tcPr>
                  <w:tcW w:w="1064" w:type="dxa"/>
                  <w:shd w:val="clear" w:color="auto" w:fill="auto"/>
                  <w:noWrap/>
                  <w:vAlign w:val="bottom"/>
                  <w:hideMark/>
                </w:tcPr>
                <w:p w14:paraId="1202E67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33" w:type="dxa"/>
                  <w:tcBorders>
                    <w:right w:val="single" w:sz="18" w:space="0" w:color="auto"/>
                  </w:tcBorders>
                  <w:shd w:val="clear" w:color="auto" w:fill="auto"/>
                  <w:noWrap/>
                  <w:vAlign w:val="bottom"/>
                  <w:hideMark/>
                </w:tcPr>
                <w:p w14:paraId="1450D04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44%</w:t>
                  </w:r>
                </w:p>
              </w:tc>
              <w:tc>
                <w:tcPr>
                  <w:tcW w:w="1211" w:type="dxa"/>
                  <w:tcBorders>
                    <w:left w:val="single" w:sz="18" w:space="0" w:color="auto"/>
                  </w:tcBorders>
                  <w:shd w:val="clear" w:color="auto" w:fill="auto"/>
                  <w:noWrap/>
                  <w:vAlign w:val="bottom"/>
                  <w:hideMark/>
                </w:tcPr>
                <w:p w14:paraId="7B540F1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27</w:t>
                  </w:r>
                </w:p>
              </w:tc>
              <w:tc>
                <w:tcPr>
                  <w:tcW w:w="984" w:type="dxa"/>
                  <w:shd w:val="clear" w:color="auto" w:fill="auto"/>
                  <w:noWrap/>
                  <w:vAlign w:val="bottom"/>
                  <w:hideMark/>
                </w:tcPr>
                <w:p w14:paraId="62D3952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52" w:type="dxa"/>
                  <w:shd w:val="clear" w:color="auto" w:fill="auto"/>
                  <w:noWrap/>
                  <w:vAlign w:val="bottom"/>
                  <w:hideMark/>
                </w:tcPr>
                <w:p w14:paraId="6A0E1B8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42%</w:t>
                  </w:r>
                </w:p>
              </w:tc>
            </w:tr>
            <w:tr w:rsidR="005A15D4" w:rsidRPr="00673DF2" w14:paraId="07DAB8EE" w14:textId="77777777" w:rsidTr="005A15D4">
              <w:trPr>
                <w:trHeight w:val="300"/>
              </w:trPr>
              <w:tc>
                <w:tcPr>
                  <w:tcW w:w="883" w:type="dxa"/>
                  <w:tcBorders>
                    <w:right w:val="single" w:sz="18" w:space="0" w:color="auto"/>
                  </w:tcBorders>
                  <w:shd w:val="clear" w:color="auto" w:fill="auto"/>
                  <w:noWrap/>
                  <w:vAlign w:val="bottom"/>
                  <w:hideMark/>
                </w:tcPr>
                <w:p w14:paraId="4236199B"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SD</w:t>
                  </w:r>
                </w:p>
              </w:tc>
              <w:tc>
                <w:tcPr>
                  <w:tcW w:w="1167" w:type="dxa"/>
                  <w:tcBorders>
                    <w:left w:val="single" w:sz="18" w:space="0" w:color="auto"/>
                  </w:tcBorders>
                  <w:shd w:val="clear" w:color="auto" w:fill="auto"/>
                  <w:noWrap/>
                  <w:vAlign w:val="bottom"/>
                  <w:hideMark/>
                </w:tcPr>
                <w:p w14:paraId="30812EE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8</w:t>
                  </w:r>
                </w:p>
              </w:tc>
              <w:tc>
                <w:tcPr>
                  <w:tcW w:w="1064" w:type="dxa"/>
                  <w:shd w:val="clear" w:color="auto" w:fill="auto"/>
                  <w:noWrap/>
                  <w:vAlign w:val="bottom"/>
                  <w:hideMark/>
                </w:tcPr>
                <w:p w14:paraId="66F1BE8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6326C34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53%</w:t>
                  </w:r>
                </w:p>
              </w:tc>
              <w:tc>
                <w:tcPr>
                  <w:tcW w:w="1211" w:type="dxa"/>
                  <w:tcBorders>
                    <w:left w:val="single" w:sz="18" w:space="0" w:color="auto"/>
                  </w:tcBorders>
                  <w:shd w:val="clear" w:color="auto" w:fill="auto"/>
                  <w:noWrap/>
                  <w:vAlign w:val="bottom"/>
                  <w:hideMark/>
                </w:tcPr>
                <w:p w14:paraId="611ED8F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984" w:type="dxa"/>
                  <w:shd w:val="clear" w:color="auto" w:fill="auto"/>
                  <w:noWrap/>
                  <w:vAlign w:val="bottom"/>
                  <w:hideMark/>
                </w:tcPr>
                <w:p w14:paraId="7775F82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03BD14F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20%</w:t>
                  </w:r>
                </w:p>
              </w:tc>
            </w:tr>
            <w:tr w:rsidR="005A15D4" w:rsidRPr="00673DF2" w14:paraId="49C05382" w14:textId="77777777" w:rsidTr="005A15D4">
              <w:trPr>
                <w:trHeight w:val="300"/>
              </w:trPr>
              <w:tc>
                <w:tcPr>
                  <w:tcW w:w="883" w:type="dxa"/>
                  <w:tcBorders>
                    <w:right w:val="single" w:sz="18" w:space="0" w:color="auto"/>
                  </w:tcBorders>
                  <w:shd w:val="clear" w:color="auto" w:fill="auto"/>
                  <w:noWrap/>
                  <w:vAlign w:val="bottom"/>
                  <w:hideMark/>
                </w:tcPr>
                <w:p w14:paraId="6CF52A78"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TNED</w:t>
                  </w:r>
                </w:p>
              </w:tc>
              <w:tc>
                <w:tcPr>
                  <w:tcW w:w="1167" w:type="dxa"/>
                  <w:tcBorders>
                    <w:left w:val="single" w:sz="18" w:space="0" w:color="auto"/>
                  </w:tcBorders>
                  <w:shd w:val="clear" w:color="auto" w:fill="auto"/>
                  <w:noWrap/>
                  <w:vAlign w:val="bottom"/>
                  <w:hideMark/>
                </w:tcPr>
                <w:p w14:paraId="146B3DA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38</w:t>
                  </w:r>
                </w:p>
              </w:tc>
              <w:tc>
                <w:tcPr>
                  <w:tcW w:w="1064" w:type="dxa"/>
                  <w:shd w:val="clear" w:color="auto" w:fill="auto"/>
                  <w:noWrap/>
                  <w:vAlign w:val="bottom"/>
                  <w:hideMark/>
                </w:tcPr>
                <w:p w14:paraId="7128CD1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33" w:type="dxa"/>
                  <w:tcBorders>
                    <w:right w:val="single" w:sz="18" w:space="0" w:color="auto"/>
                  </w:tcBorders>
                  <w:shd w:val="clear" w:color="auto" w:fill="auto"/>
                  <w:noWrap/>
                  <w:vAlign w:val="bottom"/>
                  <w:hideMark/>
                </w:tcPr>
                <w:p w14:paraId="4551BA2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37%</w:t>
                  </w:r>
                </w:p>
              </w:tc>
              <w:tc>
                <w:tcPr>
                  <w:tcW w:w="1211" w:type="dxa"/>
                  <w:tcBorders>
                    <w:left w:val="single" w:sz="18" w:space="0" w:color="auto"/>
                  </w:tcBorders>
                  <w:shd w:val="clear" w:color="auto" w:fill="auto"/>
                  <w:noWrap/>
                  <w:vAlign w:val="bottom"/>
                  <w:hideMark/>
                </w:tcPr>
                <w:p w14:paraId="6B5E9A1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26</w:t>
                  </w:r>
                </w:p>
              </w:tc>
              <w:tc>
                <w:tcPr>
                  <w:tcW w:w="984" w:type="dxa"/>
                  <w:shd w:val="clear" w:color="auto" w:fill="auto"/>
                  <w:noWrap/>
                  <w:vAlign w:val="bottom"/>
                  <w:hideMark/>
                </w:tcPr>
                <w:p w14:paraId="274977B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52" w:type="dxa"/>
                  <w:shd w:val="clear" w:color="auto" w:fill="auto"/>
                  <w:noWrap/>
                  <w:vAlign w:val="bottom"/>
                  <w:hideMark/>
                </w:tcPr>
                <w:p w14:paraId="48824C9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40%</w:t>
                  </w:r>
                </w:p>
              </w:tc>
            </w:tr>
            <w:tr w:rsidR="005A15D4" w:rsidRPr="00673DF2" w14:paraId="327A44EB" w14:textId="77777777" w:rsidTr="005A15D4">
              <w:trPr>
                <w:trHeight w:val="300"/>
              </w:trPr>
              <w:tc>
                <w:tcPr>
                  <w:tcW w:w="883" w:type="dxa"/>
                  <w:tcBorders>
                    <w:right w:val="single" w:sz="18" w:space="0" w:color="auto"/>
                  </w:tcBorders>
                  <w:shd w:val="clear" w:color="auto" w:fill="auto"/>
                  <w:noWrap/>
                  <w:vAlign w:val="bottom"/>
                  <w:hideMark/>
                </w:tcPr>
                <w:p w14:paraId="72506D3A"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TNMD</w:t>
                  </w:r>
                </w:p>
              </w:tc>
              <w:tc>
                <w:tcPr>
                  <w:tcW w:w="1167" w:type="dxa"/>
                  <w:tcBorders>
                    <w:left w:val="single" w:sz="18" w:space="0" w:color="auto"/>
                  </w:tcBorders>
                  <w:shd w:val="clear" w:color="auto" w:fill="auto"/>
                  <w:noWrap/>
                  <w:vAlign w:val="bottom"/>
                  <w:hideMark/>
                </w:tcPr>
                <w:p w14:paraId="127B437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94</w:t>
                  </w:r>
                </w:p>
              </w:tc>
              <w:tc>
                <w:tcPr>
                  <w:tcW w:w="1064" w:type="dxa"/>
                  <w:shd w:val="clear" w:color="auto" w:fill="auto"/>
                  <w:noWrap/>
                  <w:vAlign w:val="bottom"/>
                  <w:hideMark/>
                </w:tcPr>
                <w:p w14:paraId="1DD79CD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1633" w:type="dxa"/>
                  <w:tcBorders>
                    <w:right w:val="single" w:sz="18" w:space="0" w:color="auto"/>
                  </w:tcBorders>
                  <w:shd w:val="clear" w:color="auto" w:fill="auto"/>
                  <w:noWrap/>
                  <w:vAlign w:val="bottom"/>
                  <w:hideMark/>
                </w:tcPr>
                <w:p w14:paraId="73A9E7C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54%</w:t>
                  </w:r>
                </w:p>
              </w:tc>
              <w:tc>
                <w:tcPr>
                  <w:tcW w:w="1211" w:type="dxa"/>
                  <w:tcBorders>
                    <w:left w:val="single" w:sz="18" w:space="0" w:color="auto"/>
                  </w:tcBorders>
                  <w:shd w:val="clear" w:color="auto" w:fill="auto"/>
                  <w:noWrap/>
                  <w:vAlign w:val="bottom"/>
                  <w:hideMark/>
                </w:tcPr>
                <w:p w14:paraId="582DDC8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47</w:t>
                  </w:r>
                </w:p>
              </w:tc>
              <w:tc>
                <w:tcPr>
                  <w:tcW w:w="984" w:type="dxa"/>
                  <w:shd w:val="clear" w:color="auto" w:fill="auto"/>
                  <w:noWrap/>
                  <w:vAlign w:val="bottom"/>
                  <w:hideMark/>
                </w:tcPr>
                <w:p w14:paraId="72718D5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1652" w:type="dxa"/>
                  <w:shd w:val="clear" w:color="auto" w:fill="auto"/>
                  <w:noWrap/>
                  <w:vAlign w:val="bottom"/>
                  <w:hideMark/>
                </w:tcPr>
                <w:p w14:paraId="0948373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49%</w:t>
                  </w:r>
                </w:p>
              </w:tc>
            </w:tr>
            <w:tr w:rsidR="005A15D4" w:rsidRPr="00673DF2" w14:paraId="7C741E01" w14:textId="77777777" w:rsidTr="005A15D4">
              <w:trPr>
                <w:trHeight w:val="300"/>
              </w:trPr>
              <w:tc>
                <w:tcPr>
                  <w:tcW w:w="883" w:type="dxa"/>
                  <w:tcBorders>
                    <w:right w:val="single" w:sz="18" w:space="0" w:color="auto"/>
                  </w:tcBorders>
                  <w:shd w:val="clear" w:color="auto" w:fill="auto"/>
                  <w:noWrap/>
                  <w:vAlign w:val="bottom"/>
                  <w:hideMark/>
                </w:tcPr>
                <w:p w14:paraId="17B2B75A"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TNWD</w:t>
                  </w:r>
                </w:p>
              </w:tc>
              <w:tc>
                <w:tcPr>
                  <w:tcW w:w="1167" w:type="dxa"/>
                  <w:tcBorders>
                    <w:left w:val="single" w:sz="18" w:space="0" w:color="auto"/>
                  </w:tcBorders>
                  <w:shd w:val="clear" w:color="auto" w:fill="auto"/>
                  <w:noWrap/>
                  <w:vAlign w:val="bottom"/>
                  <w:hideMark/>
                </w:tcPr>
                <w:p w14:paraId="3E30B23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25</w:t>
                  </w:r>
                </w:p>
              </w:tc>
              <w:tc>
                <w:tcPr>
                  <w:tcW w:w="1064" w:type="dxa"/>
                  <w:shd w:val="clear" w:color="auto" w:fill="auto"/>
                  <w:noWrap/>
                  <w:vAlign w:val="bottom"/>
                  <w:hideMark/>
                </w:tcPr>
                <w:p w14:paraId="6D31BC7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33" w:type="dxa"/>
                  <w:tcBorders>
                    <w:right w:val="single" w:sz="18" w:space="0" w:color="auto"/>
                  </w:tcBorders>
                  <w:shd w:val="clear" w:color="auto" w:fill="auto"/>
                  <w:noWrap/>
                  <w:vAlign w:val="bottom"/>
                  <w:hideMark/>
                </w:tcPr>
                <w:p w14:paraId="2819502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36%</w:t>
                  </w:r>
                </w:p>
              </w:tc>
              <w:tc>
                <w:tcPr>
                  <w:tcW w:w="1211" w:type="dxa"/>
                  <w:tcBorders>
                    <w:left w:val="single" w:sz="18" w:space="0" w:color="auto"/>
                  </w:tcBorders>
                  <w:shd w:val="clear" w:color="auto" w:fill="auto"/>
                  <w:noWrap/>
                  <w:vAlign w:val="bottom"/>
                  <w:hideMark/>
                </w:tcPr>
                <w:p w14:paraId="6E24669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22</w:t>
                  </w:r>
                </w:p>
              </w:tc>
              <w:tc>
                <w:tcPr>
                  <w:tcW w:w="984" w:type="dxa"/>
                  <w:shd w:val="clear" w:color="auto" w:fill="auto"/>
                  <w:noWrap/>
                  <w:vAlign w:val="bottom"/>
                  <w:hideMark/>
                </w:tcPr>
                <w:p w14:paraId="0580B62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52" w:type="dxa"/>
                  <w:shd w:val="clear" w:color="auto" w:fill="auto"/>
                  <w:noWrap/>
                  <w:vAlign w:val="bottom"/>
                  <w:hideMark/>
                </w:tcPr>
                <w:p w14:paraId="35D9B7F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38%</w:t>
                  </w:r>
                </w:p>
              </w:tc>
            </w:tr>
            <w:tr w:rsidR="005A15D4" w:rsidRPr="00673DF2" w14:paraId="3D58B5AE" w14:textId="77777777" w:rsidTr="005A15D4">
              <w:trPr>
                <w:trHeight w:val="300"/>
              </w:trPr>
              <w:tc>
                <w:tcPr>
                  <w:tcW w:w="883" w:type="dxa"/>
                  <w:tcBorders>
                    <w:right w:val="single" w:sz="18" w:space="0" w:color="auto"/>
                  </w:tcBorders>
                  <w:shd w:val="clear" w:color="auto" w:fill="auto"/>
                  <w:noWrap/>
                  <w:vAlign w:val="bottom"/>
                  <w:hideMark/>
                </w:tcPr>
                <w:p w14:paraId="0DAFF5F1"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TXED</w:t>
                  </w:r>
                </w:p>
              </w:tc>
              <w:tc>
                <w:tcPr>
                  <w:tcW w:w="1167" w:type="dxa"/>
                  <w:tcBorders>
                    <w:left w:val="single" w:sz="18" w:space="0" w:color="auto"/>
                  </w:tcBorders>
                  <w:shd w:val="clear" w:color="auto" w:fill="auto"/>
                  <w:noWrap/>
                  <w:vAlign w:val="bottom"/>
                  <w:hideMark/>
                </w:tcPr>
                <w:p w14:paraId="327ACF7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27</w:t>
                  </w:r>
                </w:p>
              </w:tc>
              <w:tc>
                <w:tcPr>
                  <w:tcW w:w="1064" w:type="dxa"/>
                  <w:shd w:val="clear" w:color="auto" w:fill="auto"/>
                  <w:noWrap/>
                  <w:vAlign w:val="bottom"/>
                  <w:hideMark/>
                </w:tcPr>
                <w:p w14:paraId="2C766C9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33" w:type="dxa"/>
                  <w:tcBorders>
                    <w:right w:val="single" w:sz="18" w:space="0" w:color="auto"/>
                  </w:tcBorders>
                  <w:shd w:val="clear" w:color="auto" w:fill="auto"/>
                  <w:noWrap/>
                  <w:vAlign w:val="bottom"/>
                  <w:hideMark/>
                </w:tcPr>
                <w:p w14:paraId="56318F1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20%</w:t>
                  </w:r>
                </w:p>
              </w:tc>
              <w:tc>
                <w:tcPr>
                  <w:tcW w:w="1211" w:type="dxa"/>
                  <w:tcBorders>
                    <w:left w:val="single" w:sz="18" w:space="0" w:color="auto"/>
                  </w:tcBorders>
                  <w:shd w:val="clear" w:color="auto" w:fill="auto"/>
                  <w:noWrap/>
                  <w:vAlign w:val="bottom"/>
                  <w:hideMark/>
                </w:tcPr>
                <w:p w14:paraId="464B26D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11</w:t>
                  </w:r>
                </w:p>
              </w:tc>
              <w:tc>
                <w:tcPr>
                  <w:tcW w:w="984" w:type="dxa"/>
                  <w:shd w:val="clear" w:color="auto" w:fill="auto"/>
                  <w:noWrap/>
                  <w:vAlign w:val="bottom"/>
                  <w:hideMark/>
                </w:tcPr>
                <w:p w14:paraId="4C1DFCD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357AA6A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17%</w:t>
                  </w:r>
                </w:p>
              </w:tc>
            </w:tr>
            <w:tr w:rsidR="005A15D4" w:rsidRPr="00673DF2" w14:paraId="01930F78" w14:textId="77777777" w:rsidTr="005A15D4">
              <w:trPr>
                <w:trHeight w:val="300"/>
              </w:trPr>
              <w:tc>
                <w:tcPr>
                  <w:tcW w:w="883" w:type="dxa"/>
                  <w:tcBorders>
                    <w:right w:val="single" w:sz="18" w:space="0" w:color="auto"/>
                  </w:tcBorders>
                  <w:shd w:val="clear" w:color="auto" w:fill="auto"/>
                  <w:noWrap/>
                  <w:vAlign w:val="bottom"/>
                  <w:hideMark/>
                </w:tcPr>
                <w:p w14:paraId="0F3E9999"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TXND</w:t>
                  </w:r>
                </w:p>
              </w:tc>
              <w:tc>
                <w:tcPr>
                  <w:tcW w:w="1167" w:type="dxa"/>
                  <w:tcBorders>
                    <w:left w:val="single" w:sz="18" w:space="0" w:color="auto"/>
                  </w:tcBorders>
                  <w:shd w:val="clear" w:color="auto" w:fill="auto"/>
                  <w:noWrap/>
                  <w:vAlign w:val="bottom"/>
                  <w:hideMark/>
                </w:tcPr>
                <w:p w14:paraId="6F973DB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56</w:t>
                  </w:r>
                </w:p>
              </w:tc>
              <w:tc>
                <w:tcPr>
                  <w:tcW w:w="1064" w:type="dxa"/>
                  <w:shd w:val="clear" w:color="auto" w:fill="auto"/>
                  <w:noWrap/>
                  <w:vAlign w:val="bottom"/>
                  <w:hideMark/>
                </w:tcPr>
                <w:p w14:paraId="1826E1E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33" w:type="dxa"/>
                  <w:tcBorders>
                    <w:right w:val="single" w:sz="18" w:space="0" w:color="auto"/>
                  </w:tcBorders>
                  <w:shd w:val="clear" w:color="auto" w:fill="auto"/>
                  <w:noWrap/>
                  <w:vAlign w:val="bottom"/>
                  <w:hideMark/>
                </w:tcPr>
                <w:p w14:paraId="26B6428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14%</w:t>
                  </w:r>
                </w:p>
              </w:tc>
              <w:tc>
                <w:tcPr>
                  <w:tcW w:w="1211" w:type="dxa"/>
                  <w:tcBorders>
                    <w:left w:val="single" w:sz="18" w:space="0" w:color="auto"/>
                  </w:tcBorders>
                  <w:shd w:val="clear" w:color="auto" w:fill="auto"/>
                  <w:noWrap/>
                  <w:vAlign w:val="bottom"/>
                  <w:hideMark/>
                </w:tcPr>
                <w:p w14:paraId="3921F69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42</w:t>
                  </w:r>
                </w:p>
              </w:tc>
              <w:tc>
                <w:tcPr>
                  <w:tcW w:w="984" w:type="dxa"/>
                  <w:shd w:val="clear" w:color="auto" w:fill="auto"/>
                  <w:noWrap/>
                  <w:vAlign w:val="bottom"/>
                  <w:hideMark/>
                </w:tcPr>
                <w:p w14:paraId="66FD499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1652" w:type="dxa"/>
                  <w:shd w:val="clear" w:color="auto" w:fill="auto"/>
                  <w:noWrap/>
                  <w:vAlign w:val="bottom"/>
                  <w:hideMark/>
                </w:tcPr>
                <w:p w14:paraId="1DFCAD5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18%</w:t>
                  </w:r>
                </w:p>
              </w:tc>
            </w:tr>
            <w:tr w:rsidR="005A15D4" w:rsidRPr="00673DF2" w14:paraId="082DC913" w14:textId="77777777" w:rsidTr="005A15D4">
              <w:trPr>
                <w:trHeight w:val="300"/>
              </w:trPr>
              <w:tc>
                <w:tcPr>
                  <w:tcW w:w="883" w:type="dxa"/>
                  <w:tcBorders>
                    <w:right w:val="single" w:sz="18" w:space="0" w:color="auto"/>
                  </w:tcBorders>
                  <w:shd w:val="clear" w:color="auto" w:fill="auto"/>
                  <w:noWrap/>
                  <w:vAlign w:val="bottom"/>
                  <w:hideMark/>
                </w:tcPr>
                <w:p w14:paraId="01C523CC"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TXWD</w:t>
                  </w:r>
                </w:p>
              </w:tc>
              <w:tc>
                <w:tcPr>
                  <w:tcW w:w="1167" w:type="dxa"/>
                  <w:tcBorders>
                    <w:left w:val="single" w:sz="18" w:space="0" w:color="auto"/>
                  </w:tcBorders>
                  <w:shd w:val="clear" w:color="auto" w:fill="auto"/>
                  <w:noWrap/>
                  <w:vAlign w:val="bottom"/>
                  <w:hideMark/>
                </w:tcPr>
                <w:p w14:paraId="02FAFB3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67</w:t>
                  </w:r>
                </w:p>
              </w:tc>
              <w:tc>
                <w:tcPr>
                  <w:tcW w:w="1064" w:type="dxa"/>
                  <w:shd w:val="clear" w:color="auto" w:fill="auto"/>
                  <w:noWrap/>
                  <w:vAlign w:val="bottom"/>
                  <w:hideMark/>
                </w:tcPr>
                <w:p w14:paraId="718525F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1633" w:type="dxa"/>
                  <w:tcBorders>
                    <w:right w:val="single" w:sz="18" w:space="0" w:color="auto"/>
                  </w:tcBorders>
                  <w:shd w:val="clear" w:color="auto" w:fill="auto"/>
                  <w:noWrap/>
                  <w:vAlign w:val="bottom"/>
                  <w:hideMark/>
                </w:tcPr>
                <w:p w14:paraId="1C0F4FC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26%</w:t>
                  </w:r>
                </w:p>
              </w:tc>
              <w:tc>
                <w:tcPr>
                  <w:tcW w:w="1211" w:type="dxa"/>
                  <w:tcBorders>
                    <w:left w:val="single" w:sz="18" w:space="0" w:color="auto"/>
                  </w:tcBorders>
                  <w:shd w:val="clear" w:color="auto" w:fill="auto"/>
                  <w:noWrap/>
                  <w:vAlign w:val="bottom"/>
                  <w:hideMark/>
                </w:tcPr>
                <w:p w14:paraId="127418D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34</w:t>
                  </w:r>
                </w:p>
              </w:tc>
              <w:tc>
                <w:tcPr>
                  <w:tcW w:w="984" w:type="dxa"/>
                  <w:shd w:val="clear" w:color="auto" w:fill="auto"/>
                  <w:noWrap/>
                  <w:vAlign w:val="bottom"/>
                  <w:hideMark/>
                </w:tcPr>
                <w:p w14:paraId="0AEA265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52" w:type="dxa"/>
                  <w:shd w:val="clear" w:color="auto" w:fill="auto"/>
                  <w:noWrap/>
                  <w:vAlign w:val="bottom"/>
                  <w:hideMark/>
                </w:tcPr>
                <w:p w14:paraId="53CD5B2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28%</w:t>
                  </w:r>
                </w:p>
              </w:tc>
            </w:tr>
            <w:tr w:rsidR="005A15D4" w:rsidRPr="00673DF2" w14:paraId="7BD85D08" w14:textId="77777777" w:rsidTr="005A15D4">
              <w:trPr>
                <w:trHeight w:val="300"/>
              </w:trPr>
              <w:tc>
                <w:tcPr>
                  <w:tcW w:w="883" w:type="dxa"/>
                  <w:tcBorders>
                    <w:right w:val="single" w:sz="18" w:space="0" w:color="auto"/>
                  </w:tcBorders>
                  <w:shd w:val="clear" w:color="auto" w:fill="auto"/>
                  <w:noWrap/>
                  <w:vAlign w:val="bottom"/>
                  <w:hideMark/>
                </w:tcPr>
                <w:p w14:paraId="5F878756"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UT</w:t>
                  </w:r>
                </w:p>
              </w:tc>
              <w:tc>
                <w:tcPr>
                  <w:tcW w:w="1167" w:type="dxa"/>
                  <w:tcBorders>
                    <w:left w:val="single" w:sz="18" w:space="0" w:color="auto"/>
                  </w:tcBorders>
                  <w:shd w:val="clear" w:color="auto" w:fill="auto"/>
                  <w:noWrap/>
                  <w:vAlign w:val="bottom"/>
                  <w:hideMark/>
                </w:tcPr>
                <w:p w14:paraId="6D5FD93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21</w:t>
                  </w:r>
                </w:p>
              </w:tc>
              <w:tc>
                <w:tcPr>
                  <w:tcW w:w="1064" w:type="dxa"/>
                  <w:shd w:val="clear" w:color="auto" w:fill="auto"/>
                  <w:noWrap/>
                  <w:vAlign w:val="bottom"/>
                  <w:hideMark/>
                </w:tcPr>
                <w:p w14:paraId="111DE1B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33" w:type="dxa"/>
                  <w:tcBorders>
                    <w:right w:val="single" w:sz="18" w:space="0" w:color="auto"/>
                  </w:tcBorders>
                  <w:shd w:val="clear" w:color="auto" w:fill="auto"/>
                  <w:noWrap/>
                  <w:vAlign w:val="bottom"/>
                  <w:hideMark/>
                </w:tcPr>
                <w:p w14:paraId="4267DF6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24%</w:t>
                  </w:r>
                </w:p>
              </w:tc>
              <w:tc>
                <w:tcPr>
                  <w:tcW w:w="1211" w:type="dxa"/>
                  <w:tcBorders>
                    <w:left w:val="single" w:sz="18" w:space="0" w:color="auto"/>
                  </w:tcBorders>
                  <w:shd w:val="clear" w:color="auto" w:fill="auto"/>
                  <w:noWrap/>
                  <w:vAlign w:val="bottom"/>
                  <w:hideMark/>
                </w:tcPr>
                <w:p w14:paraId="25F22A5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11</w:t>
                  </w:r>
                </w:p>
              </w:tc>
              <w:tc>
                <w:tcPr>
                  <w:tcW w:w="984" w:type="dxa"/>
                  <w:shd w:val="clear" w:color="auto" w:fill="auto"/>
                  <w:noWrap/>
                  <w:vAlign w:val="bottom"/>
                  <w:hideMark/>
                </w:tcPr>
                <w:p w14:paraId="564E2C3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1003C63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28%</w:t>
                  </w:r>
                </w:p>
              </w:tc>
            </w:tr>
            <w:tr w:rsidR="005A15D4" w:rsidRPr="00673DF2" w14:paraId="465FFA7A" w14:textId="77777777" w:rsidTr="005A15D4">
              <w:trPr>
                <w:trHeight w:val="300"/>
              </w:trPr>
              <w:tc>
                <w:tcPr>
                  <w:tcW w:w="883" w:type="dxa"/>
                  <w:tcBorders>
                    <w:right w:val="single" w:sz="18" w:space="0" w:color="auto"/>
                  </w:tcBorders>
                  <w:shd w:val="clear" w:color="auto" w:fill="auto"/>
                  <w:noWrap/>
                  <w:vAlign w:val="bottom"/>
                  <w:hideMark/>
                </w:tcPr>
                <w:p w14:paraId="3676046D"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VAED</w:t>
                  </w:r>
                </w:p>
              </w:tc>
              <w:tc>
                <w:tcPr>
                  <w:tcW w:w="1167" w:type="dxa"/>
                  <w:tcBorders>
                    <w:left w:val="single" w:sz="18" w:space="0" w:color="auto"/>
                  </w:tcBorders>
                  <w:shd w:val="clear" w:color="auto" w:fill="auto"/>
                  <w:noWrap/>
                  <w:vAlign w:val="bottom"/>
                  <w:hideMark/>
                </w:tcPr>
                <w:p w14:paraId="6894A1A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85</w:t>
                  </w:r>
                </w:p>
              </w:tc>
              <w:tc>
                <w:tcPr>
                  <w:tcW w:w="1064" w:type="dxa"/>
                  <w:shd w:val="clear" w:color="auto" w:fill="auto"/>
                  <w:noWrap/>
                  <w:vAlign w:val="bottom"/>
                  <w:hideMark/>
                </w:tcPr>
                <w:p w14:paraId="2909D47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1633" w:type="dxa"/>
                  <w:tcBorders>
                    <w:right w:val="single" w:sz="18" w:space="0" w:color="auto"/>
                  </w:tcBorders>
                  <w:shd w:val="clear" w:color="auto" w:fill="auto"/>
                  <w:noWrap/>
                  <w:vAlign w:val="bottom"/>
                  <w:hideMark/>
                </w:tcPr>
                <w:p w14:paraId="7928A26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34%</w:t>
                  </w:r>
                </w:p>
              </w:tc>
              <w:tc>
                <w:tcPr>
                  <w:tcW w:w="1211" w:type="dxa"/>
                  <w:tcBorders>
                    <w:left w:val="single" w:sz="18" w:space="0" w:color="auto"/>
                  </w:tcBorders>
                  <w:shd w:val="clear" w:color="auto" w:fill="auto"/>
                  <w:noWrap/>
                  <w:vAlign w:val="bottom"/>
                  <w:hideMark/>
                </w:tcPr>
                <w:p w14:paraId="26EC67E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59</w:t>
                  </w:r>
                </w:p>
              </w:tc>
              <w:tc>
                <w:tcPr>
                  <w:tcW w:w="984" w:type="dxa"/>
                  <w:shd w:val="clear" w:color="auto" w:fill="auto"/>
                  <w:noWrap/>
                  <w:vAlign w:val="bottom"/>
                  <w:hideMark/>
                </w:tcPr>
                <w:p w14:paraId="565B9C4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w:t>
                  </w:r>
                </w:p>
              </w:tc>
              <w:tc>
                <w:tcPr>
                  <w:tcW w:w="1652" w:type="dxa"/>
                  <w:shd w:val="clear" w:color="auto" w:fill="auto"/>
                  <w:noWrap/>
                  <w:vAlign w:val="bottom"/>
                  <w:hideMark/>
                </w:tcPr>
                <w:p w14:paraId="13873DF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42%</w:t>
                  </w:r>
                </w:p>
              </w:tc>
            </w:tr>
            <w:tr w:rsidR="005A15D4" w:rsidRPr="00673DF2" w14:paraId="4B5F9085" w14:textId="77777777" w:rsidTr="005A15D4">
              <w:trPr>
                <w:trHeight w:val="300"/>
              </w:trPr>
              <w:tc>
                <w:tcPr>
                  <w:tcW w:w="883" w:type="dxa"/>
                  <w:tcBorders>
                    <w:right w:val="single" w:sz="18" w:space="0" w:color="auto"/>
                  </w:tcBorders>
                  <w:shd w:val="clear" w:color="auto" w:fill="auto"/>
                  <w:noWrap/>
                  <w:vAlign w:val="bottom"/>
                  <w:hideMark/>
                </w:tcPr>
                <w:p w14:paraId="6B18EF70"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VAWD</w:t>
                  </w:r>
                </w:p>
              </w:tc>
              <w:tc>
                <w:tcPr>
                  <w:tcW w:w="1167" w:type="dxa"/>
                  <w:tcBorders>
                    <w:left w:val="single" w:sz="18" w:space="0" w:color="auto"/>
                  </w:tcBorders>
                  <w:shd w:val="clear" w:color="auto" w:fill="auto"/>
                  <w:noWrap/>
                  <w:vAlign w:val="bottom"/>
                  <w:hideMark/>
                </w:tcPr>
                <w:p w14:paraId="36A682B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11</w:t>
                  </w:r>
                </w:p>
              </w:tc>
              <w:tc>
                <w:tcPr>
                  <w:tcW w:w="1064" w:type="dxa"/>
                  <w:shd w:val="clear" w:color="auto" w:fill="auto"/>
                  <w:noWrap/>
                  <w:vAlign w:val="bottom"/>
                  <w:hideMark/>
                </w:tcPr>
                <w:p w14:paraId="2CF1770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46702B7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27%</w:t>
                  </w:r>
                </w:p>
              </w:tc>
              <w:tc>
                <w:tcPr>
                  <w:tcW w:w="1211" w:type="dxa"/>
                  <w:tcBorders>
                    <w:left w:val="single" w:sz="18" w:space="0" w:color="auto"/>
                  </w:tcBorders>
                  <w:shd w:val="clear" w:color="auto" w:fill="auto"/>
                  <w:noWrap/>
                  <w:vAlign w:val="bottom"/>
                  <w:hideMark/>
                </w:tcPr>
                <w:p w14:paraId="58418CD0"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8</w:t>
                  </w:r>
                </w:p>
              </w:tc>
              <w:tc>
                <w:tcPr>
                  <w:tcW w:w="984" w:type="dxa"/>
                  <w:shd w:val="clear" w:color="auto" w:fill="auto"/>
                  <w:noWrap/>
                  <w:vAlign w:val="bottom"/>
                  <w:hideMark/>
                </w:tcPr>
                <w:p w14:paraId="65C3F40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2976BDE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38%</w:t>
                  </w:r>
                </w:p>
              </w:tc>
            </w:tr>
            <w:tr w:rsidR="005A15D4" w:rsidRPr="00673DF2" w14:paraId="26A9ECFC" w14:textId="77777777" w:rsidTr="005A15D4">
              <w:trPr>
                <w:trHeight w:val="300"/>
              </w:trPr>
              <w:tc>
                <w:tcPr>
                  <w:tcW w:w="883" w:type="dxa"/>
                  <w:tcBorders>
                    <w:right w:val="single" w:sz="18" w:space="0" w:color="auto"/>
                  </w:tcBorders>
                  <w:shd w:val="clear" w:color="auto" w:fill="auto"/>
                  <w:noWrap/>
                  <w:vAlign w:val="bottom"/>
                  <w:hideMark/>
                </w:tcPr>
                <w:p w14:paraId="2C381D1A"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VT</w:t>
                  </w:r>
                </w:p>
              </w:tc>
              <w:tc>
                <w:tcPr>
                  <w:tcW w:w="1167" w:type="dxa"/>
                  <w:tcBorders>
                    <w:left w:val="single" w:sz="18" w:space="0" w:color="auto"/>
                  </w:tcBorders>
                  <w:shd w:val="clear" w:color="auto" w:fill="auto"/>
                  <w:noWrap/>
                  <w:vAlign w:val="bottom"/>
                  <w:hideMark/>
                </w:tcPr>
                <w:p w14:paraId="7FC13FAA"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w:t>
                  </w:r>
                </w:p>
              </w:tc>
              <w:tc>
                <w:tcPr>
                  <w:tcW w:w="1064" w:type="dxa"/>
                  <w:shd w:val="clear" w:color="auto" w:fill="auto"/>
                  <w:noWrap/>
                  <w:vAlign w:val="bottom"/>
                  <w:hideMark/>
                </w:tcPr>
                <w:p w14:paraId="33B4591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28C9A1D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33%</w:t>
                  </w:r>
                </w:p>
              </w:tc>
              <w:tc>
                <w:tcPr>
                  <w:tcW w:w="1211" w:type="dxa"/>
                  <w:tcBorders>
                    <w:left w:val="single" w:sz="18" w:space="0" w:color="auto"/>
                  </w:tcBorders>
                  <w:shd w:val="clear" w:color="auto" w:fill="auto"/>
                  <w:noWrap/>
                  <w:vAlign w:val="bottom"/>
                  <w:hideMark/>
                </w:tcPr>
                <w:p w14:paraId="5A528594"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984" w:type="dxa"/>
                  <w:shd w:val="clear" w:color="auto" w:fill="auto"/>
                  <w:noWrap/>
                  <w:vAlign w:val="bottom"/>
                  <w:hideMark/>
                </w:tcPr>
                <w:p w14:paraId="2ADB5BC1"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3C5BBE8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r>
            <w:tr w:rsidR="005A15D4" w:rsidRPr="00673DF2" w14:paraId="7D2D3D89" w14:textId="77777777" w:rsidTr="005A15D4">
              <w:trPr>
                <w:trHeight w:val="300"/>
              </w:trPr>
              <w:tc>
                <w:tcPr>
                  <w:tcW w:w="883" w:type="dxa"/>
                  <w:tcBorders>
                    <w:right w:val="single" w:sz="18" w:space="0" w:color="auto"/>
                  </w:tcBorders>
                  <w:shd w:val="clear" w:color="auto" w:fill="auto"/>
                  <w:noWrap/>
                  <w:vAlign w:val="bottom"/>
                  <w:hideMark/>
                </w:tcPr>
                <w:p w14:paraId="5FF53724"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WAED</w:t>
                  </w:r>
                </w:p>
              </w:tc>
              <w:tc>
                <w:tcPr>
                  <w:tcW w:w="1167" w:type="dxa"/>
                  <w:tcBorders>
                    <w:left w:val="single" w:sz="18" w:space="0" w:color="auto"/>
                  </w:tcBorders>
                  <w:shd w:val="clear" w:color="auto" w:fill="auto"/>
                  <w:noWrap/>
                  <w:vAlign w:val="bottom"/>
                  <w:hideMark/>
                </w:tcPr>
                <w:p w14:paraId="5D5157B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8</w:t>
                  </w:r>
                </w:p>
              </w:tc>
              <w:tc>
                <w:tcPr>
                  <w:tcW w:w="1064" w:type="dxa"/>
                  <w:shd w:val="clear" w:color="auto" w:fill="auto"/>
                  <w:noWrap/>
                  <w:vAlign w:val="bottom"/>
                  <w:hideMark/>
                </w:tcPr>
                <w:p w14:paraId="149FCA9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512B25D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22%</w:t>
                  </w:r>
                </w:p>
              </w:tc>
              <w:tc>
                <w:tcPr>
                  <w:tcW w:w="1211" w:type="dxa"/>
                  <w:tcBorders>
                    <w:left w:val="single" w:sz="18" w:space="0" w:color="auto"/>
                  </w:tcBorders>
                  <w:shd w:val="clear" w:color="auto" w:fill="auto"/>
                  <w:noWrap/>
                  <w:vAlign w:val="bottom"/>
                  <w:hideMark/>
                </w:tcPr>
                <w:p w14:paraId="7F58A5E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10</w:t>
                  </w:r>
                </w:p>
              </w:tc>
              <w:tc>
                <w:tcPr>
                  <w:tcW w:w="984" w:type="dxa"/>
                  <w:shd w:val="clear" w:color="auto" w:fill="auto"/>
                  <w:noWrap/>
                  <w:vAlign w:val="bottom"/>
                  <w:hideMark/>
                </w:tcPr>
                <w:p w14:paraId="06E0F96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7FCD2C6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38%</w:t>
                  </w:r>
                </w:p>
              </w:tc>
            </w:tr>
            <w:tr w:rsidR="005A15D4" w:rsidRPr="00673DF2" w14:paraId="1CE59E1E" w14:textId="77777777" w:rsidTr="005A15D4">
              <w:trPr>
                <w:trHeight w:val="300"/>
              </w:trPr>
              <w:tc>
                <w:tcPr>
                  <w:tcW w:w="883" w:type="dxa"/>
                  <w:tcBorders>
                    <w:right w:val="single" w:sz="18" w:space="0" w:color="auto"/>
                  </w:tcBorders>
                  <w:shd w:val="clear" w:color="auto" w:fill="auto"/>
                  <w:noWrap/>
                  <w:vAlign w:val="bottom"/>
                  <w:hideMark/>
                </w:tcPr>
                <w:p w14:paraId="4B9EB3F8"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WAWD</w:t>
                  </w:r>
                </w:p>
              </w:tc>
              <w:tc>
                <w:tcPr>
                  <w:tcW w:w="1167" w:type="dxa"/>
                  <w:tcBorders>
                    <w:left w:val="single" w:sz="18" w:space="0" w:color="auto"/>
                  </w:tcBorders>
                  <w:shd w:val="clear" w:color="auto" w:fill="auto"/>
                  <w:noWrap/>
                  <w:vAlign w:val="bottom"/>
                  <w:hideMark/>
                </w:tcPr>
                <w:p w14:paraId="226B0D0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126</w:t>
                  </w:r>
                </w:p>
              </w:tc>
              <w:tc>
                <w:tcPr>
                  <w:tcW w:w="1064" w:type="dxa"/>
                  <w:shd w:val="clear" w:color="auto" w:fill="auto"/>
                  <w:noWrap/>
                  <w:vAlign w:val="bottom"/>
                  <w:hideMark/>
                </w:tcPr>
                <w:p w14:paraId="7FDFC0D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w:t>
                  </w:r>
                </w:p>
              </w:tc>
              <w:tc>
                <w:tcPr>
                  <w:tcW w:w="1633" w:type="dxa"/>
                  <w:tcBorders>
                    <w:right w:val="single" w:sz="18" w:space="0" w:color="auto"/>
                  </w:tcBorders>
                  <w:shd w:val="clear" w:color="auto" w:fill="auto"/>
                  <w:noWrap/>
                  <w:vAlign w:val="bottom"/>
                  <w:hideMark/>
                </w:tcPr>
                <w:p w14:paraId="45F72A7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41%</w:t>
                  </w:r>
                </w:p>
              </w:tc>
              <w:tc>
                <w:tcPr>
                  <w:tcW w:w="1211" w:type="dxa"/>
                  <w:tcBorders>
                    <w:left w:val="single" w:sz="18" w:space="0" w:color="auto"/>
                  </w:tcBorders>
                  <w:shd w:val="clear" w:color="auto" w:fill="auto"/>
                  <w:noWrap/>
                  <w:vAlign w:val="bottom"/>
                  <w:hideMark/>
                </w:tcPr>
                <w:p w14:paraId="3624F00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75</w:t>
                  </w:r>
                </w:p>
              </w:tc>
              <w:tc>
                <w:tcPr>
                  <w:tcW w:w="984" w:type="dxa"/>
                  <w:shd w:val="clear" w:color="auto" w:fill="auto"/>
                  <w:noWrap/>
                  <w:vAlign w:val="bottom"/>
                  <w:hideMark/>
                </w:tcPr>
                <w:p w14:paraId="4218D306"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w:t>
                  </w:r>
                </w:p>
              </w:tc>
              <w:tc>
                <w:tcPr>
                  <w:tcW w:w="1652" w:type="dxa"/>
                  <w:shd w:val="clear" w:color="auto" w:fill="auto"/>
                  <w:noWrap/>
                  <w:vAlign w:val="bottom"/>
                  <w:hideMark/>
                </w:tcPr>
                <w:p w14:paraId="4D645389"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52%</w:t>
                  </w:r>
                </w:p>
              </w:tc>
            </w:tr>
            <w:tr w:rsidR="005A15D4" w:rsidRPr="00673DF2" w14:paraId="79C2BAB8" w14:textId="77777777" w:rsidTr="005A15D4">
              <w:trPr>
                <w:trHeight w:val="300"/>
              </w:trPr>
              <w:tc>
                <w:tcPr>
                  <w:tcW w:w="883" w:type="dxa"/>
                  <w:tcBorders>
                    <w:right w:val="single" w:sz="18" w:space="0" w:color="auto"/>
                  </w:tcBorders>
                  <w:shd w:val="clear" w:color="auto" w:fill="auto"/>
                  <w:noWrap/>
                  <w:vAlign w:val="bottom"/>
                  <w:hideMark/>
                </w:tcPr>
                <w:p w14:paraId="2FEF953A"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WIWD</w:t>
                  </w:r>
                </w:p>
              </w:tc>
              <w:tc>
                <w:tcPr>
                  <w:tcW w:w="1167" w:type="dxa"/>
                  <w:tcBorders>
                    <w:left w:val="single" w:sz="18" w:space="0" w:color="auto"/>
                  </w:tcBorders>
                  <w:shd w:val="clear" w:color="auto" w:fill="auto"/>
                  <w:noWrap/>
                  <w:vAlign w:val="bottom"/>
                  <w:hideMark/>
                </w:tcPr>
                <w:p w14:paraId="153CB1FB"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23</w:t>
                  </w:r>
                </w:p>
              </w:tc>
              <w:tc>
                <w:tcPr>
                  <w:tcW w:w="1064" w:type="dxa"/>
                  <w:shd w:val="clear" w:color="auto" w:fill="auto"/>
                  <w:noWrap/>
                  <w:vAlign w:val="bottom"/>
                  <w:hideMark/>
                </w:tcPr>
                <w:p w14:paraId="5484B0D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33" w:type="dxa"/>
                  <w:tcBorders>
                    <w:right w:val="single" w:sz="18" w:space="0" w:color="auto"/>
                  </w:tcBorders>
                  <w:shd w:val="clear" w:color="auto" w:fill="auto"/>
                  <w:noWrap/>
                  <w:vAlign w:val="bottom"/>
                  <w:hideMark/>
                </w:tcPr>
                <w:p w14:paraId="01810CF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53%</w:t>
                  </w:r>
                </w:p>
              </w:tc>
              <w:tc>
                <w:tcPr>
                  <w:tcW w:w="1211" w:type="dxa"/>
                  <w:tcBorders>
                    <w:left w:val="single" w:sz="18" w:space="0" w:color="auto"/>
                  </w:tcBorders>
                  <w:shd w:val="clear" w:color="auto" w:fill="auto"/>
                  <w:noWrap/>
                  <w:vAlign w:val="bottom"/>
                  <w:hideMark/>
                </w:tcPr>
                <w:p w14:paraId="4EDAFF9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15</w:t>
                  </w:r>
                </w:p>
              </w:tc>
              <w:tc>
                <w:tcPr>
                  <w:tcW w:w="984" w:type="dxa"/>
                  <w:shd w:val="clear" w:color="auto" w:fill="auto"/>
                  <w:noWrap/>
                  <w:vAlign w:val="bottom"/>
                  <w:hideMark/>
                </w:tcPr>
                <w:p w14:paraId="428B8BC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1%</w:t>
                  </w:r>
                </w:p>
              </w:tc>
              <w:tc>
                <w:tcPr>
                  <w:tcW w:w="1652" w:type="dxa"/>
                  <w:shd w:val="clear" w:color="auto" w:fill="auto"/>
                  <w:noWrap/>
                  <w:vAlign w:val="bottom"/>
                  <w:hideMark/>
                </w:tcPr>
                <w:p w14:paraId="7E7F6E98"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45%</w:t>
                  </w:r>
                </w:p>
              </w:tc>
            </w:tr>
            <w:tr w:rsidR="005A15D4" w:rsidRPr="00673DF2" w14:paraId="57681E22" w14:textId="77777777" w:rsidTr="005A15D4">
              <w:trPr>
                <w:trHeight w:val="300"/>
              </w:trPr>
              <w:tc>
                <w:tcPr>
                  <w:tcW w:w="883" w:type="dxa"/>
                  <w:tcBorders>
                    <w:right w:val="single" w:sz="18" w:space="0" w:color="auto"/>
                  </w:tcBorders>
                  <w:shd w:val="clear" w:color="auto" w:fill="auto"/>
                  <w:noWrap/>
                  <w:vAlign w:val="bottom"/>
                  <w:hideMark/>
                </w:tcPr>
                <w:p w14:paraId="3E822EA3"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WVND</w:t>
                  </w:r>
                </w:p>
              </w:tc>
              <w:tc>
                <w:tcPr>
                  <w:tcW w:w="1167" w:type="dxa"/>
                  <w:tcBorders>
                    <w:left w:val="single" w:sz="18" w:space="0" w:color="auto"/>
                  </w:tcBorders>
                  <w:shd w:val="clear" w:color="auto" w:fill="auto"/>
                  <w:noWrap/>
                  <w:vAlign w:val="bottom"/>
                  <w:hideMark/>
                </w:tcPr>
                <w:p w14:paraId="2343FE8E"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7</w:t>
                  </w:r>
                </w:p>
              </w:tc>
              <w:tc>
                <w:tcPr>
                  <w:tcW w:w="1064" w:type="dxa"/>
                  <w:shd w:val="clear" w:color="auto" w:fill="auto"/>
                  <w:noWrap/>
                  <w:vAlign w:val="bottom"/>
                  <w:hideMark/>
                </w:tcPr>
                <w:p w14:paraId="0289512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right w:val="single" w:sz="18" w:space="0" w:color="auto"/>
                  </w:tcBorders>
                  <w:shd w:val="clear" w:color="auto" w:fill="auto"/>
                  <w:noWrap/>
                  <w:vAlign w:val="bottom"/>
                  <w:hideMark/>
                </w:tcPr>
                <w:p w14:paraId="68FBD8AD"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25%</w:t>
                  </w:r>
                </w:p>
              </w:tc>
              <w:tc>
                <w:tcPr>
                  <w:tcW w:w="1211" w:type="dxa"/>
                  <w:tcBorders>
                    <w:left w:val="single" w:sz="18" w:space="0" w:color="auto"/>
                  </w:tcBorders>
                  <w:shd w:val="clear" w:color="auto" w:fill="auto"/>
                  <w:noWrap/>
                  <w:vAlign w:val="bottom"/>
                  <w:hideMark/>
                </w:tcPr>
                <w:p w14:paraId="20B460EF"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984" w:type="dxa"/>
                  <w:shd w:val="clear" w:color="auto" w:fill="auto"/>
                  <w:noWrap/>
                  <w:vAlign w:val="bottom"/>
                  <w:hideMark/>
                </w:tcPr>
                <w:p w14:paraId="42F7738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shd w:val="clear" w:color="auto" w:fill="auto"/>
                  <w:noWrap/>
                  <w:vAlign w:val="bottom"/>
                  <w:hideMark/>
                </w:tcPr>
                <w:p w14:paraId="2A173565"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r>
            <w:tr w:rsidR="005A15D4" w:rsidRPr="00673DF2" w14:paraId="5D60F108" w14:textId="77777777" w:rsidTr="005A15D4">
              <w:trPr>
                <w:trHeight w:val="300"/>
              </w:trPr>
              <w:tc>
                <w:tcPr>
                  <w:tcW w:w="883" w:type="dxa"/>
                  <w:tcBorders>
                    <w:bottom w:val="double" w:sz="6" w:space="0" w:color="auto"/>
                    <w:right w:val="single" w:sz="18" w:space="0" w:color="auto"/>
                  </w:tcBorders>
                  <w:shd w:val="clear" w:color="auto" w:fill="auto"/>
                  <w:noWrap/>
                  <w:vAlign w:val="bottom"/>
                  <w:hideMark/>
                </w:tcPr>
                <w:p w14:paraId="5058F244" w14:textId="77777777" w:rsidR="005A15D4" w:rsidRPr="00995C17" w:rsidRDefault="005A15D4" w:rsidP="005A15D4">
                  <w:pPr>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WY</w:t>
                  </w:r>
                </w:p>
              </w:tc>
              <w:tc>
                <w:tcPr>
                  <w:tcW w:w="1167" w:type="dxa"/>
                  <w:tcBorders>
                    <w:left w:val="single" w:sz="18" w:space="0" w:color="auto"/>
                    <w:bottom w:val="double" w:sz="6" w:space="0" w:color="auto"/>
                  </w:tcBorders>
                  <w:shd w:val="clear" w:color="auto" w:fill="auto"/>
                  <w:noWrap/>
                  <w:vAlign w:val="bottom"/>
                  <w:hideMark/>
                </w:tcPr>
                <w:p w14:paraId="7F52F477"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6</w:t>
                  </w:r>
                </w:p>
              </w:tc>
              <w:tc>
                <w:tcPr>
                  <w:tcW w:w="1064" w:type="dxa"/>
                  <w:tcBorders>
                    <w:bottom w:val="double" w:sz="6" w:space="0" w:color="auto"/>
                  </w:tcBorders>
                  <w:shd w:val="clear" w:color="auto" w:fill="auto"/>
                  <w:noWrap/>
                  <w:vAlign w:val="bottom"/>
                  <w:hideMark/>
                </w:tcPr>
                <w:p w14:paraId="2C796A4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33" w:type="dxa"/>
                  <w:tcBorders>
                    <w:bottom w:val="double" w:sz="6" w:space="0" w:color="auto"/>
                    <w:right w:val="single" w:sz="18" w:space="0" w:color="auto"/>
                  </w:tcBorders>
                  <w:shd w:val="clear" w:color="auto" w:fill="auto"/>
                  <w:noWrap/>
                  <w:vAlign w:val="bottom"/>
                  <w:hideMark/>
                </w:tcPr>
                <w:p w14:paraId="48EFC332"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32%</w:t>
                  </w:r>
                </w:p>
              </w:tc>
              <w:tc>
                <w:tcPr>
                  <w:tcW w:w="1211" w:type="dxa"/>
                  <w:tcBorders>
                    <w:left w:val="single" w:sz="18" w:space="0" w:color="auto"/>
                    <w:bottom w:val="double" w:sz="6" w:space="0" w:color="auto"/>
                  </w:tcBorders>
                  <w:shd w:val="clear" w:color="auto" w:fill="auto"/>
                  <w:noWrap/>
                  <w:vAlign w:val="bottom"/>
                  <w:hideMark/>
                </w:tcPr>
                <w:p w14:paraId="312029F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w:t>
                  </w:r>
                </w:p>
              </w:tc>
              <w:tc>
                <w:tcPr>
                  <w:tcW w:w="984" w:type="dxa"/>
                  <w:tcBorders>
                    <w:bottom w:val="double" w:sz="6" w:space="0" w:color="auto"/>
                  </w:tcBorders>
                  <w:shd w:val="clear" w:color="auto" w:fill="auto"/>
                  <w:noWrap/>
                  <w:vAlign w:val="bottom"/>
                  <w:hideMark/>
                </w:tcPr>
                <w:p w14:paraId="39F773B3"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0%</w:t>
                  </w:r>
                </w:p>
              </w:tc>
              <w:tc>
                <w:tcPr>
                  <w:tcW w:w="1652" w:type="dxa"/>
                  <w:tcBorders>
                    <w:bottom w:val="double" w:sz="6" w:space="0" w:color="auto"/>
                  </w:tcBorders>
                  <w:shd w:val="clear" w:color="auto" w:fill="auto"/>
                  <w:noWrap/>
                  <w:vAlign w:val="bottom"/>
                  <w:hideMark/>
                </w:tcPr>
                <w:p w14:paraId="651E7AFC" w14:textId="77777777" w:rsidR="005A15D4" w:rsidRPr="00995C17" w:rsidRDefault="005A15D4" w:rsidP="005A15D4">
                  <w:pPr>
                    <w:jc w:val="right"/>
                    <w:rPr>
                      <w:rFonts w:ascii="Times New Roman" w:eastAsia="Times New Roman" w:hAnsi="Times New Roman" w:cs="Times New Roman"/>
                      <w:color w:val="000000"/>
                      <w:sz w:val="20"/>
                      <w:szCs w:val="20"/>
                    </w:rPr>
                  </w:pPr>
                  <w:r w:rsidRPr="00995C17">
                    <w:rPr>
                      <w:rFonts w:ascii="Times New Roman" w:eastAsia="Times New Roman" w:hAnsi="Times New Roman" w:cs="Times New Roman"/>
                      <w:color w:val="000000"/>
                      <w:sz w:val="20"/>
                      <w:szCs w:val="20"/>
                    </w:rPr>
                    <w:t>44%</w:t>
                  </w:r>
                </w:p>
              </w:tc>
            </w:tr>
            <w:tr w:rsidR="005A15D4" w:rsidRPr="00673DF2" w14:paraId="08C9DC26" w14:textId="77777777" w:rsidTr="005A15D4">
              <w:trPr>
                <w:trHeight w:val="300"/>
              </w:trPr>
              <w:tc>
                <w:tcPr>
                  <w:tcW w:w="883" w:type="dxa"/>
                  <w:tcBorders>
                    <w:top w:val="double" w:sz="6" w:space="0" w:color="auto"/>
                    <w:right w:val="single" w:sz="18" w:space="0" w:color="auto"/>
                  </w:tcBorders>
                  <w:shd w:val="clear" w:color="auto" w:fill="auto"/>
                  <w:noWrap/>
                  <w:vAlign w:val="bottom"/>
                </w:tcPr>
                <w:p w14:paraId="6B0BB7CA" w14:textId="77777777" w:rsidR="005A15D4" w:rsidRPr="00995C17" w:rsidRDefault="005A15D4" w:rsidP="005A15D4">
                  <w:pPr>
                    <w:rPr>
                      <w:rFonts w:ascii="Times New Roman" w:eastAsia="Times New Roman" w:hAnsi="Times New Roman" w:cs="Times New Roman"/>
                      <w:b/>
                      <w:color w:val="000000"/>
                      <w:sz w:val="20"/>
                      <w:szCs w:val="20"/>
                    </w:rPr>
                  </w:pPr>
                  <w:r w:rsidRPr="00995C17">
                    <w:rPr>
                      <w:rFonts w:ascii="Times New Roman" w:eastAsia="Times New Roman" w:hAnsi="Times New Roman" w:cs="Times New Roman"/>
                      <w:b/>
                      <w:color w:val="000000"/>
                      <w:sz w:val="20"/>
                      <w:szCs w:val="20"/>
                    </w:rPr>
                    <w:t>Total</w:t>
                  </w:r>
                </w:p>
              </w:tc>
              <w:tc>
                <w:tcPr>
                  <w:tcW w:w="1167" w:type="dxa"/>
                  <w:tcBorders>
                    <w:top w:val="double" w:sz="6" w:space="0" w:color="auto"/>
                    <w:left w:val="single" w:sz="18" w:space="0" w:color="auto"/>
                  </w:tcBorders>
                  <w:shd w:val="clear" w:color="auto" w:fill="auto"/>
                  <w:noWrap/>
                  <w:vAlign w:val="bottom"/>
                </w:tcPr>
                <w:p w14:paraId="3B96B233" w14:textId="77777777" w:rsidR="005A15D4" w:rsidRPr="00995C17" w:rsidRDefault="005A15D4" w:rsidP="005A15D4">
                  <w:pPr>
                    <w:jc w:val="center"/>
                    <w:rPr>
                      <w:rFonts w:ascii="Times New Roman" w:eastAsia="Times New Roman" w:hAnsi="Times New Roman" w:cs="Times New Roman"/>
                      <w:b/>
                      <w:color w:val="000000"/>
                      <w:sz w:val="20"/>
                      <w:szCs w:val="20"/>
                    </w:rPr>
                  </w:pPr>
                  <w:r w:rsidRPr="00995C17">
                    <w:rPr>
                      <w:rFonts w:ascii="Times New Roman" w:eastAsia="Times New Roman" w:hAnsi="Times New Roman" w:cs="Times New Roman"/>
                      <w:b/>
                      <w:color w:val="000000"/>
                      <w:sz w:val="20"/>
                      <w:szCs w:val="20"/>
                    </w:rPr>
                    <w:t>4049</w:t>
                  </w:r>
                </w:p>
              </w:tc>
              <w:tc>
                <w:tcPr>
                  <w:tcW w:w="1064" w:type="dxa"/>
                  <w:tcBorders>
                    <w:top w:val="double" w:sz="6" w:space="0" w:color="auto"/>
                  </w:tcBorders>
                  <w:shd w:val="clear" w:color="auto" w:fill="auto"/>
                  <w:noWrap/>
                  <w:vAlign w:val="bottom"/>
                </w:tcPr>
                <w:p w14:paraId="1F3F2512" w14:textId="77777777" w:rsidR="005A15D4" w:rsidRPr="00995C17" w:rsidRDefault="005A15D4" w:rsidP="005A15D4">
                  <w:pPr>
                    <w:jc w:val="center"/>
                    <w:rPr>
                      <w:rFonts w:ascii="Times New Roman" w:eastAsia="Times New Roman" w:hAnsi="Times New Roman" w:cs="Times New Roman"/>
                      <w:b/>
                      <w:color w:val="000000"/>
                      <w:sz w:val="20"/>
                      <w:szCs w:val="20"/>
                    </w:rPr>
                  </w:pPr>
                </w:p>
              </w:tc>
              <w:tc>
                <w:tcPr>
                  <w:tcW w:w="1633" w:type="dxa"/>
                  <w:tcBorders>
                    <w:top w:val="double" w:sz="6" w:space="0" w:color="auto"/>
                    <w:right w:val="single" w:sz="18" w:space="0" w:color="auto"/>
                  </w:tcBorders>
                  <w:shd w:val="clear" w:color="auto" w:fill="auto"/>
                  <w:noWrap/>
                  <w:vAlign w:val="bottom"/>
                </w:tcPr>
                <w:p w14:paraId="547DF582" w14:textId="77777777" w:rsidR="005A15D4" w:rsidRPr="00995C17" w:rsidRDefault="005A15D4" w:rsidP="005A15D4">
                  <w:pPr>
                    <w:jc w:val="center"/>
                    <w:rPr>
                      <w:rFonts w:ascii="Times New Roman" w:eastAsia="Times New Roman" w:hAnsi="Times New Roman" w:cs="Times New Roman"/>
                      <w:b/>
                      <w:color w:val="000000"/>
                      <w:sz w:val="20"/>
                      <w:szCs w:val="20"/>
                    </w:rPr>
                  </w:pPr>
                </w:p>
              </w:tc>
              <w:tc>
                <w:tcPr>
                  <w:tcW w:w="1211" w:type="dxa"/>
                  <w:tcBorders>
                    <w:top w:val="double" w:sz="6" w:space="0" w:color="auto"/>
                    <w:left w:val="single" w:sz="18" w:space="0" w:color="auto"/>
                  </w:tcBorders>
                  <w:shd w:val="clear" w:color="auto" w:fill="auto"/>
                  <w:noWrap/>
                  <w:vAlign w:val="bottom"/>
                </w:tcPr>
                <w:p w14:paraId="7F40717C" w14:textId="77777777" w:rsidR="005A15D4" w:rsidRPr="00995C17" w:rsidRDefault="005A15D4" w:rsidP="005A15D4">
                  <w:pPr>
                    <w:jc w:val="center"/>
                    <w:rPr>
                      <w:rFonts w:ascii="Times New Roman" w:eastAsia="Times New Roman" w:hAnsi="Times New Roman" w:cs="Times New Roman"/>
                      <w:b/>
                      <w:color w:val="000000"/>
                      <w:sz w:val="20"/>
                      <w:szCs w:val="20"/>
                    </w:rPr>
                  </w:pPr>
                  <w:r w:rsidRPr="00995C17">
                    <w:rPr>
                      <w:rFonts w:ascii="Times New Roman" w:eastAsia="Times New Roman" w:hAnsi="Times New Roman" w:cs="Times New Roman"/>
                      <w:b/>
                      <w:color w:val="000000"/>
                      <w:sz w:val="20"/>
                      <w:szCs w:val="20"/>
                    </w:rPr>
                    <w:t>2617</w:t>
                  </w:r>
                </w:p>
              </w:tc>
              <w:tc>
                <w:tcPr>
                  <w:tcW w:w="984" w:type="dxa"/>
                  <w:tcBorders>
                    <w:top w:val="double" w:sz="6" w:space="0" w:color="auto"/>
                  </w:tcBorders>
                  <w:shd w:val="clear" w:color="auto" w:fill="auto"/>
                  <w:noWrap/>
                  <w:vAlign w:val="bottom"/>
                </w:tcPr>
                <w:p w14:paraId="664EAC83" w14:textId="77777777" w:rsidR="005A15D4" w:rsidRPr="00995C17" w:rsidRDefault="005A15D4" w:rsidP="005A15D4">
                  <w:pPr>
                    <w:jc w:val="right"/>
                    <w:rPr>
                      <w:rFonts w:ascii="Times New Roman" w:eastAsia="Times New Roman" w:hAnsi="Times New Roman" w:cs="Times New Roman"/>
                      <w:color w:val="000000"/>
                      <w:sz w:val="20"/>
                      <w:szCs w:val="20"/>
                    </w:rPr>
                  </w:pPr>
                </w:p>
              </w:tc>
              <w:tc>
                <w:tcPr>
                  <w:tcW w:w="1652" w:type="dxa"/>
                  <w:tcBorders>
                    <w:top w:val="double" w:sz="6" w:space="0" w:color="auto"/>
                  </w:tcBorders>
                  <w:shd w:val="clear" w:color="auto" w:fill="auto"/>
                  <w:noWrap/>
                  <w:vAlign w:val="bottom"/>
                </w:tcPr>
                <w:p w14:paraId="733D1134" w14:textId="77777777" w:rsidR="005A15D4" w:rsidRPr="00995C17" w:rsidRDefault="005A15D4" w:rsidP="005A15D4">
                  <w:pPr>
                    <w:jc w:val="right"/>
                    <w:rPr>
                      <w:rFonts w:ascii="Times New Roman" w:eastAsia="Times New Roman" w:hAnsi="Times New Roman" w:cs="Times New Roman"/>
                      <w:color w:val="000000"/>
                      <w:sz w:val="20"/>
                      <w:szCs w:val="20"/>
                    </w:rPr>
                  </w:pPr>
                </w:p>
              </w:tc>
            </w:tr>
          </w:tbl>
          <w:p w14:paraId="430F52C7" w14:textId="77777777" w:rsidR="005A15D4" w:rsidRPr="00910805" w:rsidRDefault="005A15D4" w:rsidP="005A15D4">
            <w:pPr>
              <w:rPr>
                <w:rFonts w:ascii="Times New Roman" w:hAnsi="Times New Roman" w:cs="Times New Roman"/>
                <w:sz w:val="20"/>
                <w:szCs w:val="20"/>
              </w:rPr>
            </w:pPr>
          </w:p>
        </w:tc>
      </w:tr>
    </w:tbl>
    <w:p w14:paraId="3E706463" w14:textId="2F1C8969" w:rsidR="009E554A" w:rsidRDefault="009E554A" w:rsidP="008373AC">
      <w:pPr>
        <w:spacing w:line="480" w:lineRule="auto"/>
        <w:rPr>
          <w:rFonts w:ascii="Times New Roman" w:hAnsi="Times New Roman" w:cs="Times New Roman"/>
          <w:i/>
        </w:rPr>
      </w:pPr>
    </w:p>
    <w:p w14:paraId="11456ABD" w14:textId="77777777" w:rsidR="005D3F00" w:rsidRDefault="009E554A" w:rsidP="008373AC">
      <w:pPr>
        <w:spacing w:line="480" w:lineRule="auto"/>
        <w:rPr>
          <w:rFonts w:ascii="Times New Roman" w:hAnsi="Times New Roman" w:cs="Times New Roman"/>
          <w:i/>
        </w:rPr>
      </w:pPr>
      <w:r>
        <w:rPr>
          <w:rFonts w:ascii="Times New Roman" w:hAnsi="Times New Roman" w:cs="Times New Roman"/>
          <w:i/>
        </w:rPr>
        <w:br w:type="column"/>
      </w:r>
    </w:p>
    <w:p w14:paraId="4507835A" w14:textId="66F3470B" w:rsidR="00023FDE" w:rsidRPr="00B9288D" w:rsidRDefault="001411EF" w:rsidP="00B9288D">
      <w:pPr>
        <w:spacing w:line="480" w:lineRule="auto"/>
        <w:jc w:val="center"/>
        <w:rPr>
          <w:rFonts w:ascii="Times New Roman" w:hAnsi="Times New Roman" w:cs="Times New Roman"/>
          <w:b/>
        </w:rPr>
      </w:pPr>
      <w:r w:rsidRPr="00B9288D">
        <w:rPr>
          <w:rFonts w:ascii="Times New Roman" w:hAnsi="Times New Roman" w:cs="Times New Roman"/>
          <w:b/>
        </w:rPr>
        <w:t>Appendix B</w:t>
      </w:r>
      <w:r w:rsidR="009E554A">
        <w:rPr>
          <w:rFonts w:ascii="Times New Roman" w:hAnsi="Times New Roman" w:cs="Times New Roman"/>
          <w:b/>
        </w:rPr>
        <w:t>: Impact of APR on Chapter Choice</w:t>
      </w:r>
    </w:p>
    <w:p w14:paraId="7F06A7E7" w14:textId="7766F0CF" w:rsidR="002577D6" w:rsidRDefault="002577D6" w:rsidP="00003007">
      <w:pPr>
        <w:spacing w:line="480" w:lineRule="auto"/>
        <w:ind w:firstLine="720"/>
      </w:pPr>
      <w:r>
        <w:rPr>
          <w:rFonts w:ascii="Times New Roman" w:hAnsi="Times New Roman" w:cs="Times New Roman"/>
        </w:rPr>
        <w:t>In Section IV, we examined the impact of the exception to the absolute priority rule on survival and plan-confirmation rates. That analysis was limited to cases in which the debtor already had chosen to file for relief under chapter 11. A jurisdiction’s precedent interpreting the APR exception in individual cases, however, may affect not only survival and confirmation rates for cases in chapter 11, but also debtors’ decisions whether to file for relief under chapter 11</w:t>
      </w:r>
      <w:r w:rsidR="009629EF">
        <w:rPr>
          <w:rFonts w:ascii="Times New Roman" w:hAnsi="Times New Roman" w:cs="Times New Roman"/>
        </w:rPr>
        <w:t xml:space="preserve"> in the first place</w:t>
      </w:r>
      <w:r>
        <w:rPr>
          <w:rFonts w:ascii="Times New Roman" w:hAnsi="Times New Roman" w:cs="Times New Roman"/>
        </w:rPr>
        <w:t>. Therefore, in t</w:t>
      </w:r>
      <w:r w:rsidR="00185A0F">
        <w:rPr>
          <w:rFonts w:ascii="Times New Roman" w:hAnsi="Times New Roman" w:cs="Times New Roman"/>
        </w:rPr>
        <w:t>his appendix</w:t>
      </w:r>
      <w:r>
        <w:rPr>
          <w:rFonts w:ascii="Times New Roman" w:hAnsi="Times New Roman" w:cs="Times New Roman"/>
        </w:rPr>
        <w:t>, we</w:t>
      </w:r>
      <w:r w:rsidR="00185A0F">
        <w:rPr>
          <w:rFonts w:ascii="Times New Roman" w:hAnsi="Times New Roman" w:cs="Times New Roman"/>
        </w:rPr>
        <w:t xml:space="preserve"> estimat</w:t>
      </w:r>
      <w:r w:rsidR="0091115D">
        <w:rPr>
          <w:rFonts w:ascii="Times New Roman" w:hAnsi="Times New Roman" w:cs="Times New Roman"/>
        </w:rPr>
        <w:t>e</w:t>
      </w:r>
      <w:r w:rsidR="00185A0F">
        <w:rPr>
          <w:rFonts w:ascii="Times New Roman" w:hAnsi="Times New Roman" w:cs="Times New Roman"/>
        </w:rPr>
        <w:t xml:space="preserve"> the effects of the absolute priority rule on the individual debtor’s choice of chapter.</w:t>
      </w:r>
      <w:r w:rsidR="001411EF" w:rsidRPr="001411EF">
        <w:t xml:space="preserve"> </w:t>
      </w:r>
    </w:p>
    <w:p w14:paraId="77D9A8CC" w14:textId="32B5AC50" w:rsidR="001411EF" w:rsidRDefault="001411EF" w:rsidP="00003007">
      <w:pPr>
        <w:spacing w:line="480" w:lineRule="auto"/>
        <w:ind w:firstLine="720"/>
      </w:pPr>
      <w:r>
        <w:t xml:space="preserve">A more vigorous absolute priority rule for individuals in chapter 11 could cause some debtors to choose a different chapter or forego bankruptcy entirely. We test this hypothesis using a fixed effects regression that makes use of the timing of legal opinions and data from the Administrative Office of the U.S. Courts. The AO does not publish the number of individual </w:t>
      </w:r>
      <w:r w:rsidR="006174EC">
        <w:t>chapter 11</w:t>
      </w:r>
      <w:r>
        <w:t xml:space="preserve"> filings,</w:t>
      </w:r>
      <w:r>
        <w:rPr>
          <w:rStyle w:val="FootnoteReference"/>
        </w:rPr>
        <w:footnoteReference w:id="330"/>
      </w:r>
      <w:r>
        <w:t xml:space="preserve"> but it does report the number of non-business </w:t>
      </w:r>
      <w:r w:rsidR="006174EC">
        <w:t>chapter 11</w:t>
      </w:r>
      <w:r w:rsidR="003618A6">
        <w:t xml:space="preserve"> case</w:t>
      </w:r>
      <w:r>
        <w:t>s by chapter, district, and quarter. We use the reports for the first quarter of 2006 through the first quarter of 2016.</w:t>
      </w:r>
      <w:r>
        <w:rPr>
          <w:rStyle w:val="FootnoteReference"/>
        </w:rPr>
        <w:footnoteReference w:id="331"/>
      </w:r>
      <w:r>
        <w:t xml:space="preserve"> An analysis of our 2010 and 2013 filings data suggests that a little more than half (55%) of individuals in </w:t>
      </w:r>
      <w:r w:rsidR="006174EC">
        <w:t>chapter 11</w:t>
      </w:r>
      <w:r>
        <w:t xml:space="preserve"> report that their debts are primarily non-business debts</w:t>
      </w:r>
      <w:r w:rsidR="003618A6">
        <w:t>. A</w:t>
      </w:r>
      <w:r>
        <w:t xml:space="preserve">ll of the non-business </w:t>
      </w:r>
      <w:r w:rsidR="006174EC">
        <w:t>chapter 11</w:t>
      </w:r>
      <w:r w:rsidR="003618A6">
        <w:t xml:space="preserve"> case</w:t>
      </w:r>
      <w:r>
        <w:t xml:space="preserve">s are filed by individuals and only 15% of business </w:t>
      </w:r>
      <w:r w:rsidR="006174EC">
        <w:t>chapter 11</w:t>
      </w:r>
      <w:r w:rsidR="003618A6">
        <w:t xml:space="preserve"> case</w:t>
      </w:r>
      <w:r>
        <w:t>s were filed by individuals. We</w:t>
      </w:r>
      <w:r w:rsidR="003618A6">
        <w:t>,</w:t>
      </w:r>
      <w:r>
        <w:t xml:space="preserve"> therefore</w:t>
      </w:r>
      <w:r w:rsidR="003618A6">
        <w:t>,</w:t>
      </w:r>
      <w:r>
        <w:t xml:space="preserve"> use the number of non-business </w:t>
      </w:r>
      <w:r w:rsidR="006174EC">
        <w:t>chapter 11</w:t>
      </w:r>
      <w:r>
        <w:t xml:space="preserve">s as a proxy for the number of individual </w:t>
      </w:r>
      <w:r w:rsidR="006174EC">
        <w:t>chapter 11</w:t>
      </w:r>
      <w:r>
        <w:t xml:space="preserve">s. More specifically, our dependent variable is the percentage of non-business bankruptcies filed in </w:t>
      </w:r>
      <w:r w:rsidR="006174EC">
        <w:t>chapter 11</w:t>
      </w:r>
      <w:r>
        <w:t xml:space="preserve"> (100* non-business </w:t>
      </w:r>
      <w:r w:rsidR="006174EC">
        <w:t>chapter 11</w:t>
      </w:r>
      <w:r>
        <w:t>/ total non-business bankruptcies).</w:t>
      </w:r>
    </w:p>
    <w:p w14:paraId="742D86FA" w14:textId="684B7192" w:rsidR="001411EF" w:rsidRDefault="001411EF" w:rsidP="00003007">
      <w:pPr>
        <w:spacing w:line="480" w:lineRule="auto"/>
        <w:ind w:firstLine="720"/>
      </w:pPr>
      <w:r>
        <w:t xml:space="preserve">All regressions take the following form: </w:t>
      </w:r>
      <m:oMath>
        <m:sSub>
          <m:sSubPr>
            <m:ctrlPr>
              <w:rPr>
                <w:rFonts w:ascii="Cambria Math" w:hAnsi="Cambria Math"/>
                <w:i/>
              </w:rPr>
            </m:ctrlPr>
          </m:sSubPr>
          <m:e>
            <m:r>
              <w:rPr>
                <w:rFonts w:ascii="Cambria Math" w:hAnsi="Cambria Math"/>
              </w:rPr>
              <m:t>y</m:t>
            </m:r>
          </m:e>
          <m:sub>
            <m:r>
              <w:rPr>
                <w:rFonts w:ascii="Cambria Math" w:hAnsi="Cambria Math"/>
              </w:rPr>
              <m:t>dq</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Legal+</m:t>
        </m:r>
        <m:sSub>
          <m:sSubPr>
            <m:ctrlPr>
              <w:rPr>
                <w:rFonts w:ascii="Cambria Math" w:hAnsi="Cambria Math"/>
                <w:i/>
              </w:rPr>
            </m:ctrlPr>
          </m:sSubPr>
          <m:e>
            <m:r>
              <w:rPr>
                <w:rFonts w:ascii="Cambria Math" w:hAnsi="Cambria Math"/>
              </w:rPr>
              <m:t>μ</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q</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dq</m:t>
            </m:r>
          </m:sub>
        </m:sSub>
      </m:oMath>
      <w:r>
        <w:t xml:space="preserve"> Fixed district effects, </w:t>
      </w:r>
      <w:r w:rsidRPr="00F05BB8">
        <w:rPr>
          <w:rFonts w:ascii="Cambria" w:hAnsi="Cambria"/>
        </w:rPr>
        <w:t>μ</w:t>
      </w:r>
      <w:r>
        <w:t xml:space="preserve">, control for differences between districts that are constant across time, and fixed quarter effects, </w:t>
      </w:r>
      <w:r w:rsidRPr="00F05BB8">
        <w:rPr>
          <w:rFonts w:ascii="Cambria" w:hAnsi="Cambria"/>
        </w:rPr>
        <w:t>λ</w:t>
      </w:r>
      <w:r>
        <w:t>, control for differences across time that are constant across districts. We do not include macroeconomic controls because they are not available at the district level for the most recent quarters. Our chosen dependent variable may make the</w:t>
      </w:r>
      <w:r w:rsidR="004E4EC0">
        <w:t>se controls</w:t>
      </w:r>
      <w:r>
        <w:t xml:space="preserve"> necessary if an economic downturn affects the number of filings in the various chapters proportionally.</w:t>
      </w:r>
    </w:p>
    <w:p w14:paraId="42E77399" w14:textId="5D708D0F" w:rsidR="004E4EC0" w:rsidRDefault="004E4EC0" w:rsidP="00003007">
      <w:pPr>
        <w:spacing w:line="480" w:lineRule="auto"/>
        <w:ind w:firstLine="720"/>
      </w:pPr>
      <w:r>
        <w:t>We adopt the same legal measures that we used in Section IV with one important exception. In Section IV</w:t>
      </w:r>
      <w:r w:rsidR="009E554A">
        <w:t>,</w:t>
      </w:r>
      <w:r>
        <w:t xml:space="preserve"> we </w:t>
      </w:r>
      <w:r w:rsidR="00D95FFC">
        <w:t>used</w:t>
      </w:r>
      <w:r>
        <w:t xml:space="preserve"> </w:t>
      </w:r>
      <w:r w:rsidR="00D95FFC">
        <w:t xml:space="preserve">the </w:t>
      </w:r>
      <w:r>
        <w:t xml:space="preserve">interpretation </w:t>
      </w:r>
      <w:r w:rsidR="00D95FFC">
        <w:t xml:space="preserve">in place </w:t>
      </w:r>
      <w:r>
        <w:t>six months after the filing of the debtor’s petition because most debtors will wait several</w:t>
      </w:r>
      <w:r w:rsidR="00D9767A">
        <w:t xml:space="preserve"> months to propose their plan. </w:t>
      </w:r>
      <w:r w:rsidR="0075317C">
        <w:t xml:space="preserve">Here, </w:t>
      </w:r>
      <w:r>
        <w:t xml:space="preserve">we </w:t>
      </w:r>
      <w:r w:rsidR="003618A6">
        <w:t xml:space="preserve">focus </w:t>
      </w:r>
      <w:r>
        <w:t>on the filing decision</w:t>
      </w:r>
      <w:r w:rsidR="003618A6">
        <w:t>; thus,</w:t>
      </w:r>
      <w:r>
        <w:t xml:space="preserve"> we assume that precedents have an immediate effect.</w:t>
      </w:r>
      <w:r>
        <w:rPr>
          <w:rStyle w:val="FootnoteReference"/>
        </w:rPr>
        <w:footnoteReference w:id="332"/>
      </w:r>
      <w:r>
        <w:t xml:space="preserve">  </w:t>
      </w:r>
    </w:p>
    <w:p w14:paraId="016157C1" w14:textId="77777777" w:rsidR="00F70B83" w:rsidRPr="00003007" w:rsidRDefault="00F70B83" w:rsidP="00F70B83">
      <w:pPr>
        <w:spacing w:line="480" w:lineRule="auto"/>
        <w:ind w:firstLine="360"/>
        <w:jc w:val="center"/>
        <w:rPr>
          <w:b/>
        </w:rPr>
      </w:pPr>
      <w:r w:rsidRPr="00003007">
        <w:rPr>
          <w:b/>
        </w:rPr>
        <w:t>Table 5</w:t>
      </w:r>
      <w:r>
        <w:rPr>
          <w:b/>
        </w:rPr>
        <w:t>9: Impact of APR on Chapter Choice</w:t>
      </w:r>
    </w:p>
    <w:tbl>
      <w:tblPr>
        <w:tblStyle w:val="TableGrid"/>
        <w:tblW w:w="0" w:type="auto"/>
        <w:tblLook w:val="04A0" w:firstRow="1" w:lastRow="0" w:firstColumn="1" w:lastColumn="0" w:noHBand="0" w:noVBand="1"/>
      </w:tblPr>
      <w:tblGrid>
        <w:gridCol w:w="4384"/>
        <w:gridCol w:w="1360"/>
        <w:gridCol w:w="2850"/>
      </w:tblGrid>
      <w:tr w:rsidR="00F70B83" w14:paraId="2BDD957E" w14:textId="77777777" w:rsidTr="00560FBA">
        <w:tc>
          <w:tcPr>
            <w:tcW w:w="4518" w:type="dxa"/>
            <w:tcBorders>
              <w:top w:val="single" w:sz="18" w:space="0" w:color="auto"/>
              <w:left w:val="single" w:sz="18" w:space="0" w:color="auto"/>
              <w:bottom w:val="single" w:sz="18" w:space="0" w:color="auto"/>
              <w:right w:val="single" w:sz="18" w:space="0" w:color="auto"/>
            </w:tcBorders>
          </w:tcPr>
          <w:p w14:paraId="0E702922" w14:textId="77777777" w:rsidR="00F70B83" w:rsidRPr="00B63C30" w:rsidRDefault="00F70B83" w:rsidP="00560FBA">
            <w:pPr>
              <w:rPr>
                <w:b/>
              </w:rPr>
            </w:pPr>
            <w:r w:rsidRPr="00B63C30">
              <w:rPr>
                <w:b/>
              </w:rPr>
              <w:t>Variable</w:t>
            </w:r>
          </w:p>
        </w:tc>
        <w:tc>
          <w:tcPr>
            <w:tcW w:w="1386" w:type="dxa"/>
            <w:tcBorders>
              <w:top w:val="single" w:sz="18" w:space="0" w:color="auto"/>
              <w:left w:val="single" w:sz="18" w:space="0" w:color="auto"/>
              <w:bottom w:val="single" w:sz="18" w:space="0" w:color="auto"/>
              <w:right w:val="single" w:sz="18" w:space="0" w:color="auto"/>
            </w:tcBorders>
          </w:tcPr>
          <w:p w14:paraId="7FE6C2A8" w14:textId="77777777" w:rsidR="00F70B83" w:rsidRPr="00B63C30" w:rsidRDefault="00F70B83" w:rsidP="00560FBA">
            <w:pPr>
              <w:rPr>
                <w:b/>
              </w:rPr>
            </w:pPr>
            <w:r w:rsidRPr="00B63C30">
              <w:rPr>
                <w:b/>
              </w:rPr>
              <w:t>Mean</w:t>
            </w:r>
          </w:p>
        </w:tc>
        <w:tc>
          <w:tcPr>
            <w:tcW w:w="2952" w:type="dxa"/>
            <w:tcBorders>
              <w:top w:val="single" w:sz="18" w:space="0" w:color="auto"/>
              <w:left w:val="single" w:sz="18" w:space="0" w:color="auto"/>
              <w:bottom w:val="single" w:sz="18" w:space="0" w:color="auto"/>
              <w:right w:val="single" w:sz="18" w:space="0" w:color="auto"/>
            </w:tcBorders>
          </w:tcPr>
          <w:p w14:paraId="52C6B369" w14:textId="77777777" w:rsidR="00F70B83" w:rsidRPr="00B63C30" w:rsidRDefault="00F70B83" w:rsidP="00560FBA">
            <w:pPr>
              <w:rPr>
                <w:b/>
              </w:rPr>
            </w:pPr>
            <w:r w:rsidRPr="00B63C30">
              <w:rPr>
                <w:b/>
              </w:rPr>
              <w:t>Std. Dev</w:t>
            </w:r>
          </w:p>
        </w:tc>
      </w:tr>
      <w:tr w:rsidR="00F70B83" w14:paraId="41199B67" w14:textId="77777777" w:rsidTr="00560FBA">
        <w:tc>
          <w:tcPr>
            <w:tcW w:w="4518" w:type="dxa"/>
            <w:tcBorders>
              <w:top w:val="single" w:sz="18" w:space="0" w:color="auto"/>
              <w:left w:val="single" w:sz="18" w:space="0" w:color="auto"/>
              <w:right w:val="single" w:sz="18" w:space="0" w:color="auto"/>
            </w:tcBorders>
          </w:tcPr>
          <w:p w14:paraId="6EBCCE26" w14:textId="77777777" w:rsidR="00F70B83" w:rsidRDefault="00F70B83" w:rsidP="00560FBA">
            <w:r>
              <w:t>Broad</w:t>
            </w:r>
          </w:p>
        </w:tc>
        <w:tc>
          <w:tcPr>
            <w:tcW w:w="1386" w:type="dxa"/>
            <w:tcBorders>
              <w:top w:val="single" w:sz="18" w:space="0" w:color="auto"/>
              <w:left w:val="single" w:sz="18" w:space="0" w:color="auto"/>
              <w:right w:val="single" w:sz="18" w:space="0" w:color="auto"/>
            </w:tcBorders>
          </w:tcPr>
          <w:p w14:paraId="5C3D7DAA" w14:textId="77777777" w:rsidR="00F70B83" w:rsidRDefault="00F70B83" w:rsidP="00560FBA">
            <w:r>
              <w:t>.066</w:t>
            </w:r>
          </w:p>
        </w:tc>
        <w:tc>
          <w:tcPr>
            <w:tcW w:w="2952" w:type="dxa"/>
            <w:tcBorders>
              <w:top w:val="single" w:sz="18" w:space="0" w:color="auto"/>
              <w:left w:val="single" w:sz="18" w:space="0" w:color="auto"/>
              <w:right w:val="single" w:sz="18" w:space="0" w:color="auto"/>
            </w:tcBorders>
          </w:tcPr>
          <w:p w14:paraId="3E0AD852" w14:textId="77777777" w:rsidR="00F70B83" w:rsidRDefault="00F70B83" w:rsidP="00560FBA">
            <w:r>
              <w:t>.245</w:t>
            </w:r>
          </w:p>
        </w:tc>
      </w:tr>
      <w:tr w:rsidR="00F70B83" w14:paraId="5C979E08" w14:textId="77777777" w:rsidTr="00560FBA">
        <w:tc>
          <w:tcPr>
            <w:tcW w:w="4518" w:type="dxa"/>
            <w:tcBorders>
              <w:left w:val="single" w:sz="18" w:space="0" w:color="auto"/>
              <w:right w:val="single" w:sz="18" w:space="0" w:color="auto"/>
            </w:tcBorders>
          </w:tcPr>
          <w:p w14:paraId="0E6BA18D" w14:textId="77777777" w:rsidR="00F70B83" w:rsidRDefault="00F70B83" w:rsidP="00560FBA">
            <w:r>
              <w:t>Narrow</w:t>
            </w:r>
          </w:p>
        </w:tc>
        <w:tc>
          <w:tcPr>
            <w:tcW w:w="1386" w:type="dxa"/>
            <w:tcBorders>
              <w:left w:val="single" w:sz="18" w:space="0" w:color="auto"/>
              <w:right w:val="single" w:sz="18" w:space="0" w:color="auto"/>
            </w:tcBorders>
          </w:tcPr>
          <w:p w14:paraId="52215D9C" w14:textId="77777777" w:rsidR="00F70B83" w:rsidRDefault="00F70B83" w:rsidP="00560FBA">
            <w:r>
              <w:t>.163</w:t>
            </w:r>
          </w:p>
        </w:tc>
        <w:tc>
          <w:tcPr>
            <w:tcW w:w="2952" w:type="dxa"/>
            <w:tcBorders>
              <w:left w:val="single" w:sz="18" w:space="0" w:color="auto"/>
              <w:right w:val="single" w:sz="18" w:space="0" w:color="auto"/>
            </w:tcBorders>
          </w:tcPr>
          <w:p w14:paraId="65111D22" w14:textId="77777777" w:rsidR="00F70B83" w:rsidRDefault="00F70B83" w:rsidP="00560FBA">
            <w:r>
              <w:t>.364</w:t>
            </w:r>
          </w:p>
        </w:tc>
      </w:tr>
      <w:tr w:rsidR="00F70B83" w14:paraId="021E84DE" w14:textId="77777777" w:rsidTr="00560FBA">
        <w:tc>
          <w:tcPr>
            <w:tcW w:w="4518" w:type="dxa"/>
            <w:tcBorders>
              <w:left w:val="single" w:sz="18" w:space="0" w:color="auto"/>
              <w:right w:val="single" w:sz="18" w:space="0" w:color="auto"/>
            </w:tcBorders>
          </w:tcPr>
          <w:p w14:paraId="3F967C56" w14:textId="77777777" w:rsidR="00F70B83" w:rsidRDefault="00F70B83" w:rsidP="00560FBA">
            <w:r>
              <w:t>Broad Circuit</w:t>
            </w:r>
          </w:p>
        </w:tc>
        <w:tc>
          <w:tcPr>
            <w:tcW w:w="1386" w:type="dxa"/>
            <w:tcBorders>
              <w:left w:val="single" w:sz="18" w:space="0" w:color="auto"/>
              <w:right w:val="single" w:sz="18" w:space="0" w:color="auto"/>
            </w:tcBorders>
          </w:tcPr>
          <w:p w14:paraId="0B2CCA82" w14:textId="77777777" w:rsidR="00F70B83" w:rsidRDefault="00F70B83" w:rsidP="00560FBA"/>
          <w:p w14:paraId="506199D8" w14:textId="77777777" w:rsidR="00F70B83" w:rsidRDefault="00F70B83" w:rsidP="00560FBA">
            <w:r>
              <w:t>.042</w:t>
            </w:r>
          </w:p>
        </w:tc>
        <w:tc>
          <w:tcPr>
            <w:tcW w:w="2952" w:type="dxa"/>
            <w:tcBorders>
              <w:left w:val="single" w:sz="18" w:space="0" w:color="auto"/>
              <w:right w:val="single" w:sz="18" w:space="0" w:color="auto"/>
            </w:tcBorders>
          </w:tcPr>
          <w:p w14:paraId="4B57CB49" w14:textId="77777777" w:rsidR="00F70B83" w:rsidRDefault="00F70B83" w:rsidP="00560FBA">
            <w:r>
              <w:t>.198</w:t>
            </w:r>
          </w:p>
        </w:tc>
      </w:tr>
      <w:tr w:rsidR="00F70B83" w14:paraId="13C6750B" w14:textId="77777777" w:rsidTr="00560FBA">
        <w:tc>
          <w:tcPr>
            <w:tcW w:w="4518" w:type="dxa"/>
            <w:tcBorders>
              <w:left w:val="single" w:sz="18" w:space="0" w:color="auto"/>
              <w:right w:val="single" w:sz="18" w:space="0" w:color="auto"/>
            </w:tcBorders>
          </w:tcPr>
          <w:p w14:paraId="67DBE7DA" w14:textId="77777777" w:rsidR="00F70B83" w:rsidRDefault="00F70B83" w:rsidP="00560FBA">
            <w:r>
              <w:t>Narrow Circuit</w:t>
            </w:r>
          </w:p>
        </w:tc>
        <w:tc>
          <w:tcPr>
            <w:tcW w:w="1386" w:type="dxa"/>
            <w:tcBorders>
              <w:left w:val="single" w:sz="18" w:space="0" w:color="auto"/>
              <w:right w:val="single" w:sz="18" w:space="0" w:color="auto"/>
            </w:tcBorders>
          </w:tcPr>
          <w:p w14:paraId="7A5A80AB" w14:textId="77777777" w:rsidR="00F70B83" w:rsidRDefault="00F70B83" w:rsidP="00560FBA">
            <w:r>
              <w:t>.118</w:t>
            </w:r>
          </w:p>
        </w:tc>
        <w:tc>
          <w:tcPr>
            <w:tcW w:w="2952" w:type="dxa"/>
            <w:tcBorders>
              <w:left w:val="single" w:sz="18" w:space="0" w:color="auto"/>
              <w:right w:val="single" w:sz="18" w:space="0" w:color="auto"/>
            </w:tcBorders>
          </w:tcPr>
          <w:p w14:paraId="7D07153B" w14:textId="77777777" w:rsidR="00F70B83" w:rsidRDefault="00F70B83" w:rsidP="00560FBA">
            <w:r>
              <w:t>.319</w:t>
            </w:r>
          </w:p>
        </w:tc>
      </w:tr>
      <w:tr w:rsidR="00F70B83" w14:paraId="12EA4F44" w14:textId="77777777" w:rsidTr="00560FBA">
        <w:tc>
          <w:tcPr>
            <w:tcW w:w="4518" w:type="dxa"/>
            <w:tcBorders>
              <w:left w:val="single" w:sz="18" w:space="0" w:color="auto"/>
              <w:bottom w:val="triple" w:sz="4" w:space="0" w:color="auto"/>
              <w:right w:val="single" w:sz="18" w:space="0" w:color="auto"/>
            </w:tcBorders>
          </w:tcPr>
          <w:p w14:paraId="3F84DD2B" w14:textId="77777777" w:rsidR="00F70B83" w:rsidRDefault="00F70B83" w:rsidP="00560FBA">
            <w:r>
              <w:t>Ch11p (% non-business bankruptcies filed in chapter 11)</w:t>
            </w:r>
          </w:p>
        </w:tc>
        <w:tc>
          <w:tcPr>
            <w:tcW w:w="1386" w:type="dxa"/>
            <w:tcBorders>
              <w:left w:val="single" w:sz="18" w:space="0" w:color="auto"/>
              <w:bottom w:val="triple" w:sz="4" w:space="0" w:color="auto"/>
              <w:right w:val="single" w:sz="18" w:space="0" w:color="auto"/>
            </w:tcBorders>
          </w:tcPr>
          <w:p w14:paraId="6725A0F9" w14:textId="77777777" w:rsidR="00F70B83" w:rsidRDefault="00F70B83" w:rsidP="00560FBA">
            <w:r>
              <w:t>.0930</w:t>
            </w:r>
          </w:p>
        </w:tc>
        <w:tc>
          <w:tcPr>
            <w:tcW w:w="2952" w:type="dxa"/>
            <w:tcBorders>
              <w:left w:val="single" w:sz="18" w:space="0" w:color="auto"/>
              <w:bottom w:val="triple" w:sz="4" w:space="0" w:color="auto"/>
              <w:right w:val="single" w:sz="18" w:space="0" w:color="auto"/>
            </w:tcBorders>
          </w:tcPr>
          <w:p w14:paraId="299D4EF1" w14:textId="77777777" w:rsidR="00F70B83" w:rsidRDefault="00F70B83" w:rsidP="00560FBA">
            <w:r>
              <w:t>.149</w:t>
            </w:r>
          </w:p>
        </w:tc>
      </w:tr>
      <w:tr w:rsidR="00F70B83" w14:paraId="216A7BA9" w14:textId="77777777" w:rsidTr="00560FBA">
        <w:tc>
          <w:tcPr>
            <w:tcW w:w="8856" w:type="dxa"/>
            <w:gridSpan w:val="3"/>
            <w:tcBorders>
              <w:top w:val="triple" w:sz="4" w:space="0" w:color="auto"/>
              <w:left w:val="single" w:sz="18" w:space="0" w:color="auto"/>
              <w:bottom w:val="single" w:sz="18" w:space="0" w:color="auto"/>
              <w:right w:val="single" w:sz="18" w:space="0" w:color="auto"/>
            </w:tcBorders>
          </w:tcPr>
          <w:p w14:paraId="41EFA3C4" w14:textId="77777777" w:rsidR="00F70B83" w:rsidRDefault="00F70B83" w:rsidP="00560FBA">
            <w:r>
              <w:t>Total Observations: 3,690</w:t>
            </w:r>
          </w:p>
        </w:tc>
      </w:tr>
    </w:tbl>
    <w:p w14:paraId="5BA7B4E0" w14:textId="77777777" w:rsidR="004E4EC0" w:rsidRDefault="004E4EC0" w:rsidP="004E4EC0">
      <w:pPr>
        <w:spacing w:line="480" w:lineRule="auto"/>
        <w:ind w:firstLine="360"/>
      </w:pPr>
    </w:p>
    <w:p w14:paraId="2C7877E3" w14:textId="06A9EED7" w:rsidR="001411EF" w:rsidRDefault="001411EF" w:rsidP="00003007">
      <w:pPr>
        <w:spacing w:line="480" w:lineRule="auto"/>
        <w:ind w:firstLine="720"/>
      </w:pPr>
      <w:r>
        <w:t xml:space="preserve">Table </w:t>
      </w:r>
      <w:r w:rsidR="004E4EC0">
        <w:t>5</w:t>
      </w:r>
      <w:r w:rsidR="0075317C">
        <w:t>9</w:t>
      </w:r>
      <w:r>
        <w:t xml:space="preserve"> presents the summary statistics.  In the vast majority of the district-quarter observations included in the regression there was no prior precedent for how to interpret the APR. </w:t>
      </w:r>
      <w:r w:rsidR="004E4EC0">
        <w:t>C</w:t>
      </w:r>
      <w:r w:rsidR="006174EC">
        <w:t>hapter 11</w:t>
      </w:r>
      <w:r>
        <w:t xml:space="preserve"> accounts for a very small share of all non-business filings</w:t>
      </w:r>
      <w:r w:rsidR="00D9767A">
        <w:t>. T</w:t>
      </w:r>
      <w:r w:rsidR="004E4EC0">
        <w:t>here are some outliers</w:t>
      </w:r>
      <w:r w:rsidR="00D9767A">
        <w:t>, however</w:t>
      </w:r>
      <w:r w:rsidR="004E4EC0">
        <w:t xml:space="preserve">; the highest observed value was </w:t>
      </w:r>
      <w:r w:rsidR="00A0332D">
        <w:t>1.942.</w:t>
      </w:r>
      <w:r>
        <w:t xml:space="preserve"> The high value of the maximum observed is due</w:t>
      </w:r>
      <w:r w:rsidR="00A0332D">
        <w:t>, in part,</w:t>
      </w:r>
      <w:r>
        <w:t xml:space="preserve"> to the fact that some districts-quarters have very few filings. In fact, there are some districts that had no bankruptcy filings in some quarters. To mitigate this problem we excluded all U.S. territories (Guam, Northern Marinara Islands</w:t>
      </w:r>
      <w:r w:rsidR="00A0332D">
        <w:t>, Puerto Rico</w:t>
      </w:r>
      <w:r>
        <w:t xml:space="preserve"> and the Virgin Islands)</w:t>
      </w:r>
      <w:r w:rsidR="00EA3379">
        <w:t xml:space="preserve">, but </w:t>
      </w:r>
      <w:r w:rsidR="003618A6">
        <w:t xml:space="preserve">doing so did not </w:t>
      </w:r>
      <w:r>
        <w:t xml:space="preserve">completely solve the problem. The number of non-business bankruptcy filings varies radically from district to district, and so the </w:t>
      </w:r>
      <w:r w:rsidR="00A0332D">
        <w:t>percentage of filings made in chapter 11</w:t>
      </w:r>
      <w:r>
        <w:t xml:space="preserve"> may be estimated much more accurately in big districts than in small districts (heteroskedacsticity).</w:t>
      </w:r>
      <w:r w:rsidR="00EA3379">
        <w:t xml:space="preserve"> One solution is to weight districts with more filings </w:t>
      </w:r>
      <w:r>
        <w:t>more heavily, but this can create its own problems.</w:t>
      </w:r>
      <w:r w:rsidR="00EA3379">
        <w:rPr>
          <w:rStyle w:val="FootnoteReference"/>
        </w:rPr>
        <w:footnoteReference w:id="333"/>
      </w:r>
      <w:r>
        <w:t xml:space="preserve"> </w:t>
      </w:r>
      <w:r w:rsidR="00EA3379">
        <w:t>We</w:t>
      </w:r>
      <w:r w:rsidR="003618A6">
        <w:t>,</w:t>
      </w:r>
      <w:r w:rsidR="00EA3379">
        <w:t xml:space="preserve"> therefore</w:t>
      </w:r>
      <w:r w:rsidR="003618A6">
        <w:t>,</w:t>
      </w:r>
      <w:r w:rsidR="00EA3379">
        <w:t xml:space="preserve"> present</w:t>
      </w:r>
      <w:r>
        <w:t xml:space="preserve"> both weighted (by the number of non-business bankruptcies) and unweighted regressions. </w:t>
      </w:r>
      <w:r w:rsidR="003618A6">
        <w:t xml:space="preserve">Doing so </w:t>
      </w:r>
      <w:r>
        <w:t xml:space="preserve">has </w:t>
      </w:r>
      <w:r w:rsidR="0011463B">
        <w:t>the</w:t>
      </w:r>
      <w:r>
        <w:t xml:space="preserve"> added advantage of testing for misspecification. The differences in differences model assumes that the legal rule has the same effect in every district, but this is almost certainly not the case as some districts will have a higher proportion of high-asset individuals for whom </w:t>
      </w:r>
      <w:r w:rsidR="006174EC">
        <w:t>chapter 11</w:t>
      </w:r>
      <w:r>
        <w:t xml:space="preserve"> is much more attractive. It is likely that these high-asset individuals </w:t>
      </w:r>
      <w:r w:rsidR="003618A6">
        <w:t>are</w:t>
      </w:r>
      <w:r w:rsidR="0075317C">
        <w:t xml:space="preserve"> </w:t>
      </w:r>
      <w:r>
        <w:t>concentrated in more populous districts (with larger cities), and thus weighting by non-business bankruptcies should increase the estimated coefficients. All standard errors are clustered by district.</w:t>
      </w:r>
    </w:p>
    <w:p w14:paraId="54DE3578" w14:textId="77777777" w:rsidR="00F70B83" w:rsidRPr="00003007" w:rsidRDefault="00F70B83" w:rsidP="00F70B83">
      <w:pPr>
        <w:keepNext/>
        <w:keepLines/>
        <w:spacing w:line="480" w:lineRule="auto"/>
        <w:jc w:val="center"/>
        <w:rPr>
          <w:rFonts w:ascii="Times New Roman" w:hAnsi="Times New Roman" w:cs="Times New Roman"/>
          <w:b/>
        </w:rPr>
      </w:pPr>
      <w:r>
        <w:rPr>
          <w:rFonts w:ascii="Times New Roman" w:hAnsi="Times New Roman" w:cs="Times New Roman"/>
          <w:b/>
        </w:rPr>
        <w:t>Table 60: Percentage of Non-Business Cases in Chapter 11</w:t>
      </w:r>
    </w:p>
    <w:tbl>
      <w:tblPr>
        <w:tblStyle w:val="TableGrid"/>
        <w:tblW w:w="8388" w:type="dxa"/>
        <w:tblLook w:val="04A0" w:firstRow="1" w:lastRow="0" w:firstColumn="1" w:lastColumn="0" w:noHBand="0" w:noVBand="1"/>
      </w:tblPr>
      <w:tblGrid>
        <w:gridCol w:w="2178"/>
        <w:gridCol w:w="1530"/>
        <w:gridCol w:w="1440"/>
        <w:gridCol w:w="1440"/>
        <w:gridCol w:w="1800"/>
      </w:tblGrid>
      <w:tr w:rsidR="00F70B83" w:rsidRPr="005C1489" w14:paraId="3DB2D2C8" w14:textId="77777777" w:rsidTr="00560FBA">
        <w:trPr>
          <w:trHeight w:val="320"/>
        </w:trPr>
        <w:tc>
          <w:tcPr>
            <w:tcW w:w="2178" w:type="dxa"/>
            <w:tcBorders>
              <w:top w:val="nil"/>
              <w:left w:val="nil"/>
              <w:right w:val="single" w:sz="18" w:space="0" w:color="auto"/>
            </w:tcBorders>
            <w:noWrap/>
          </w:tcPr>
          <w:p w14:paraId="6BB60F89" w14:textId="77777777" w:rsidR="00F70B83" w:rsidRPr="005C1489" w:rsidRDefault="00F70B83" w:rsidP="00F70B83">
            <w:pPr>
              <w:keepNext/>
              <w:keepLines/>
              <w:jc w:val="center"/>
              <w:rPr>
                <w:rFonts w:ascii="Cambria" w:eastAsia="Times New Roman" w:hAnsi="Cambria" w:cs="Times New Roman"/>
                <w:color w:val="000000"/>
              </w:rPr>
            </w:pPr>
            <w:r w:rsidRPr="005C1489">
              <w:rPr>
                <w:rFonts w:ascii="Calibri" w:eastAsia="Times New Roman" w:hAnsi="Calibri" w:cs="Times New Roman"/>
                <w:color w:val="000000"/>
                <w:sz w:val="20"/>
                <w:szCs w:val="20"/>
              </w:rPr>
              <w:t> </w:t>
            </w:r>
          </w:p>
        </w:tc>
        <w:tc>
          <w:tcPr>
            <w:tcW w:w="1530" w:type="dxa"/>
            <w:tcBorders>
              <w:top w:val="single" w:sz="18" w:space="0" w:color="auto"/>
              <w:left w:val="single" w:sz="18" w:space="0" w:color="auto"/>
              <w:bottom w:val="single" w:sz="18" w:space="0" w:color="auto"/>
              <w:right w:val="single" w:sz="18" w:space="0" w:color="auto"/>
            </w:tcBorders>
            <w:noWrap/>
          </w:tcPr>
          <w:p w14:paraId="427EFDE5" w14:textId="77777777" w:rsidR="00F70B83" w:rsidRPr="003618A6" w:rsidRDefault="00F70B83" w:rsidP="00F70B83">
            <w:pPr>
              <w:keepNext/>
              <w:keepLines/>
              <w:jc w:val="center"/>
              <w:rPr>
                <w:rFonts w:eastAsia="Times New Roman" w:cstheme="minorHAnsi"/>
                <w:b/>
                <w:color w:val="000000"/>
              </w:rPr>
            </w:pPr>
            <w:r w:rsidRPr="003618A6">
              <w:rPr>
                <w:rFonts w:eastAsia="Times New Roman" w:cstheme="minorHAnsi"/>
                <w:b/>
                <w:color w:val="000000"/>
              </w:rPr>
              <w:t>(A)</w:t>
            </w:r>
          </w:p>
        </w:tc>
        <w:tc>
          <w:tcPr>
            <w:tcW w:w="1440" w:type="dxa"/>
            <w:tcBorders>
              <w:top w:val="single" w:sz="18" w:space="0" w:color="auto"/>
              <w:left w:val="single" w:sz="18" w:space="0" w:color="auto"/>
              <w:bottom w:val="single" w:sz="18" w:space="0" w:color="auto"/>
              <w:right w:val="single" w:sz="18" w:space="0" w:color="auto"/>
            </w:tcBorders>
            <w:noWrap/>
          </w:tcPr>
          <w:p w14:paraId="1CDF0F3D" w14:textId="77777777" w:rsidR="00F70B83" w:rsidRPr="003618A6" w:rsidRDefault="00F70B83" w:rsidP="00F70B83">
            <w:pPr>
              <w:keepNext/>
              <w:keepLines/>
              <w:jc w:val="center"/>
              <w:rPr>
                <w:rFonts w:eastAsia="Times New Roman" w:cstheme="minorHAnsi"/>
                <w:b/>
                <w:color w:val="000000"/>
              </w:rPr>
            </w:pPr>
            <w:r w:rsidRPr="003618A6">
              <w:rPr>
                <w:rFonts w:eastAsia="Times New Roman" w:cstheme="minorHAnsi"/>
                <w:b/>
                <w:color w:val="000000"/>
              </w:rPr>
              <w:t>(B)</w:t>
            </w:r>
          </w:p>
        </w:tc>
        <w:tc>
          <w:tcPr>
            <w:tcW w:w="1440" w:type="dxa"/>
            <w:tcBorders>
              <w:top w:val="single" w:sz="18" w:space="0" w:color="auto"/>
              <w:left w:val="single" w:sz="18" w:space="0" w:color="auto"/>
              <w:bottom w:val="single" w:sz="18" w:space="0" w:color="auto"/>
              <w:right w:val="single" w:sz="18" w:space="0" w:color="auto"/>
            </w:tcBorders>
            <w:noWrap/>
          </w:tcPr>
          <w:p w14:paraId="345850DB" w14:textId="77777777" w:rsidR="00F70B83" w:rsidRPr="003618A6" w:rsidRDefault="00F70B83" w:rsidP="00F70B83">
            <w:pPr>
              <w:keepNext/>
              <w:keepLines/>
              <w:jc w:val="center"/>
              <w:rPr>
                <w:rFonts w:eastAsia="Times New Roman" w:cstheme="minorHAnsi"/>
                <w:b/>
                <w:color w:val="000000"/>
              </w:rPr>
            </w:pPr>
            <w:r w:rsidRPr="003618A6">
              <w:rPr>
                <w:rFonts w:eastAsia="Times New Roman" w:cstheme="minorHAnsi"/>
                <w:b/>
                <w:color w:val="000000"/>
              </w:rPr>
              <w:t>(C)</w:t>
            </w:r>
          </w:p>
        </w:tc>
        <w:tc>
          <w:tcPr>
            <w:tcW w:w="1800" w:type="dxa"/>
            <w:tcBorders>
              <w:top w:val="single" w:sz="18" w:space="0" w:color="auto"/>
              <w:left w:val="single" w:sz="18" w:space="0" w:color="auto"/>
              <w:bottom w:val="single" w:sz="18" w:space="0" w:color="auto"/>
              <w:right w:val="single" w:sz="18" w:space="0" w:color="auto"/>
            </w:tcBorders>
            <w:noWrap/>
          </w:tcPr>
          <w:p w14:paraId="3B22B627" w14:textId="77777777" w:rsidR="00F70B83" w:rsidRPr="003618A6" w:rsidRDefault="00F70B83" w:rsidP="00F70B83">
            <w:pPr>
              <w:keepNext/>
              <w:keepLines/>
              <w:jc w:val="center"/>
              <w:rPr>
                <w:rFonts w:eastAsia="Times New Roman" w:cstheme="minorHAnsi"/>
                <w:b/>
                <w:color w:val="000000"/>
              </w:rPr>
            </w:pPr>
            <w:r w:rsidRPr="003618A6">
              <w:rPr>
                <w:rFonts w:eastAsia="Times New Roman" w:cstheme="minorHAnsi"/>
                <w:b/>
                <w:color w:val="000000"/>
              </w:rPr>
              <w:t>(D)</w:t>
            </w:r>
          </w:p>
        </w:tc>
      </w:tr>
      <w:tr w:rsidR="00F70B83" w:rsidRPr="003618A6" w14:paraId="35C15392" w14:textId="77777777" w:rsidTr="00560FBA">
        <w:trPr>
          <w:trHeight w:val="645"/>
        </w:trPr>
        <w:tc>
          <w:tcPr>
            <w:tcW w:w="2178" w:type="dxa"/>
            <w:tcBorders>
              <w:top w:val="single" w:sz="18" w:space="0" w:color="auto"/>
              <w:bottom w:val="single" w:sz="4" w:space="0" w:color="auto"/>
              <w:right w:val="single" w:sz="18" w:space="0" w:color="auto"/>
            </w:tcBorders>
            <w:noWrap/>
            <w:hideMark/>
          </w:tcPr>
          <w:p w14:paraId="104D099E" w14:textId="77777777" w:rsidR="00F70B83" w:rsidRPr="003618A6" w:rsidRDefault="00F70B83" w:rsidP="00F70B83">
            <w:pPr>
              <w:keepNext/>
              <w:keepLines/>
              <w:rPr>
                <w:rFonts w:eastAsia="Times New Roman" w:cstheme="minorHAnsi"/>
                <w:color w:val="000000"/>
                <w:sz w:val="22"/>
                <w:szCs w:val="22"/>
              </w:rPr>
            </w:pPr>
            <w:r w:rsidRPr="003618A6">
              <w:rPr>
                <w:rFonts w:eastAsia="Times New Roman" w:cstheme="minorHAnsi"/>
                <w:color w:val="000000"/>
                <w:sz w:val="22"/>
                <w:szCs w:val="22"/>
              </w:rPr>
              <w:t>Broad</w:t>
            </w:r>
          </w:p>
        </w:tc>
        <w:tc>
          <w:tcPr>
            <w:tcW w:w="1530" w:type="dxa"/>
            <w:tcBorders>
              <w:top w:val="single" w:sz="18" w:space="0" w:color="auto"/>
              <w:left w:val="single" w:sz="18" w:space="0" w:color="auto"/>
              <w:bottom w:val="single" w:sz="4" w:space="0" w:color="auto"/>
              <w:right w:val="single" w:sz="18" w:space="0" w:color="auto"/>
            </w:tcBorders>
            <w:noWrap/>
            <w:hideMark/>
          </w:tcPr>
          <w:p w14:paraId="7676A665"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0.05</w:t>
            </w:r>
            <w:r>
              <w:rPr>
                <w:rFonts w:eastAsia="Times New Roman" w:cstheme="minorHAnsi"/>
                <w:color w:val="000000"/>
                <w:sz w:val="22"/>
                <w:szCs w:val="22"/>
              </w:rPr>
              <w:t>4</w:t>
            </w:r>
          </w:p>
          <w:p w14:paraId="40DA7324"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w:t>
            </w:r>
            <w:r>
              <w:rPr>
                <w:rFonts w:eastAsia="Times New Roman" w:cstheme="minorHAnsi"/>
                <w:color w:val="000000"/>
                <w:sz w:val="22"/>
                <w:szCs w:val="22"/>
              </w:rPr>
              <w:t>21</w:t>
            </w:r>
            <w:r w:rsidRPr="003618A6">
              <w:rPr>
                <w:rFonts w:eastAsia="Times New Roman" w:cstheme="minorHAnsi"/>
                <w:color w:val="000000"/>
                <w:sz w:val="22"/>
                <w:szCs w:val="22"/>
              </w:rPr>
              <w:t>)</w:t>
            </w:r>
          </w:p>
        </w:tc>
        <w:tc>
          <w:tcPr>
            <w:tcW w:w="1440" w:type="dxa"/>
            <w:tcBorders>
              <w:top w:val="single" w:sz="18" w:space="0" w:color="auto"/>
              <w:left w:val="single" w:sz="18" w:space="0" w:color="auto"/>
              <w:bottom w:val="single" w:sz="4" w:space="0" w:color="auto"/>
              <w:right w:val="single" w:sz="18" w:space="0" w:color="auto"/>
            </w:tcBorders>
            <w:noWrap/>
            <w:hideMark/>
          </w:tcPr>
          <w:p w14:paraId="17800F10" w14:textId="77777777" w:rsidR="00F70B83" w:rsidRPr="003618A6" w:rsidRDefault="00F70B83" w:rsidP="00F70B83">
            <w:pPr>
              <w:keepNext/>
              <w:keepLines/>
              <w:jc w:val="right"/>
              <w:rPr>
                <w:rFonts w:eastAsia="Times New Roman" w:cstheme="minorHAnsi"/>
                <w:color w:val="000000"/>
                <w:sz w:val="22"/>
                <w:szCs w:val="22"/>
              </w:rPr>
            </w:pPr>
          </w:p>
        </w:tc>
        <w:tc>
          <w:tcPr>
            <w:tcW w:w="1440" w:type="dxa"/>
            <w:tcBorders>
              <w:top w:val="single" w:sz="18" w:space="0" w:color="auto"/>
              <w:left w:val="single" w:sz="18" w:space="0" w:color="auto"/>
              <w:bottom w:val="single" w:sz="4" w:space="0" w:color="auto"/>
              <w:right w:val="single" w:sz="18" w:space="0" w:color="auto"/>
            </w:tcBorders>
            <w:noWrap/>
            <w:hideMark/>
          </w:tcPr>
          <w:p w14:paraId="26CE8A44"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0.0</w:t>
            </w:r>
            <w:r>
              <w:rPr>
                <w:rFonts w:eastAsia="Times New Roman" w:cstheme="minorHAnsi"/>
                <w:color w:val="000000"/>
                <w:sz w:val="22"/>
                <w:szCs w:val="22"/>
              </w:rPr>
              <w:t>76</w:t>
            </w:r>
            <w:r w:rsidRPr="003618A6">
              <w:rPr>
                <w:rFonts w:eastAsia="Times New Roman" w:cstheme="minorHAnsi"/>
                <w:color w:val="000000"/>
                <w:sz w:val="22"/>
                <w:szCs w:val="22"/>
              </w:rPr>
              <w:t>**</w:t>
            </w:r>
          </w:p>
          <w:p w14:paraId="5C9B280C"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w:t>
            </w:r>
            <w:r>
              <w:rPr>
                <w:rFonts w:eastAsia="Times New Roman" w:cstheme="minorHAnsi"/>
                <w:color w:val="000000"/>
                <w:sz w:val="22"/>
                <w:szCs w:val="22"/>
              </w:rPr>
              <w:t>8</w:t>
            </w:r>
            <w:r w:rsidRPr="003618A6">
              <w:rPr>
                <w:rFonts w:eastAsia="Times New Roman" w:cstheme="minorHAnsi"/>
                <w:color w:val="000000"/>
                <w:sz w:val="22"/>
                <w:szCs w:val="22"/>
              </w:rPr>
              <w:t>)</w:t>
            </w:r>
          </w:p>
        </w:tc>
        <w:tc>
          <w:tcPr>
            <w:tcW w:w="1800" w:type="dxa"/>
            <w:tcBorders>
              <w:top w:val="single" w:sz="18" w:space="0" w:color="auto"/>
              <w:left w:val="single" w:sz="18" w:space="0" w:color="auto"/>
              <w:bottom w:val="single" w:sz="4" w:space="0" w:color="auto"/>
              <w:right w:val="single" w:sz="18" w:space="0" w:color="auto"/>
            </w:tcBorders>
            <w:noWrap/>
            <w:hideMark/>
          </w:tcPr>
          <w:p w14:paraId="475C29ED" w14:textId="77777777" w:rsidR="00F70B83" w:rsidRPr="003618A6" w:rsidRDefault="00F70B83" w:rsidP="00F70B83">
            <w:pPr>
              <w:keepNext/>
              <w:keepLines/>
              <w:jc w:val="right"/>
              <w:rPr>
                <w:rFonts w:eastAsia="Times New Roman" w:cstheme="minorHAnsi"/>
                <w:color w:val="000000"/>
                <w:sz w:val="22"/>
                <w:szCs w:val="22"/>
              </w:rPr>
            </w:pPr>
          </w:p>
        </w:tc>
      </w:tr>
      <w:tr w:rsidR="00F70B83" w:rsidRPr="003618A6" w14:paraId="50515338" w14:textId="77777777" w:rsidTr="00560FBA">
        <w:trPr>
          <w:trHeight w:val="610"/>
        </w:trPr>
        <w:tc>
          <w:tcPr>
            <w:tcW w:w="2178" w:type="dxa"/>
            <w:tcBorders>
              <w:bottom w:val="single" w:sz="4" w:space="0" w:color="auto"/>
              <w:right w:val="single" w:sz="18" w:space="0" w:color="auto"/>
            </w:tcBorders>
            <w:noWrap/>
            <w:hideMark/>
          </w:tcPr>
          <w:p w14:paraId="54AFE626" w14:textId="77777777" w:rsidR="00F70B83" w:rsidRPr="003618A6" w:rsidRDefault="00F70B83" w:rsidP="00F70B83">
            <w:pPr>
              <w:keepNext/>
              <w:keepLines/>
              <w:rPr>
                <w:rFonts w:eastAsia="Times New Roman" w:cstheme="minorHAnsi"/>
                <w:color w:val="000000"/>
                <w:sz w:val="22"/>
                <w:szCs w:val="22"/>
              </w:rPr>
            </w:pPr>
            <w:r w:rsidRPr="003618A6">
              <w:rPr>
                <w:rFonts w:eastAsia="Times New Roman" w:cstheme="minorHAnsi"/>
                <w:color w:val="000000"/>
                <w:sz w:val="22"/>
                <w:szCs w:val="22"/>
              </w:rPr>
              <w:t>Narrow</w:t>
            </w:r>
          </w:p>
        </w:tc>
        <w:tc>
          <w:tcPr>
            <w:tcW w:w="1530" w:type="dxa"/>
            <w:tcBorders>
              <w:left w:val="single" w:sz="18" w:space="0" w:color="auto"/>
              <w:bottom w:val="single" w:sz="4" w:space="0" w:color="auto"/>
              <w:right w:val="single" w:sz="18" w:space="0" w:color="auto"/>
            </w:tcBorders>
            <w:noWrap/>
            <w:hideMark/>
          </w:tcPr>
          <w:p w14:paraId="7B1D1F09"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-0.00</w:t>
            </w:r>
            <w:r>
              <w:rPr>
                <w:rFonts w:eastAsia="Times New Roman" w:cstheme="minorHAnsi"/>
                <w:color w:val="000000"/>
                <w:sz w:val="22"/>
                <w:szCs w:val="22"/>
              </w:rPr>
              <w:t>4</w:t>
            </w:r>
          </w:p>
          <w:p w14:paraId="273C974E"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w:t>
            </w:r>
            <w:r>
              <w:rPr>
                <w:rFonts w:eastAsia="Times New Roman" w:cstheme="minorHAnsi"/>
                <w:color w:val="000000"/>
                <w:sz w:val="22"/>
                <w:szCs w:val="22"/>
              </w:rPr>
              <w:t>67</w:t>
            </w:r>
            <w:r w:rsidRPr="003618A6">
              <w:rPr>
                <w:rFonts w:eastAsia="Times New Roman" w:cstheme="minorHAnsi"/>
                <w:color w:val="000000"/>
                <w:sz w:val="22"/>
                <w:szCs w:val="22"/>
              </w:rPr>
              <w:t>)</w:t>
            </w:r>
          </w:p>
        </w:tc>
        <w:tc>
          <w:tcPr>
            <w:tcW w:w="1440" w:type="dxa"/>
            <w:tcBorders>
              <w:left w:val="single" w:sz="18" w:space="0" w:color="auto"/>
              <w:bottom w:val="single" w:sz="4" w:space="0" w:color="auto"/>
              <w:right w:val="single" w:sz="18" w:space="0" w:color="auto"/>
            </w:tcBorders>
            <w:noWrap/>
            <w:hideMark/>
          </w:tcPr>
          <w:p w14:paraId="5A8548B3" w14:textId="77777777" w:rsidR="00F70B83" w:rsidRPr="003618A6" w:rsidRDefault="00F70B83" w:rsidP="00F70B83">
            <w:pPr>
              <w:keepNext/>
              <w:keepLines/>
              <w:jc w:val="right"/>
              <w:rPr>
                <w:rFonts w:eastAsia="Times New Roman" w:cstheme="minorHAnsi"/>
                <w:color w:val="000000"/>
                <w:sz w:val="22"/>
                <w:szCs w:val="22"/>
              </w:rPr>
            </w:pPr>
          </w:p>
        </w:tc>
        <w:tc>
          <w:tcPr>
            <w:tcW w:w="1440" w:type="dxa"/>
            <w:tcBorders>
              <w:left w:val="single" w:sz="18" w:space="0" w:color="auto"/>
              <w:bottom w:val="single" w:sz="4" w:space="0" w:color="auto"/>
              <w:right w:val="single" w:sz="18" w:space="0" w:color="auto"/>
            </w:tcBorders>
            <w:noWrap/>
            <w:hideMark/>
          </w:tcPr>
          <w:p w14:paraId="4642F22A" w14:textId="77777777" w:rsidR="00F70B83" w:rsidRPr="003618A6" w:rsidRDefault="00F70B83" w:rsidP="00F70B83">
            <w:pPr>
              <w:keepNext/>
              <w:keepLines/>
              <w:jc w:val="center"/>
              <w:rPr>
                <w:rFonts w:eastAsia="Times New Roman" w:cstheme="minorHAnsi"/>
                <w:color w:val="000000"/>
                <w:sz w:val="22"/>
                <w:szCs w:val="22"/>
              </w:rPr>
            </w:pPr>
            <w:r>
              <w:rPr>
                <w:rFonts w:eastAsia="Times New Roman" w:cstheme="minorHAnsi"/>
                <w:color w:val="000000"/>
                <w:sz w:val="22"/>
                <w:szCs w:val="22"/>
              </w:rPr>
              <w:t>0.010</w:t>
            </w:r>
          </w:p>
          <w:p w14:paraId="115107C2"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w:t>
            </w:r>
            <w:r>
              <w:rPr>
                <w:rFonts w:eastAsia="Times New Roman" w:cstheme="minorHAnsi"/>
                <w:color w:val="000000"/>
                <w:sz w:val="22"/>
                <w:szCs w:val="22"/>
              </w:rPr>
              <w:t>49</w:t>
            </w:r>
            <w:r w:rsidRPr="003618A6">
              <w:rPr>
                <w:rFonts w:eastAsia="Times New Roman" w:cstheme="minorHAnsi"/>
                <w:color w:val="000000"/>
                <w:sz w:val="22"/>
                <w:szCs w:val="22"/>
              </w:rPr>
              <w:t>)</w:t>
            </w:r>
          </w:p>
        </w:tc>
        <w:tc>
          <w:tcPr>
            <w:tcW w:w="1800" w:type="dxa"/>
            <w:tcBorders>
              <w:left w:val="single" w:sz="18" w:space="0" w:color="auto"/>
              <w:bottom w:val="single" w:sz="4" w:space="0" w:color="auto"/>
              <w:right w:val="single" w:sz="18" w:space="0" w:color="auto"/>
            </w:tcBorders>
            <w:noWrap/>
            <w:hideMark/>
          </w:tcPr>
          <w:p w14:paraId="6CA3506D" w14:textId="77777777" w:rsidR="00F70B83" w:rsidRPr="003618A6" w:rsidRDefault="00F70B83" w:rsidP="00F70B83">
            <w:pPr>
              <w:keepNext/>
              <w:keepLines/>
              <w:jc w:val="right"/>
              <w:rPr>
                <w:rFonts w:eastAsia="Times New Roman" w:cstheme="minorHAnsi"/>
                <w:color w:val="000000"/>
                <w:sz w:val="22"/>
                <w:szCs w:val="22"/>
              </w:rPr>
            </w:pPr>
          </w:p>
        </w:tc>
      </w:tr>
      <w:tr w:rsidR="00F70B83" w:rsidRPr="003618A6" w14:paraId="0776D17E" w14:textId="77777777" w:rsidTr="00560FBA">
        <w:trPr>
          <w:trHeight w:val="610"/>
        </w:trPr>
        <w:tc>
          <w:tcPr>
            <w:tcW w:w="2178" w:type="dxa"/>
            <w:tcBorders>
              <w:bottom w:val="single" w:sz="4" w:space="0" w:color="auto"/>
              <w:right w:val="single" w:sz="18" w:space="0" w:color="auto"/>
            </w:tcBorders>
            <w:noWrap/>
            <w:hideMark/>
          </w:tcPr>
          <w:p w14:paraId="5AF25B4A" w14:textId="77777777" w:rsidR="00F70B83" w:rsidRPr="003618A6" w:rsidRDefault="00F70B83" w:rsidP="00F70B83">
            <w:pPr>
              <w:keepNext/>
              <w:keepLines/>
              <w:rPr>
                <w:rFonts w:eastAsia="Times New Roman" w:cstheme="minorHAnsi"/>
                <w:color w:val="000000"/>
                <w:sz w:val="22"/>
                <w:szCs w:val="22"/>
              </w:rPr>
            </w:pPr>
            <w:r w:rsidRPr="003618A6">
              <w:rPr>
                <w:rFonts w:eastAsia="Times New Roman" w:cstheme="minorHAnsi"/>
                <w:color w:val="000000"/>
                <w:sz w:val="22"/>
                <w:szCs w:val="22"/>
              </w:rPr>
              <w:t>Broad Circuit</w:t>
            </w:r>
          </w:p>
        </w:tc>
        <w:tc>
          <w:tcPr>
            <w:tcW w:w="1530" w:type="dxa"/>
            <w:tcBorders>
              <w:left w:val="single" w:sz="18" w:space="0" w:color="auto"/>
              <w:bottom w:val="single" w:sz="4" w:space="0" w:color="auto"/>
              <w:right w:val="single" w:sz="18" w:space="0" w:color="auto"/>
            </w:tcBorders>
            <w:noWrap/>
            <w:hideMark/>
          </w:tcPr>
          <w:p w14:paraId="1EA51ED2" w14:textId="77777777" w:rsidR="00F70B83" w:rsidRPr="003618A6" w:rsidRDefault="00F70B83" w:rsidP="00F70B83">
            <w:pPr>
              <w:keepNext/>
              <w:keepLines/>
              <w:jc w:val="right"/>
              <w:rPr>
                <w:rFonts w:eastAsia="Times New Roman" w:cstheme="minorHAnsi"/>
                <w:color w:val="000000"/>
                <w:sz w:val="22"/>
                <w:szCs w:val="22"/>
              </w:rPr>
            </w:pPr>
          </w:p>
        </w:tc>
        <w:tc>
          <w:tcPr>
            <w:tcW w:w="1440" w:type="dxa"/>
            <w:tcBorders>
              <w:left w:val="single" w:sz="18" w:space="0" w:color="auto"/>
              <w:bottom w:val="single" w:sz="4" w:space="0" w:color="auto"/>
              <w:right w:val="single" w:sz="18" w:space="0" w:color="auto"/>
            </w:tcBorders>
            <w:noWrap/>
            <w:hideMark/>
          </w:tcPr>
          <w:p w14:paraId="3F9C1836"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0.00732</w:t>
            </w:r>
          </w:p>
          <w:p w14:paraId="625992C0"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(.66)</w:t>
            </w:r>
          </w:p>
        </w:tc>
        <w:tc>
          <w:tcPr>
            <w:tcW w:w="1440" w:type="dxa"/>
            <w:tcBorders>
              <w:left w:val="single" w:sz="18" w:space="0" w:color="auto"/>
              <w:bottom w:val="single" w:sz="4" w:space="0" w:color="auto"/>
              <w:right w:val="single" w:sz="18" w:space="0" w:color="auto"/>
            </w:tcBorders>
            <w:noWrap/>
            <w:hideMark/>
          </w:tcPr>
          <w:p w14:paraId="215FC65D" w14:textId="77777777" w:rsidR="00F70B83" w:rsidRPr="003618A6" w:rsidRDefault="00F70B83" w:rsidP="00F70B83">
            <w:pPr>
              <w:keepNext/>
              <w:keepLines/>
              <w:jc w:val="right"/>
              <w:rPr>
                <w:rFonts w:eastAsia="Times New Roman" w:cstheme="minorHAnsi"/>
                <w:color w:val="000000"/>
                <w:sz w:val="22"/>
                <w:szCs w:val="22"/>
              </w:rPr>
            </w:pPr>
          </w:p>
        </w:tc>
        <w:tc>
          <w:tcPr>
            <w:tcW w:w="1800" w:type="dxa"/>
            <w:tcBorders>
              <w:left w:val="single" w:sz="18" w:space="0" w:color="auto"/>
              <w:bottom w:val="single" w:sz="4" w:space="0" w:color="auto"/>
              <w:right w:val="single" w:sz="18" w:space="0" w:color="auto"/>
            </w:tcBorders>
            <w:noWrap/>
            <w:hideMark/>
          </w:tcPr>
          <w:p w14:paraId="7249A5DD"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0.0335</w:t>
            </w:r>
          </w:p>
          <w:p w14:paraId="0E6D0573"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(.20)</w:t>
            </w:r>
          </w:p>
        </w:tc>
      </w:tr>
      <w:tr w:rsidR="00F70B83" w:rsidRPr="003618A6" w14:paraId="33663DB6" w14:textId="77777777" w:rsidTr="00560FBA">
        <w:trPr>
          <w:trHeight w:val="610"/>
        </w:trPr>
        <w:tc>
          <w:tcPr>
            <w:tcW w:w="2178" w:type="dxa"/>
            <w:tcBorders>
              <w:bottom w:val="single" w:sz="4" w:space="0" w:color="auto"/>
              <w:right w:val="single" w:sz="18" w:space="0" w:color="auto"/>
            </w:tcBorders>
            <w:noWrap/>
            <w:hideMark/>
          </w:tcPr>
          <w:p w14:paraId="744F718A" w14:textId="77777777" w:rsidR="00F70B83" w:rsidRPr="003618A6" w:rsidRDefault="00F70B83" w:rsidP="00F70B83">
            <w:pPr>
              <w:keepNext/>
              <w:keepLines/>
              <w:rPr>
                <w:rFonts w:eastAsia="Times New Roman" w:cstheme="minorHAnsi"/>
                <w:color w:val="000000"/>
                <w:sz w:val="22"/>
                <w:szCs w:val="22"/>
              </w:rPr>
            </w:pPr>
            <w:r w:rsidRPr="003618A6">
              <w:rPr>
                <w:rFonts w:eastAsia="Times New Roman" w:cstheme="minorHAnsi"/>
                <w:color w:val="000000"/>
                <w:sz w:val="22"/>
                <w:szCs w:val="22"/>
              </w:rPr>
              <w:t>Narrow Circuit</w:t>
            </w:r>
          </w:p>
        </w:tc>
        <w:tc>
          <w:tcPr>
            <w:tcW w:w="1530" w:type="dxa"/>
            <w:tcBorders>
              <w:left w:val="single" w:sz="18" w:space="0" w:color="auto"/>
              <w:bottom w:val="single" w:sz="4" w:space="0" w:color="auto"/>
              <w:right w:val="single" w:sz="18" w:space="0" w:color="auto"/>
            </w:tcBorders>
            <w:noWrap/>
            <w:hideMark/>
          </w:tcPr>
          <w:p w14:paraId="26C39FC3" w14:textId="77777777" w:rsidR="00F70B83" w:rsidRPr="003618A6" w:rsidRDefault="00F70B83" w:rsidP="00F70B83">
            <w:pPr>
              <w:keepNext/>
              <w:keepLines/>
              <w:jc w:val="right"/>
              <w:rPr>
                <w:rFonts w:eastAsia="Times New Roman" w:cstheme="minorHAnsi"/>
                <w:color w:val="000000"/>
                <w:sz w:val="22"/>
                <w:szCs w:val="22"/>
              </w:rPr>
            </w:pPr>
          </w:p>
        </w:tc>
        <w:tc>
          <w:tcPr>
            <w:tcW w:w="1440" w:type="dxa"/>
            <w:tcBorders>
              <w:left w:val="single" w:sz="18" w:space="0" w:color="auto"/>
              <w:bottom w:val="single" w:sz="4" w:space="0" w:color="auto"/>
              <w:right w:val="single" w:sz="18" w:space="0" w:color="auto"/>
            </w:tcBorders>
            <w:noWrap/>
            <w:hideMark/>
          </w:tcPr>
          <w:p w14:paraId="39D4D395"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-0.0292**</w:t>
            </w:r>
          </w:p>
          <w:p w14:paraId="34C5C981"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(.03)</w:t>
            </w:r>
          </w:p>
        </w:tc>
        <w:tc>
          <w:tcPr>
            <w:tcW w:w="1440" w:type="dxa"/>
            <w:tcBorders>
              <w:left w:val="single" w:sz="18" w:space="0" w:color="auto"/>
              <w:bottom w:val="single" w:sz="4" w:space="0" w:color="auto"/>
              <w:right w:val="single" w:sz="18" w:space="0" w:color="auto"/>
            </w:tcBorders>
            <w:noWrap/>
            <w:hideMark/>
          </w:tcPr>
          <w:p w14:paraId="22D0338E" w14:textId="77777777" w:rsidR="00F70B83" w:rsidRPr="003618A6" w:rsidRDefault="00F70B83" w:rsidP="00F70B83">
            <w:pPr>
              <w:keepNext/>
              <w:keepLines/>
              <w:jc w:val="right"/>
              <w:rPr>
                <w:rFonts w:eastAsia="Times New Roman" w:cstheme="minorHAnsi"/>
                <w:color w:val="000000"/>
                <w:sz w:val="22"/>
                <w:szCs w:val="22"/>
              </w:rPr>
            </w:pPr>
          </w:p>
        </w:tc>
        <w:tc>
          <w:tcPr>
            <w:tcW w:w="1800" w:type="dxa"/>
            <w:tcBorders>
              <w:left w:val="single" w:sz="18" w:space="0" w:color="auto"/>
              <w:bottom w:val="single" w:sz="4" w:space="0" w:color="auto"/>
              <w:right w:val="single" w:sz="18" w:space="0" w:color="auto"/>
            </w:tcBorders>
            <w:noWrap/>
            <w:hideMark/>
          </w:tcPr>
          <w:p w14:paraId="28569253"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-0.0360**</w:t>
            </w:r>
          </w:p>
          <w:p w14:paraId="1C38356C"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(.04)</w:t>
            </w:r>
          </w:p>
        </w:tc>
      </w:tr>
      <w:tr w:rsidR="00F70B83" w:rsidRPr="003618A6" w14:paraId="5617579D" w14:textId="77777777" w:rsidTr="00560FBA">
        <w:trPr>
          <w:trHeight w:val="610"/>
        </w:trPr>
        <w:tc>
          <w:tcPr>
            <w:tcW w:w="2178" w:type="dxa"/>
            <w:tcBorders>
              <w:bottom w:val="triple" w:sz="4" w:space="0" w:color="auto"/>
              <w:right w:val="single" w:sz="18" w:space="0" w:color="auto"/>
            </w:tcBorders>
            <w:noWrap/>
            <w:hideMark/>
          </w:tcPr>
          <w:p w14:paraId="745A41E9" w14:textId="77777777" w:rsidR="00F70B83" w:rsidRPr="003618A6" w:rsidRDefault="00F70B83" w:rsidP="00F70B83">
            <w:pPr>
              <w:keepNext/>
              <w:keepLines/>
              <w:rPr>
                <w:rFonts w:eastAsia="Times New Roman" w:cstheme="minorHAnsi"/>
                <w:color w:val="000000"/>
                <w:sz w:val="22"/>
                <w:szCs w:val="22"/>
              </w:rPr>
            </w:pPr>
            <w:r w:rsidRPr="003618A6">
              <w:rPr>
                <w:rFonts w:eastAsia="Times New Roman" w:cstheme="minorHAnsi"/>
                <w:color w:val="000000"/>
                <w:sz w:val="22"/>
                <w:szCs w:val="22"/>
              </w:rPr>
              <w:t>Constant</w:t>
            </w:r>
          </w:p>
        </w:tc>
        <w:tc>
          <w:tcPr>
            <w:tcW w:w="1530" w:type="dxa"/>
            <w:tcBorders>
              <w:left w:val="single" w:sz="18" w:space="0" w:color="auto"/>
              <w:bottom w:val="triple" w:sz="4" w:space="0" w:color="auto"/>
              <w:right w:val="single" w:sz="18" w:space="0" w:color="auto"/>
            </w:tcBorders>
            <w:noWrap/>
            <w:hideMark/>
          </w:tcPr>
          <w:p w14:paraId="459F7CD5"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0.0929***</w:t>
            </w:r>
          </w:p>
          <w:p w14:paraId="1284D485"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(0.00)</w:t>
            </w:r>
          </w:p>
        </w:tc>
        <w:tc>
          <w:tcPr>
            <w:tcW w:w="1440" w:type="dxa"/>
            <w:tcBorders>
              <w:left w:val="single" w:sz="18" w:space="0" w:color="auto"/>
              <w:bottom w:val="triple" w:sz="4" w:space="0" w:color="auto"/>
              <w:right w:val="single" w:sz="18" w:space="0" w:color="auto"/>
            </w:tcBorders>
            <w:noWrap/>
            <w:hideMark/>
          </w:tcPr>
          <w:p w14:paraId="0CD99D54"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0.0929***</w:t>
            </w:r>
          </w:p>
          <w:p w14:paraId="13755D09"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(0.00)</w:t>
            </w:r>
          </w:p>
        </w:tc>
        <w:tc>
          <w:tcPr>
            <w:tcW w:w="1440" w:type="dxa"/>
            <w:tcBorders>
              <w:left w:val="single" w:sz="18" w:space="0" w:color="auto"/>
              <w:bottom w:val="triple" w:sz="4" w:space="0" w:color="auto"/>
              <w:right w:val="single" w:sz="18" w:space="0" w:color="auto"/>
            </w:tcBorders>
            <w:noWrap/>
            <w:hideMark/>
          </w:tcPr>
          <w:p w14:paraId="187EDA9E"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0.115***</w:t>
            </w:r>
          </w:p>
          <w:p w14:paraId="5595A9A7"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(0.00)</w:t>
            </w:r>
          </w:p>
        </w:tc>
        <w:tc>
          <w:tcPr>
            <w:tcW w:w="1800" w:type="dxa"/>
            <w:tcBorders>
              <w:left w:val="single" w:sz="18" w:space="0" w:color="auto"/>
              <w:bottom w:val="triple" w:sz="4" w:space="0" w:color="auto"/>
              <w:right w:val="single" w:sz="18" w:space="0" w:color="auto"/>
            </w:tcBorders>
            <w:noWrap/>
            <w:hideMark/>
          </w:tcPr>
          <w:p w14:paraId="699A45BB"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0.115***</w:t>
            </w:r>
          </w:p>
          <w:p w14:paraId="5E71FD82"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(0.00)</w:t>
            </w:r>
          </w:p>
        </w:tc>
      </w:tr>
      <w:tr w:rsidR="00F70B83" w:rsidRPr="003618A6" w14:paraId="33FEDCA7" w14:textId="77777777" w:rsidTr="00560FBA">
        <w:trPr>
          <w:trHeight w:val="300"/>
        </w:trPr>
        <w:tc>
          <w:tcPr>
            <w:tcW w:w="2178" w:type="dxa"/>
            <w:tcBorders>
              <w:top w:val="triple" w:sz="4" w:space="0" w:color="auto"/>
              <w:right w:val="single" w:sz="18" w:space="0" w:color="auto"/>
            </w:tcBorders>
            <w:noWrap/>
            <w:hideMark/>
          </w:tcPr>
          <w:p w14:paraId="588917BF" w14:textId="77777777" w:rsidR="00F70B83" w:rsidRPr="003618A6" w:rsidRDefault="00F70B83" w:rsidP="00F70B83">
            <w:pPr>
              <w:keepNext/>
              <w:keepLines/>
              <w:rPr>
                <w:rFonts w:eastAsia="Times New Roman" w:cstheme="minorHAnsi"/>
                <w:color w:val="000000"/>
                <w:sz w:val="22"/>
                <w:szCs w:val="22"/>
              </w:rPr>
            </w:pPr>
            <w:r w:rsidRPr="003618A6">
              <w:rPr>
                <w:rFonts w:eastAsia="Times New Roman" w:cstheme="minorHAnsi"/>
                <w:color w:val="000000"/>
                <w:sz w:val="22"/>
                <w:szCs w:val="22"/>
              </w:rPr>
              <w:t>Observations</w:t>
            </w:r>
          </w:p>
        </w:tc>
        <w:tc>
          <w:tcPr>
            <w:tcW w:w="1530" w:type="dxa"/>
            <w:tcBorders>
              <w:top w:val="triple" w:sz="4" w:space="0" w:color="auto"/>
              <w:left w:val="single" w:sz="18" w:space="0" w:color="auto"/>
              <w:right w:val="single" w:sz="18" w:space="0" w:color="auto"/>
            </w:tcBorders>
            <w:noWrap/>
            <w:hideMark/>
          </w:tcPr>
          <w:p w14:paraId="1E60E1F1"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3,690</w:t>
            </w:r>
          </w:p>
        </w:tc>
        <w:tc>
          <w:tcPr>
            <w:tcW w:w="1440" w:type="dxa"/>
            <w:tcBorders>
              <w:top w:val="triple" w:sz="4" w:space="0" w:color="auto"/>
              <w:left w:val="single" w:sz="18" w:space="0" w:color="auto"/>
              <w:right w:val="single" w:sz="18" w:space="0" w:color="auto"/>
            </w:tcBorders>
            <w:noWrap/>
            <w:hideMark/>
          </w:tcPr>
          <w:p w14:paraId="05C88F14"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3,690</w:t>
            </w:r>
          </w:p>
        </w:tc>
        <w:tc>
          <w:tcPr>
            <w:tcW w:w="1440" w:type="dxa"/>
            <w:tcBorders>
              <w:top w:val="triple" w:sz="4" w:space="0" w:color="auto"/>
              <w:left w:val="single" w:sz="18" w:space="0" w:color="auto"/>
              <w:right w:val="single" w:sz="18" w:space="0" w:color="auto"/>
            </w:tcBorders>
            <w:noWrap/>
            <w:hideMark/>
          </w:tcPr>
          <w:p w14:paraId="7A25B267"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3,690</w:t>
            </w:r>
          </w:p>
        </w:tc>
        <w:tc>
          <w:tcPr>
            <w:tcW w:w="1800" w:type="dxa"/>
            <w:tcBorders>
              <w:top w:val="triple" w:sz="4" w:space="0" w:color="auto"/>
              <w:left w:val="single" w:sz="18" w:space="0" w:color="auto"/>
              <w:right w:val="single" w:sz="18" w:space="0" w:color="auto"/>
            </w:tcBorders>
            <w:noWrap/>
            <w:hideMark/>
          </w:tcPr>
          <w:p w14:paraId="133A05D8"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3,690</w:t>
            </w:r>
          </w:p>
        </w:tc>
      </w:tr>
      <w:tr w:rsidR="00F70B83" w:rsidRPr="003618A6" w14:paraId="3506C50E" w14:textId="77777777" w:rsidTr="00560FBA">
        <w:trPr>
          <w:trHeight w:val="300"/>
        </w:trPr>
        <w:tc>
          <w:tcPr>
            <w:tcW w:w="2178" w:type="dxa"/>
            <w:tcBorders>
              <w:right w:val="single" w:sz="18" w:space="0" w:color="auto"/>
            </w:tcBorders>
            <w:noWrap/>
            <w:hideMark/>
          </w:tcPr>
          <w:p w14:paraId="5363BA73" w14:textId="77777777" w:rsidR="00F70B83" w:rsidRPr="003618A6" w:rsidRDefault="00F70B83" w:rsidP="00F70B83">
            <w:pPr>
              <w:keepNext/>
              <w:keepLines/>
              <w:rPr>
                <w:rFonts w:eastAsia="Times New Roman" w:cstheme="minorHAnsi"/>
                <w:color w:val="000000"/>
                <w:sz w:val="22"/>
                <w:szCs w:val="22"/>
              </w:rPr>
            </w:pPr>
            <w:r w:rsidRPr="003618A6">
              <w:rPr>
                <w:rFonts w:eastAsia="Times New Roman" w:cstheme="minorHAnsi"/>
                <w:color w:val="000000"/>
                <w:sz w:val="22"/>
                <w:szCs w:val="22"/>
              </w:rPr>
              <w:t>R-squared</w:t>
            </w:r>
          </w:p>
        </w:tc>
        <w:tc>
          <w:tcPr>
            <w:tcW w:w="1530" w:type="dxa"/>
            <w:tcBorders>
              <w:left w:val="single" w:sz="18" w:space="0" w:color="auto"/>
              <w:right w:val="single" w:sz="18" w:space="0" w:color="auto"/>
            </w:tcBorders>
            <w:noWrap/>
            <w:hideMark/>
          </w:tcPr>
          <w:p w14:paraId="33F4A811"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0.0</w:t>
            </w:r>
            <w:r>
              <w:rPr>
                <w:rFonts w:eastAsia="Times New Roman" w:cstheme="minorHAnsi"/>
                <w:color w:val="000000"/>
                <w:sz w:val="22"/>
                <w:szCs w:val="22"/>
              </w:rPr>
              <w:t>41</w:t>
            </w:r>
          </w:p>
        </w:tc>
        <w:tc>
          <w:tcPr>
            <w:tcW w:w="1440" w:type="dxa"/>
            <w:tcBorders>
              <w:left w:val="single" w:sz="18" w:space="0" w:color="auto"/>
              <w:right w:val="single" w:sz="18" w:space="0" w:color="auto"/>
            </w:tcBorders>
            <w:noWrap/>
            <w:hideMark/>
          </w:tcPr>
          <w:p w14:paraId="4BE0694B"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0.02</w:t>
            </w:r>
            <w:r>
              <w:rPr>
                <w:rFonts w:eastAsia="Times New Roman" w:cstheme="minorHAnsi"/>
                <w:color w:val="000000"/>
                <w:sz w:val="22"/>
                <w:szCs w:val="22"/>
              </w:rPr>
              <w:t>0</w:t>
            </w:r>
          </w:p>
        </w:tc>
        <w:tc>
          <w:tcPr>
            <w:tcW w:w="1440" w:type="dxa"/>
            <w:tcBorders>
              <w:left w:val="single" w:sz="18" w:space="0" w:color="auto"/>
              <w:right w:val="single" w:sz="18" w:space="0" w:color="auto"/>
            </w:tcBorders>
            <w:noWrap/>
            <w:hideMark/>
          </w:tcPr>
          <w:p w14:paraId="7B344945"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w:t>
            </w:r>
            <w:r>
              <w:rPr>
                <w:rFonts w:eastAsia="Times New Roman" w:cstheme="minorHAnsi"/>
                <w:color w:val="000000"/>
                <w:sz w:val="22"/>
                <w:szCs w:val="22"/>
              </w:rPr>
              <w:t>038</w:t>
            </w:r>
          </w:p>
        </w:tc>
        <w:tc>
          <w:tcPr>
            <w:tcW w:w="1800" w:type="dxa"/>
            <w:tcBorders>
              <w:left w:val="single" w:sz="18" w:space="0" w:color="auto"/>
              <w:right w:val="single" w:sz="18" w:space="0" w:color="auto"/>
            </w:tcBorders>
            <w:noWrap/>
            <w:hideMark/>
          </w:tcPr>
          <w:p w14:paraId="1FEBD2E8" w14:textId="77777777" w:rsidR="00F70B83" w:rsidRPr="003618A6" w:rsidRDefault="00F70B83" w:rsidP="00F70B83">
            <w:pPr>
              <w:keepNext/>
              <w:keepLines/>
              <w:jc w:val="right"/>
              <w:rPr>
                <w:rFonts w:eastAsia="Times New Roman" w:cstheme="minorHAnsi"/>
                <w:color w:val="000000"/>
                <w:sz w:val="22"/>
                <w:szCs w:val="22"/>
              </w:rPr>
            </w:pPr>
            <w:r w:rsidRPr="003618A6">
              <w:rPr>
                <w:rFonts w:eastAsia="Times New Roman" w:cstheme="minorHAnsi"/>
                <w:color w:val="000000"/>
                <w:sz w:val="22"/>
                <w:szCs w:val="22"/>
              </w:rPr>
              <w:t>0.0</w:t>
            </w:r>
            <w:r>
              <w:rPr>
                <w:rFonts w:eastAsia="Times New Roman" w:cstheme="minorHAnsi"/>
                <w:color w:val="000000"/>
                <w:sz w:val="22"/>
                <w:szCs w:val="22"/>
              </w:rPr>
              <w:t>22</w:t>
            </w:r>
          </w:p>
        </w:tc>
      </w:tr>
      <w:tr w:rsidR="00F70B83" w:rsidRPr="003618A6" w14:paraId="4044B1FE" w14:textId="77777777" w:rsidTr="00560FBA">
        <w:trPr>
          <w:trHeight w:val="320"/>
        </w:trPr>
        <w:tc>
          <w:tcPr>
            <w:tcW w:w="2178" w:type="dxa"/>
            <w:tcBorders>
              <w:right w:val="single" w:sz="18" w:space="0" w:color="auto"/>
            </w:tcBorders>
            <w:noWrap/>
            <w:hideMark/>
          </w:tcPr>
          <w:p w14:paraId="5FC27B75" w14:textId="77777777" w:rsidR="00F70B83" w:rsidRPr="003618A6" w:rsidRDefault="00F70B83" w:rsidP="00F70B83">
            <w:pPr>
              <w:keepNext/>
              <w:keepLines/>
              <w:rPr>
                <w:rFonts w:eastAsia="Times New Roman" w:cstheme="minorHAnsi"/>
                <w:color w:val="000000"/>
                <w:sz w:val="22"/>
                <w:szCs w:val="22"/>
              </w:rPr>
            </w:pPr>
            <w:r w:rsidRPr="003618A6">
              <w:rPr>
                <w:rFonts w:eastAsia="Times New Roman" w:cstheme="minorHAnsi"/>
                <w:color w:val="000000"/>
                <w:sz w:val="22"/>
                <w:szCs w:val="22"/>
              </w:rPr>
              <w:t>Number of dis</w:t>
            </w:r>
            <w:r>
              <w:rPr>
                <w:rFonts w:eastAsia="Times New Roman" w:cstheme="minorHAnsi"/>
                <w:color w:val="000000"/>
                <w:sz w:val="22"/>
                <w:szCs w:val="22"/>
              </w:rPr>
              <w:t>tricts</w:t>
            </w:r>
          </w:p>
        </w:tc>
        <w:tc>
          <w:tcPr>
            <w:tcW w:w="1530" w:type="dxa"/>
            <w:tcBorders>
              <w:left w:val="single" w:sz="18" w:space="0" w:color="auto"/>
              <w:right w:val="single" w:sz="18" w:space="0" w:color="auto"/>
            </w:tcBorders>
            <w:noWrap/>
            <w:hideMark/>
          </w:tcPr>
          <w:p w14:paraId="43071B62" w14:textId="77777777" w:rsidR="00F70B83" w:rsidRPr="00003007" w:rsidRDefault="00F70B83" w:rsidP="00F70B83">
            <w:pPr>
              <w:keepNext/>
              <w:keepLines/>
              <w:jc w:val="right"/>
              <w:rPr>
                <w:rFonts w:eastAsia="Times New Roman" w:cstheme="minorHAnsi"/>
                <w:color w:val="000000"/>
                <w:sz w:val="22"/>
                <w:szCs w:val="22"/>
              </w:rPr>
            </w:pPr>
            <w:r w:rsidRPr="00003007">
              <w:rPr>
                <w:rFonts w:eastAsia="Times New Roman" w:cstheme="minorHAnsi"/>
                <w:color w:val="000000"/>
                <w:sz w:val="22"/>
                <w:szCs w:val="22"/>
              </w:rPr>
              <w:t>90</w:t>
            </w:r>
          </w:p>
        </w:tc>
        <w:tc>
          <w:tcPr>
            <w:tcW w:w="1440" w:type="dxa"/>
            <w:tcBorders>
              <w:left w:val="single" w:sz="18" w:space="0" w:color="auto"/>
              <w:right w:val="single" w:sz="18" w:space="0" w:color="auto"/>
            </w:tcBorders>
            <w:noWrap/>
            <w:hideMark/>
          </w:tcPr>
          <w:p w14:paraId="02B25D51" w14:textId="77777777" w:rsidR="00F70B83" w:rsidRPr="00003007" w:rsidRDefault="00F70B83" w:rsidP="00F70B83">
            <w:pPr>
              <w:keepNext/>
              <w:keepLines/>
              <w:jc w:val="right"/>
              <w:rPr>
                <w:rFonts w:eastAsia="Times New Roman" w:cstheme="minorHAnsi"/>
                <w:color w:val="000000"/>
                <w:sz w:val="22"/>
                <w:szCs w:val="22"/>
              </w:rPr>
            </w:pPr>
            <w:r w:rsidRPr="00003007">
              <w:rPr>
                <w:rFonts w:eastAsia="Times New Roman" w:cstheme="minorHAnsi"/>
                <w:color w:val="000000"/>
                <w:sz w:val="22"/>
                <w:szCs w:val="22"/>
              </w:rPr>
              <w:t>90</w:t>
            </w:r>
          </w:p>
        </w:tc>
        <w:tc>
          <w:tcPr>
            <w:tcW w:w="1440" w:type="dxa"/>
            <w:tcBorders>
              <w:left w:val="single" w:sz="18" w:space="0" w:color="auto"/>
              <w:right w:val="single" w:sz="18" w:space="0" w:color="auto"/>
            </w:tcBorders>
            <w:noWrap/>
            <w:hideMark/>
          </w:tcPr>
          <w:p w14:paraId="0FB29052" w14:textId="77777777" w:rsidR="00F70B83" w:rsidRPr="00003007" w:rsidRDefault="00F70B83" w:rsidP="00F70B83">
            <w:pPr>
              <w:keepNext/>
              <w:keepLines/>
              <w:jc w:val="right"/>
              <w:rPr>
                <w:rFonts w:eastAsia="Times New Roman" w:cstheme="minorHAnsi"/>
                <w:color w:val="000000"/>
                <w:sz w:val="22"/>
                <w:szCs w:val="22"/>
              </w:rPr>
            </w:pPr>
            <w:r w:rsidRPr="00003007">
              <w:rPr>
                <w:rFonts w:eastAsia="Times New Roman" w:cstheme="minorHAnsi"/>
                <w:color w:val="000000"/>
                <w:sz w:val="22"/>
                <w:szCs w:val="22"/>
              </w:rPr>
              <w:t>90</w:t>
            </w:r>
          </w:p>
        </w:tc>
        <w:tc>
          <w:tcPr>
            <w:tcW w:w="1800" w:type="dxa"/>
            <w:tcBorders>
              <w:left w:val="single" w:sz="18" w:space="0" w:color="auto"/>
              <w:right w:val="single" w:sz="18" w:space="0" w:color="auto"/>
            </w:tcBorders>
            <w:noWrap/>
            <w:hideMark/>
          </w:tcPr>
          <w:p w14:paraId="50574D7E" w14:textId="77777777" w:rsidR="00F70B83" w:rsidRPr="00003007" w:rsidRDefault="00F70B83" w:rsidP="00F70B83">
            <w:pPr>
              <w:keepNext/>
              <w:keepLines/>
              <w:jc w:val="right"/>
              <w:rPr>
                <w:rFonts w:eastAsia="Times New Roman" w:cstheme="minorHAnsi"/>
                <w:color w:val="000000"/>
                <w:sz w:val="22"/>
                <w:szCs w:val="22"/>
              </w:rPr>
            </w:pPr>
            <w:r w:rsidRPr="00003007">
              <w:rPr>
                <w:rFonts w:eastAsia="Times New Roman" w:cstheme="minorHAnsi"/>
                <w:color w:val="000000"/>
                <w:sz w:val="22"/>
                <w:szCs w:val="22"/>
              </w:rPr>
              <w:t>90</w:t>
            </w:r>
          </w:p>
        </w:tc>
      </w:tr>
    </w:tbl>
    <w:p w14:paraId="266D213C" w14:textId="77777777" w:rsidR="00F70B83" w:rsidRDefault="00F70B83" w:rsidP="00F70B83">
      <w:pPr>
        <w:spacing w:line="480" w:lineRule="auto"/>
        <w:ind w:firstLine="360"/>
      </w:pPr>
    </w:p>
    <w:p w14:paraId="249C1868" w14:textId="20F28750" w:rsidR="001411EF" w:rsidRDefault="00F70B83" w:rsidP="00F70B83">
      <w:pPr>
        <w:spacing w:line="480" w:lineRule="auto"/>
        <w:ind w:firstLine="720"/>
      </w:pPr>
      <w:r>
        <w:t xml:space="preserve">Table 60 presents the results.  Seven of the eight coefficients have the “correct” </w:t>
      </w:r>
      <w:r w:rsidR="001411EF">
        <w:t xml:space="preserve">sign; broad decisions are followed by more </w:t>
      </w:r>
      <w:r w:rsidR="006174EC">
        <w:t>chapter 11</w:t>
      </w:r>
      <w:r w:rsidR="001411EF">
        <w:t xml:space="preserve"> filings and narrow decisions are followed by fewer </w:t>
      </w:r>
      <w:r w:rsidR="006174EC">
        <w:t>chapter 11</w:t>
      </w:r>
      <w:r w:rsidR="001411EF">
        <w:t xml:space="preserve"> filings. </w:t>
      </w:r>
      <w:r w:rsidR="00D9767A">
        <w:t>F</w:t>
      </w:r>
      <w:r w:rsidR="00EA3379">
        <w:t xml:space="preserve">ive of the eight </w:t>
      </w:r>
      <w:r w:rsidR="001411EF">
        <w:t xml:space="preserve">coefficients are </w:t>
      </w:r>
      <w:r w:rsidR="00EA3379">
        <w:t xml:space="preserve">not </w:t>
      </w:r>
      <w:r w:rsidR="001411EF">
        <w:t xml:space="preserve">statistically significant at the </w:t>
      </w:r>
      <w:r w:rsidR="0075317C">
        <w:t>10%</w:t>
      </w:r>
      <w:r w:rsidR="001411EF">
        <w:t xml:space="preserve"> level</w:t>
      </w:r>
      <w:r w:rsidR="00D9767A">
        <w:t>, however,</w:t>
      </w:r>
      <w:r w:rsidR="006374FC">
        <w:t xml:space="preserve"> meaning that </w:t>
      </w:r>
      <w:r w:rsidR="001411EF">
        <w:t>we can</w:t>
      </w:r>
      <w:r w:rsidR="003618A6">
        <w:t>not</w:t>
      </w:r>
      <w:r w:rsidR="001411EF">
        <w:t xml:space="preserve"> reject the hypothesis that there is no relationship between the decisions and the filing rate with </w:t>
      </w:r>
      <w:r w:rsidR="0075317C">
        <w:t>90%</w:t>
      </w:r>
      <w:r w:rsidR="001411EF">
        <w:t xml:space="preserve"> certainty. Even when not statistically significant, the coefficients suggest that the effects may be economically significant. For example, consider the results in column (A). These </w:t>
      </w:r>
      <w:r w:rsidR="003618A6">
        <w:t xml:space="preserve">results </w:t>
      </w:r>
      <w:r w:rsidR="001411EF">
        <w:t xml:space="preserve">suggest that a broad interpretation may increase the percentage of non-business filings made in </w:t>
      </w:r>
      <w:r w:rsidR="006174EC">
        <w:t>chapter 11</w:t>
      </w:r>
      <w:r>
        <w:t xml:space="preserve"> by 0.05</w:t>
      </w:r>
      <w:r w:rsidR="001411EF">
        <w:t xml:space="preserve">; while this is a small number, the mean is just 0.09.  </w:t>
      </w:r>
    </w:p>
    <w:p w14:paraId="13611890" w14:textId="2A42CEA0" w:rsidR="001411EF" w:rsidRDefault="001411EF" w:rsidP="00F70B83">
      <w:pPr>
        <w:spacing w:line="480" w:lineRule="auto"/>
        <w:ind w:firstLine="720"/>
      </w:pPr>
      <w:r>
        <w:t>As expected, weighting the regressions by the total number of non-business filings in a district increases both the predicted magnitude of the effects and usually the statistical significance. The fact that the magnitude increases suggests that if there is an effect it is stronger in the larger, more populous districts. As noted above, this is consistent with the theory that a greater proportion of high-asset individuals live in these districts.</w:t>
      </w:r>
    </w:p>
    <w:p w14:paraId="0EF80A6E" w14:textId="0119F084" w:rsidR="001411EF" w:rsidRPr="007869AA" w:rsidRDefault="001411EF" w:rsidP="00D9767A">
      <w:pPr>
        <w:spacing w:line="480" w:lineRule="auto"/>
        <w:ind w:firstLine="720"/>
      </w:pPr>
      <w:r>
        <w:t>The coefficient on broad is much larger than the coefficient on narrow. Perhaps this is because most lawyers expected courts to adopt the narrow interpretation of the exception to the APR and a broad ruling is</w:t>
      </w:r>
      <w:r w:rsidR="003618A6">
        <w:t>,</w:t>
      </w:r>
      <w:r>
        <w:t xml:space="preserve"> therefore</w:t>
      </w:r>
      <w:r w:rsidR="003618A6">
        <w:t>,</w:t>
      </w:r>
      <w:r>
        <w:t xml:space="preserve"> a greater surprise. This does not hold true for the circuit court decisions, but this </w:t>
      </w:r>
      <w:r w:rsidR="006374FC">
        <w:t xml:space="preserve">may also make </w:t>
      </w:r>
      <w:r>
        <w:t>sense. The broad “circuit” court decision isn’t really a circuit court decision at all but rather a decision by the Ninth Circuit’s Bankruptcy Appellate Panel.</w:t>
      </w:r>
      <w:r>
        <w:rPr>
          <w:rStyle w:val="FootnoteReference"/>
        </w:rPr>
        <w:footnoteReference w:id="334"/>
      </w:r>
      <w:r>
        <w:t xml:space="preserve"> At least one bankruptcy court </w:t>
      </w:r>
      <w:r w:rsidR="0011463B">
        <w:t xml:space="preserve">in the Ninth Circuit </w:t>
      </w:r>
      <w:r>
        <w:t xml:space="preserve">has stated that it is not bound by BAP precedent and </w:t>
      </w:r>
      <w:r w:rsidR="0011463B">
        <w:t xml:space="preserve">has </w:t>
      </w:r>
      <w:r>
        <w:t>expressly rejected this broad interpretation.</w:t>
      </w:r>
      <w:r>
        <w:rPr>
          <w:rStyle w:val="FootnoteReference"/>
        </w:rPr>
        <w:footnoteReference w:id="335"/>
      </w:r>
      <w:r>
        <w:t xml:space="preserve"> Moreover, debtors</w:t>
      </w:r>
      <w:r w:rsidR="0011463B">
        <w:t>’ attorneys</w:t>
      </w:r>
      <w:r>
        <w:t xml:space="preserve"> may have feared that the Ninth Circuit could overrule the BAP, a</w:t>
      </w:r>
      <w:r w:rsidR="0011463B">
        <w:t xml:space="preserve">s </w:t>
      </w:r>
      <w:r>
        <w:t xml:space="preserve">it did  in January of </w:t>
      </w:r>
      <w:r w:rsidR="00D511E5">
        <w:t>2016</w:t>
      </w:r>
      <w:r>
        <w:t>.</w:t>
      </w:r>
      <w:r>
        <w:rPr>
          <w:rStyle w:val="FootnoteReference"/>
        </w:rPr>
        <w:footnoteReference w:id="336"/>
      </w:r>
    </w:p>
    <w:p w14:paraId="354F9F51" w14:textId="77777777" w:rsidR="003E1E45" w:rsidRDefault="009E554A" w:rsidP="003E1E45">
      <w:pPr>
        <w:spacing w:line="480" w:lineRule="auto"/>
        <w:jc w:val="center"/>
        <w:rPr>
          <w:rFonts w:ascii="Times New Roman" w:hAnsi="Times New Roman" w:cs="Times New Roman"/>
          <w:b/>
        </w:rPr>
      </w:pPr>
      <w:r>
        <w:rPr>
          <w:rFonts w:ascii="Times New Roman" w:hAnsi="Times New Roman" w:cs="Times New Roman"/>
        </w:rPr>
        <w:br w:type="column"/>
      </w:r>
      <w:r w:rsidR="003E1E45">
        <w:rPr>
          <w:rFonts w:ascii="Times New Roman" w:hAnsi="Times New Roman" w:cs="Times New Roman"/>
          <w:b/>
        </w:rPr>
        <w:t xml:space="preserve">Appendix C: </w:t>
      </w:r>
      <w:r w:rsidR="003E1E45" w:rsidRPr="00003007">
        <w:rPr>
          <w:rFonts w:ascii="Times New Roman" w:hAnsi="Times New Roman" w:cs="Times New Roman"/>
          <w:b/>
        </w:rPr>
        <w:t xml:space="preserve">Court Decisions Interpreting the </w:t>
      </w:r>
      <w:r w:rsidR="003E1E45">
        <w:rPr>
          <w:rFonts w:ascii="Times New Roman" w:hAnsi="Times New Roman" w:cs="Times New Roman"/>
          <w:b/>
        </w:rPr>
        <w:t xml:space="preserve">APR </w:t>
      </w:r>
      <w:r w:rsidR="003E1E45" w:rsidRPr="00003007">
        <w:rPr>
          <w:rFonts w:ascii="Times New Roman" w:hAnsi="Times New Roman" w:cs="Times New Roman"/>
          <w:b/>
        </w:rPr>
        <w:t>Exception</w:t>
      </w:r>
    </w:p>
    <w:tbl>
      <w:tblPr>
        <w:tblStyle w:val="TableGrid"/>
        <w:tblW w:w="8478" w:type="dxa"/>
        <w:tblLook w:val="04A0" w:firstRow="1" w:lastRow="0" w:firstColumn="1" w:lastColumn="0" w:noHBand="0" w:noVBand="1"/>
      </w:tblPr>
      <w:tblGrid>
        <w:gridCol w:w="1908"/>
        <w:gridCol w:w="4950"/>
        <w:gridCol w:w="1620"/>
      </w:tblGrid>
      <w:tr w:rsidR="003E1E45" w:rsidRPr="00E8452A" w14:paraId="72659822" w14:textId="77777777" w:rsidTr="00D061DC">
        <w:tc>
          <w:tcPr>
            <w:tcW w:w="1908" w:type="dxa"/>
            <w:tcBorders>
              <w:top w:val="single" w:sz="18" w:space="0" w:color="auto"/>
              <w:left w:val="single" w:sz="18" w:space="0" w:color="auto"/>
              <w:bottom w:val="single" w:sz="18" w:space="0" w:color="auto"/>
              <w:right w:val="single" w:sz="4" w:space="0" w:color="auto"/>
            </w:tcBorders>
            <w:shd w:val="clear" w:color="auto" w:fill="8DB3E2" w:themeFill="text2" w:themeFillTint="66"/>
          </w:tcPr>
          <w:p w14:paraId="4A9FBE77" w14:textId="77777777" w:rsidR="003E1E45" w:rsidRPr="00E8452A" w:rsidRDefault="003E1E45" w:rsidP="00D061DC">
            <w:pPr>
              <w:rPr>
                <w:rFonts w:ascii="Times New Roman" w:hAnsi="Times New Roman" w:cs="Times New Roman"/>
              </w:rPr>
            </w:pPr>
            <w:r w:rsidRPr="009E554A">
              <w:rPr>
                <w:rFonts w:ascii="Times New Roman" w:hAnsi="Times New Roman" w:cs="Times New Roman"/>
                <w:b/>
              </w:rPr>
              <w:t>Jurisdiction</w:t>
            </w:r>
          </w:p>
        </w:tc>
        <w:tc>
          <w:tcPr>
            <w:tcW w:w="4950" w:type="dxa"/>
            <w:tcBorders>
              <w:top w:val="single" w:sz="18" w:space="0" w:color="auto"/>
              <w:left w:val="single" w:sz="4" w:space="0" w:color="auto"/>
              <w:bottom w:val="single" w:sz="18" w:space="0" w:color="auto"/>
            </w:tcBorders>
            <w:shd w:val="clear" w:color="auto" w:fill="8DB3E2" w:themeFill="text2" w:themeFillTint="66"/>
          </w:tcPr>
          <w:p w14:paraId="6D5AC57A" w14:textId="77777777" w:rsidR="003E1E45" w:rsidRPr="00E8452A" w:rsidRDefault="003E1E45" w:rsidP="00D061DC">
            <w:pPr>
              <w:rPr>
                <w:rFonts w:ascii="Times New Roman" w:hAnsi="Times New Roman" w:cs="Times New Roman"/>
                <w:i/>
              </w:rPr>
            </w:pPr>
            <w:r w:rsidRPr="009E554A">
              <w:rPr>
                <w:rFonts w:ascii="Times New Roman" w:hAnsi="Times New Roman" w:cs="Times New Roman"/>
                <w:b/>
              </w:rPr>
              <w:t>Case Citation</w:t>
            </w:r>
          </w:p>
        </w:tc>
        <w:tc>
          <w:tcPr>
            <w:tcW w:w="1620" w:type="dxa"/>
            <w:tcBorders>
              <w:top w:val="single" w:sz="18" w:space="0" w:color="auto"/>
              <w:bottom w:val="single" w:sz="18" w:space="0" w:color="auto"/>
              <w:right w:val="single" w:sz="18" w:space="0" w:color="auto"/>
            </w:tcBorders>
            <w:shd w:val="clear" w:color="auto" w:fill="8DB3E2" w:themeFill="text2" w:themeFillTint="66"/>
          </w:tcPr>
          <w:p w14:paraId="4E56C8E3" w14:textId="77777777" w:rsidR="003E1E45" w:rsidRPr="00E8452A" w:rsidRDefault="003E1E45" w:rsidP="00D061DC">
            <w:pPr>
              <w:rPr>
                <w:rFonts w:ascii="Times New Roman" w:hAnsi="Times New Roman" w:cs="Times New Roman"/>
              </w:rPr>
            </w:pPr>
            <w:r w:rsidRPr="009E554A">
              <w:rPr>
                <w:rFonts w:ascii="Times New Roman" w:hAnsi="Times New Roman" w:cs="Times New Roman"/>
                <w:b/>
              </w:rPr>
              <w:t>View Adopted</w:t>
            </w:r>
          </w:p>
        </w:tc>
      </w:tr>
      <w:tr w:rsidR="003E1E45" w:rsidRPr="00E8452A" w14:paraId="48889033" w14:textId="77777777" w:rsidTr="00D061DC">
        <w:tc>
          <w:tcPr>
            <w:tcW w:w="1908" w:type="dxa"/>
            <w:tcBorders>
              <w:top w:val="single" w:sz="18" w:space="0" w:color="auto"/>
              <w:right w:val="single" w:sz="4" w:space="0" w:color="auto"/>
            </w:tcBorders>
            <w:shd w:val="clear" w:color="auto" w:fill="DAEEF3" w:themeFill="accent5" w:themeFillTint="33"/>
          </w:tcPr>
          <w:p w14:paraId="3E8A513B" w14:textId="77777777" w:rsidR="003E1E45" w:rsidRPr="009E554A" w:rsidRDefault="003E1E45" w:rsidP="00D061DC">
            <w:pPr>
              <w:rPr>
                <w:rFonts w:ascii="Times New Roman" w:hAnsi="Times New Roman" w:cs="Times New Roman"/>
                <w:i/>
              </w:rPr>
            </w:pPr>
            <w:r>
              <w:rPr>
                <w:rFonts w:ascii="Times New Roman" w:hAnsi="Times New Roman" w:cs="Times New Roman"/>
                <w:i/>
              </w:rPr>
              <w:t>First Circuit</w:t>
            </w:r>
          </w:p>
        </w:tc>
        <w:tc>
          <w:tcPr>
            <w:tcW w:w="4950" w:type="dxa"/>
            <w:tcBorders>
              <w:top w:val="single" w:sz="18" w:space="0" w:color="auto"/>
              <w:left w:val="single" w:sz="4" w:space="0" w:color="auto"/>
            </w:tcBorders>
            <w:shd w:val="clear" w:color="auto" w:fill="DAEEF3" w:themeFill="accent5" w:themeFillTint="33"/>
          </w:tcPr>
          <w:p w14:paraId="5B5B0818" w14:textId="77777777" w:rsidR="003E1E45" w:rsidRPr="00E8452A" w:rsidRDefault="003E1E45" w:rsidP="00D061DC">
            <w:pPr>
              <w:rPr>
                <w:rFonts w:ascii="Times New Roman" w:hAnsi="Times New Roman" w:cs="Times New Roman"/>
                <w:i/>
              </w:rPr>
            </w:pPr>
          </w:p>
        </w:tc>
        <w:tc>
          <w:tcPr>
            <w:tcW w:w="1620" w:type="dxa"/>
            <w:tcBorders>
              <w:top w:val="single" w:sz="18" w:space="0" w:color="auto"/>
            </w:tcBorders>
            <w:shd w:val="clear" w:color="auto" w:fill="DAEEF3" w:themeFill="accent5" w:themeFillTint="33"/>
          </w:tcPr>
          <w:p w14:paraId="4E525B62" w14:textId="77777777" w:rsidR="003E1E45" w:rsidRPr="00E8452A" w:rsidRDefault="003E1E45" w:rsidP="00D061DC">
            <w:pPr>
              <w:rPr>
                <w:rFonts w:ascii="Times New Roman" w:hAnsi="Times New Roman" w:cs="Times New Roman"/>
              </w:rPr>
            </w:pPr>
          </w:p>
        </w:tc>
      </w:tr>
      <w:tr w:rsidR="003E1E45" w:rsidRPr="00E8452A" w14:paraId="52B1AF5D" w14:textId="77777777" w:rsidTr="00D061DC">
        <w:tc>
          <w:tcPr>
            <w:tcW w:w="1908" w:type="dxa"/>
            <w:tcBorders>
              <w:right w:val="single" w:sz="4" w:space="0" w:color="auto"/>
            </w:tcBorders>
          </w:tcPr>
          <w:p w14:paraId="3A10C6F3"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D.P.R.</w:t>
            </w:r>
          </w:p>
        </w:tc>
        <w:tc>
          <w:tcPr>
            <w:tcW w:w="4950" w:type="dxa"/>
            <w:tcBorders>
              <w:left w:val="single" w:sz="4" w:space="0" w:color="auto"/>
            </w:tcBorders>
          </w:tcPr>
          <w:p w14:paraId="30AD2AA0"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 xml:space="preserve">In re Lee Min Ho Chen, </w:t>
            </w:r>
            <w:r w:rsidRPr="00E8452A">
              <w:rPr>
                <w:rFonts w:ascii="Times New Roman" w:hAnsi="Times New Roman" w:cs="Times New Roman"/>
              </w:rPr>
              <w:t xml:space="preserve">482 B.R. 473 (Bankr. D.P.R. </w:t>
            </w:r>
            <w:r>
              <w:rPr>
                <w:rFonts w:ascii="Times New Roman" w:hAnsi="Times New Roman" w:cs="Times New Roman"/>
              </w:rPr>
              <w:t xml:space="preserve">Nov. 9, </w:t>
            </w:r>
            <w:r w:rsidRPr="00E8452A">
              <w:rPr>
                <w:rFonts w:ascii="Times New Roman" w:hAnsi="Times New Roman" w:cs="Times New Roman"/>
              </w:rPr>
              <w:t>2012)</w:t>
            </w:r>
          </w:p>
        </w:tc>
        <w:tc>
          <w:tcPr>
            <w:tcW w:w="1620" w:type="dxa"/>
          </w:tcPr>
          <w:p w14:paraId="7E490780"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063C8DF0" w14:textId="77777777" w:rsidTr="00D061DC">
        <w:tc>
          <w:tcPr>
            <w:tcW w:w="1908" w:type="dxa"/>
          </w:tcPr>
          <w:p w14:paraId="05A151FD"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D. Mass.</w:t>
            </w:r>
          </w:p>
        </w:tc>
        <w:tc>
          <w:tcPr>
            <w:tcW w:w="4950" w:type="dxa"/>
          </w:tcPr>
          <w:p w14:paraId="18D30A2A" w14:textId="77777777" w:rsidR="003E1E45" w:rsidRPr="00E8452A" w:rsidRDefault="003E1E45" w:rsidP="00D061DC">
            <w:pPr>
              <w:rPr>
                <w:rFonts w:ascii="Times New Roman" w:hAnsi="Times New Roman" w:cs="Times New Roman"/>
              </w:rPr>
            </w:pPr>
            <w:r w:rsidRPr="00E8452A">
              <w:rPr>
                <w:rFonts w:ascii="Times New Roman" w:hAnsi="Times New Roman" w:cs="Times New Roman"/>
                <w:i/>
              </w:rPr>
              <w:t>In re Walsh</w:t>
            </w:r>
            <w:r w:rsidRPr="00E8452A">
              <w:rPr>
                <w:rFonts w:ascii="Times New Roman" w:hAnsi="Times New Roman" w:cs="Times New Roman"/>
              </w:rPr>
              <w:t xml:space="preserve">, 447 B.R. 45 (Bankr. D. Mass. </w:t>
            </w:r>
            <w:r>
              <w:rPr>
                <w:rFonts w:ascii="Times New Roman" w:hAnsi="Times New Roman" w:cs="Times New Roman"/>
              </w:rPr>
              <w:t xml:space="preserve">Mar. 9, </w:t>
            </w:r>
            <w:r w:rsidRPr="00E8452A">
              <w:rPr>
                <w:rFonts w:ascii="Times New Roman" w:hAnsi="Times New Roman" w:cs="Times New Roman"/>
              </w:rPr>
              <w:t>2011)</w:t>
            </w:r>
          </w:p>
        </w:tc>
        <w:tc>
          <w:tcPr>
            <w:tcW w:w="1620" w:type="dxa"/>
          </w:tcPr>
          <w:p w14:paraId="7339AA06"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6FA8DBEE" w14:textId="77777777" w:rsidTr="00D061DC">
        <w:tc>
          <w:tcPr>
            <w:tcW w:w="1908" w:type="dxa"/>
            <w:shd w:val="clear" w:color="auto" w:fill="DAEEF3" w:themeFill="accent5" w:themeFillTint="33"/>
          </w:tcPr>
          <w:p w14:paraId="5C1DD713" w14:textId="77777777" w:rsidR="003E1E45" w:rsidRPr="009E554A" w:rsidRDefault="003E1E45" w:rsidP="00D061DC">
            <w:pPr>
              <w:rPr>
                <w:rFonts w:ascii="Times New Roman" w:hAnsi="Times New Roman" w:cs="Times New Roman"/>
                <w:i/>
              </w:rPr>
            </w:pPr>
            <w:r>
              <w:rPr>
                <w:rFonts w:ascii="Times New Roman" w:hAnsi="Times New Roman" w:cs="Times New Roman"/>
                <w:i/>
              </w:rPr>
              <w:t>Third Circuit</w:t>
            </w:r>
          </w:p>
        </w:tc>
        <w:tc>
          <w:tcPr>
            <w:tcW w:w="4950" w:type="dxa"/>
            <w:shd w:val="clear" w:color="auto" w:fill="DAEEF3" w:themeFill="accent5" w:themeFillTint="33"/>
          </w:tcPr>
          <w:p w14:paraId="7FD0D827" w14:textId="77777777" w:rsidR="003E1E45" w:rsidRDefault="003E1E45" w:rsidP="00D061DC">
            <w:pPr>
              <w:rPr>
                <w:rFonts w:ascii="Times New Roman" w:hAnsi="Times New Roman" w:cs="Times New Roman"/>
                <w:i/>
              </w:rPr>
            </w:pPr>
          </w:p>
        </w:tc>
        <w:tc>
          <w:tcPr>
            <w:tcW w:w="1620" w:type="dxa"/>
            <w:shd w:val="clear" w:color="auto" w:fill="DAEEF3" w:themeFill="accent5" w:themeFillTint="33"/>
          </w:tcPr>
          <w:p w14:paraId="0A0151B9" w14:textId="77777777" w:rsidR="003E1E45" w:rsidRDefault="003E1E45" w:rsidP="00D061DC">
            <w:pPr>
              <w:rPr>
                <w:rFonts w:ascii="Times New Roman" w:hAnsi="Times New Roman" w:cs="Times New Roman"/>
              </w:rPr>
            </w:pPr>
          </w:p>
        </w:tc>
      </w:tr>
      <w:tr w:rsidR="003E1E45" w:rsidRPr="00E8452A" w14:paraId="74FCACC9" w14:textId="77777777" w:rsidTr="00D061DC">
        <w:tc>
          <w:tcPr>
            <w:tcW w:w="1908" w:type="dxa"/>
          </w:tcPr>
          <w:p w14:paraId="3C0A1C5E"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E.D. Pa.</w:t>
            </w:r>
          </w:p>
        </w:tc>
        <w:tc>
          <w:tcPr>
            <w:tcW w:w="4950" w:type="dxa"/>
          </w:tcPr>
          <w:p w14:paraId="6AEF12FE" w14:textId="77777777" w:rsidR="003E1E45" w:rsidRPr="00E8452A" w:rsidRDefault="003E1E45" w:rsidP="00D061DC">
            <w:pPr>
              <w:rPr>
                <w:rFonts w:ascii="Times New Roman" w:hAnsi="Times New Roman" w:cs="Times New Roman"/>
              </w:rPr>
            </w:pPr>
            <w:r w:rsidRPr="00E8452A">
              <w:rPr>
                <w:rFonts w:ascii="Times New Roman" w:hAnsi="Times New Roman" w:cs="Times New Roman"/>
                <w:i/>
              </w:rPr>
              <w:t>In re Brown</w:t>
            </w:r>
            <w:r w:rsidRPr="00E8452A">
              <w:rPr>
                <w:rFonts w:ascii="Times New Roman" w:hAnsi="Times New Roman" w:cs="Times New Roman"/>
              </w:rPr>
              <w:t xml:space="preserve">, 505 B.R. 638 (E.D. Pa. </w:t>
            </w:r>
            <w:r>
              <w:rPr>
                <w:rFonts w:ascii="Times New Roman" w:hAnsi="Times New Roman" w:cs="Times New Roman"/>
              </w:rPr>
              <w:t xml:space="preserve">Feb. 24, </w:t>
            </w:r>
            <w:r w:rsidRPr="00E8452A">
              <w:rPr>
                <w:rFonts w:ascii="Times New Roman" w:hAnsi="Times New Roman" w:cs="Times New Roman"/>
              </w:rPr>
              <w:t>2014)</w:t>
            </w:r>
          </w:p>
        </w:tc>
        <w:tc>
          <w:tcPr>
            <w:tcW w:w="1620" w:type="dxa"/>
          </w:tcPr>
          <w:p w14:paraId="70B89A19"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5775AA40" w14:textId="77777777" w:rsidTr="00D061DC">
        <w:trPr>
          <w:trHeight w:val="70"/>
        </w:trPr>
        <w:tc>
          <w:tcPr>
            <w:tcW w:w="1908" w:type="dxa"/>
          </w:tcPr>
          <w:p w14:paraId="1C7D9707"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E.D. Pa.</w:t>
            </w:r>
          </w:p>
        </w:tc>
        <w:tc>
          <w:tcPr>
            <w:tcW w:w="4950" w:type="dxa"/>
          </w:tcPr>
          <w:p w14:paraId="1917B2B3"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Alfaro</w:t>
            </w:r>
            <w:r w:rsidRPr="00E8452A">
              <w:rPr>
                <w:rFonts w:ascii="Times New Roman" w:hAnsi="Times New Roman" w:cs="Times New Roman"/>
              </w:rPr>
              <w:t xml:space="preserve">, 501 B.R. 292 (Bankr. E.D. Pa. </w:t>
            </w:r>
            <w:r>
              <w:rPr>
                <w:rFonts w:ascii="Times New Roman" w:hAnsi="Times New Roman" w:cs="Times New Roman"/>
              </w:rPr>
              <w:t xml:space="preserve">Nov. 22, </w:t>
            </w:r>
            <w:r w:rsidRPr="00E8452A">
              <w:rPr>
                <w:rFonts w:ascii="Times New Roman" w:hAnsi="Times New Roman" w:cs="Times New Roman"/>
              </w:rPr>
              <w:t>2013)</w:t>
            </w:r>
          </w:p>
        </w:tc>
        <w:tc>
          <w:tcPr>
            <w:tcW w:w="1620" w:type="dxa"/>
          </w:tcPr>
          <w:p w14:paraId="3D2F379F"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404B6C8B" w14:textId="77777777" w:rsidTr="00D061DC">
        <w:trPr>
          <w:trHeight w:val="80"/>
        </w:trPr>
        <w:tc>
          <w:tcPr>
            <w:tcW w:w="1908" w:type="dxa"/>
          </w:tcPr>
          <w:p w14:paraId="58112AC5"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E.D. Pa.</w:t>
            </w:r>
          </w:p>
        </w:tc>
        <w:tc>
          <w:tcPr>
            <w:tcW w:w="4950" w:type="dxa"/>
          </w:tcPr>
          <w:p w14:paraId="25A2B962"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Brown</w:t>
            </w:r>
            <w:r w:rsidRPr="00E8452A">
              <w:rPr>
                <w:rFonts w:ascii="Times New Roman" w:hAnsi="Times New Roman" w:cs="Times New Roman"/>
              </w:rPr>
              <w:t xml:space="preserve">, 498 B.R. 486 (Bankr. E.D. Pa. </w:t>
            </w:r>
            <w:r>
              <w:rPr>
                <w:rFonts w:ascii="Times New Roman" w:hAnsi="Times New Roman" w:cs="Times New Roman"/>
              </w:rPr>
              <w:t xml:space="preserve">Sept. 26, </w:t>
            </w:r>
            <w:r w:rsidRPr="00E8452A">
              <w:rPr>
                <w:rFonts w:ascii="Times New Roman" w:hAnsi="Times New Roman" w:cs="Times New Roman"/>
              </w:rPr>
              <w:t xml:space="preserve">2013) </w:t>
            </w:r>
            <w:r w:rsidRPr="00E8452A">
              <w:rPr>
                <w:rFonts w:ascii="Times New Roman" w:hAnsi="Times New Roman" w:cs="Times New Roman"/>
                <w:i/>
              </w:rPr>
              <w:t>aff'd</w:t>
            </w:r>
            <w:r w:rsidRPr="00E8452A">
              <w:rPr>
                <w:rFonts w:ascii="Times New Roman" w:hAnsi="Times New Roman" w:cs="Times New Roman"/>
              </w:rPr>
              <w:t>, 505 B.R. 638 (E.D. Pa. 2014)</w:t>
            </w:r>
          </w:p>
        </w:tc>
        <w:tc>
          <w:tcPr>
            <w:tcW w:w="1620" w:type="dxa"/>
          </w:tcPr>
          <w:p w14:paraId="6EAEBB11"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141DCD09" w14:textId="77777777" w:rsidTr="00D061DC">
        <w:trPr>
          <w:trHeight w:val="80"/>
        </w:trPr>
        <w:tc>
          <w:tcPr>
            <w:tcW w:w="1908" w:type="dxa"/>
            <w:shd w:val="clear" w:color="auto" w:fill="DAEEF3" w:themeFill="accent5" w:themeFillTint="33"/>
          </w:tcPr>
          <w:p w14:paraId="288FE398" w14:textId="77777777" w:rsidR="003E1E45" w:rsidRPr="009E554A" w:rsidRDefault="003E1E45" w:rsidP="00D061DC">
            <w:pPr>
              <w:rPr>
                <w:rFonts w:ascii="Times New Roman" w:hAnsi="Times New Roman" w:cs="Times New Roman"/>
                <w:i/>
              </w:rPr>
            </w:pPr>
            <w:r>
              <w:rPr>
                <w:rFonts w:ascii="Times New Roman" w:hAnsi="Times New Roman" w:cs="Times New Roman"/>
                <w:i/>
              </w:rPr>
              <w:t>Fourth Circuit</w:t>
            </w:r>
          </w:p>
        </w:tc>
        <w:tc>
          <w:tcPr>
            <w:tcW w:w="4950" w:type="dxa"/>
            <w:shd w:val="clear" w:color="auto" w:fill="DAEEF3" w:themeFill="accent5" w:themeFillTint="33"/>
          </w:tcPr>
          <w:p w14:paraId="331B028E" w14:textId="77777777" w:rsidR="003E1E45" w:rsidRPr="00E8452A" w:rsidRDefault="003E1E45" w:rsidP="00D061DC">
            <w:pPr>
              <w:rPr>
                <w:rFonts w:ascii="Times New Roman" w:hAnsi="Times New Roman" w:cs="Times New Roman"/>
                <w:i/>
              </w:rPr>
            </w:pPr>
          </w:p>
        </w:tc>
        <w:tc>
          <w:tcPr>
            <w:tcW w:w="1620" w:type="dxa"/>
            <w:shd w:val="clear" w:color="auto" w:fill="DAEEF3" w:themeFill="accent5" w:themeFillTint="33"/>
          </w:tcPr>
          <w:p w14:paraId="2E3DCE3D" w14:textId="77777777" w:rsidR="003E1E45" w:rsidRPr="00E8452A" w:rsidRDefault="003E1E45" w:rsidP="00D061DC">
            <w:pPr>
              <w:rPr>
                <w:rFonts w:ascii="Times New Roman" w:hAnsi="Times New Roman" w:cs="Times New Roman"/>
              </w:rPr>
            </w:pPr>
          </w:p>
        </w:tc>
      </w:tr>
      <w:tr w:rsidR="003E1E45" w:rsidRPr="00E8452A" w14:paraId="248C2562" w14:textId="77777777" w:rsidTr="00D061DC">
        <w:tc>
          <w:tcPr>
            <w:tcW w:w="1908" w:type="dxa"/>
          </w:tcPr>
          <w:p w14:paraId="564F81B3"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4th Cir</w:t>
            </w:r>
            <w:r>
              <w:rPr>
                <w:rFonts w:ascii="Times New Roman" w:hAnsi="Times New Roman" w:cs="Times New Roman"/>
              </w:rPr>
              <w:t>cuit</w:t>
            </w:r>
          </w:p>
        </w:tc>
        <w:tc>
          <w:tcPr>
            <w:tcW w:w="4950" w:type="dxa"/>
          </w:tcPr>
          <w:p w14:paraId="432F890B" w14:textId="77777777" w:rsidR="003E1E45" w:rsidRPr="00E8452A" w:rsidRDefault="003E1E45" w:rsidP="00D061DC">
            <w:pPr>
              <w:rPr>
                <w:rFonts w:ascii="Times New Roman" w:hAnsi="Times New Roman" w:cs="Times New Roman"/>
              </w:rPr>
            </w:pPr>
            <w:r w:rsidRPr="00E8452A">
              <w:rPr>
                <w:rFonts w:ascii="Times New Roman" w:hAnsi="Times New Roman" w:cs="Times New Roman"/>
                <w:i/>
              </w:rPr>
              <w:t>In re Maharaj</w:t>
            </w:r>
            <w:r w:rsidRPr="00E8452A">
              <w:rPr>
                <w:rFonts w:ascii="Times New Roman" w:hAnsi="Times New Roman" w:cs="Times New Roman"/>
              </w:rPr>
              <w:t xml:space="preserve">, 681 F.3d 558 (4th Cir. </w:t>
            </w:r>
            <w:r>
              <w:rPr>
                <w:rFonts w:ascii="Times New Roman" w:hAnsi="Times New Roman" w:cs="Times New Roman"/>
              </w:rPr>
              <w:t xml:space="preserve">June 14, </w:t>
            </w:r>
            <w:r w:rsidRPr="00E8452A">
              <w:rPr>
                <w:rFonts w:ascii="Times New Roman" w:hAnsi="Times New Roman" w:cs="Times New Roman"/>
              </w:rPr>
              <w:t>2012)</w:t>
            </w:r>
          </w:p>
        </w:tc>
        <w:tc>
          <w:tcPr>
            <w:tcW w:w="1620" w:type="dxa"/>
          </w:tcPr>
          <w:p w14:paraId="11A93CBF"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19ED9D3B" w14:textId="77777777" w:rsidTr="00D061DC">
        <w:tc>
          <w:tcPr>
            <w:tcW w:w="1908" w:type="dxa"/>
          </w:tcPr>
          <w:p w14:paraId="2F82EAB5"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W.D.N.C.</w:t>
            </w:r>
          </w:p>
        </w:tc>
        <w:tc>
          <w:tcPr>
            <w:tcW w:w="4950" w:type="dxa"/>
          </w:tcPr>
          <w:p w14:paraId="4C72EDE1"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Eagan</w:t>
            </w:r>
            <w:r w:rsidRPr="00E8452A">
              <w:rPr>
                <w:rFonts w:ascii="Times New Roman" w:hAnsi="Times New Roman" w:cs="Times New Roman"/>
              </w:rPr>
              <w:t>, No. 12-30525, 2013 WL 237812 (Bankr. W.D.N.C. Jan. 22, 2013)</w:t>
            </w:r>
          </w:p>
        </w:tc>
        <w:tc>
          <w:tcPr>
            <w:tcW w:w="1620" w:type="dxa"/>
          </w:tcPr>
          <w:p w14:paraId="701CBF8E"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70345E3A" w14:textId="77777777" w:rsidTr="00D061DC">
        <w:trPr>
          <w:trHeight w:val="70"/>
        </w:trPr>
        <w:tc>
          <w:tcPr>
            <w:tcW w:w="1908" w:type="dxa"/>
          </w:tcPr>
          <w:p w14:paraId="4BB5909D"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D.S.C.</w:t>
            </w:r>
          </w:p>
        </w:tc>
        <w:tc>
          <w:tcPr>
            <w:tcW w:w="4950" w:type="dxa"/>
          </w:tcPr>
          <w:p w14:paraId="0F79A903"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Ferguson</w:t>
            </w:r>
            <w:r w:rsidRPr="00E8452A">
              <w:rPr>
                <w:rFonts w:ascii="Times New Roman" w:hAnsi="Times New Roman" w:cs="Times New Roman"/>
              </w:rPr>
              <w:t xml:space="preserve">, 474 B.R. 466 (Bankr. D.S.C. </w:t>
            </w:r>
            <w:r>
              <w:rPr>
                <w:rFonts w:ascii="Times New Roman" w:hAnsi="Times New Roman" w:cs="Times New Roman"/>
              </w:rPr>
              <w:t xml:space="preserve">July 6, </w:t>
            </w:r>
            <w:r w:rsidRPr="00E8452A">
              <w:rPr>
                <w:rFonts w:ascii="Times New Roman" w:hAnsi="Times New Roman" w:cs="Times New Roman"/>
              </w:rPr>
              <w:t>2012)</w:t>
            </w:r>
          </w:p>
        </w:tc>
        <w:tc>
          <w:tcPr>
            <w:tcW w:w="1620" w:type="dxa"/>
          </w:tcPr>
          <w:p w14:paraId="495580A0"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658EE7CB" w14:textId="77777777" w:rsidTr="00D061DC">
        <w:trPr>
          <w:trHeight w:val="70"/>
        </w:trPr>
        <w:tc>
          <w:tcPr>
            <w:tcW w:w="1908" w:type="dxa"/>
          </w:tcPr>
          <w:p w14:paraId="240FCAB0"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E.D. Va.</w:t>
            </w:r>
          </w:p>
        </w:tc>
        <w:tc>
          <w:tcPr>
            <w:tcW w:w="4950" w:type="dxa"/>
          </w:tcPr>
          <w:p w14:paraId="0CDF7FE8"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Maharaj</w:t>
            </w:r>
            <w:r w:rsidRPr="00E8452A">
              <w:rPr>
                <w:rFonts w:ascii="Times New Roman" w:hAnsi="Times New Roman" w:cs="Times New Roman"/>
              </w:rPr>
              <w:t xml:space="preserve">, 449 B.R. 484 (Bankr. E.D. Va. </w:t>
            </w:r>
            <w:r>
              <w:rPr>
                <w:rFonts w:ascii="Times New Roman" w:hAnsi="Times New Roman" w:cs="Times New Roman"/>
              </w:rPr>
              <w:t xml:space="preserve">May 9, </w:t>
            </w:r>
            <w:r w:rsidRPr="00E8452A">
              <w:rPr>
                <w:rFonts w:ascii="Times New Roman" w:hAnsi="Times New Roman" w:cs="Times New Roman"/>
              </w:rPr>
              <w:t xml:space="preserve">2011) </w:t>
            </w:r>
            <w:r w:rsidRPr="00E8452A">
              <w:rPr>
                <w:rFonts w:ascii="Times New Roman" w:hAnsi="Times New Roman" w:cs="Times New Roman"/>
                <w:i/>
              </w:rPr>
              <w:t>aff'd</w:t>
            </w:r>
            <w:r w:rsidRPr="00E8452A">
              <w:rPr>
                <w:rFonts w:ascii="Times New Roman" w:hAnsi="Times New Roman" w:cs="Times New Roman"/>
              </w:rPr>
              <w:t>, 681 F.3d 558 (4th Cir. 2012)</w:t>
            </w:r>
          </w:p>
        </w:tc>
        <w:tc>
          <w:tcPr>
            <w:tcW w:w="1620" w:type="dxa"/>
          </w:tcPr>
          <w:p w14:paraId="753AA312"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47C30580" w14:textId="77777777" w:rsidTr="00D061DC">
        <w:trPr>
          <w:trHeight w:val="70"/>
        </w:trPr>
        <w:tc>
          <w:tcPr>
            <w:tcW w:w="1908" w:type="dxa"/>
          </w:tcPr>
          <w:p w14:paraId="365F3322"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E.D. Va.</w:t>
            </w:r>
          </w:p>
        </w:tc>
        <w:tc>
          <w:tcPr>
            <w:tcW w:w="4950" w:type="dxa"/>
          </w:tcPr>
          <w:p w14:paraId="7D3977C3"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Simon</w:t>
            </w:r>
            <w:r w:rsidRPr="00E8452A">
              <w:rPr>
                <w:rFonts w:ascii="Times New Roman" w:hAnsi="Times New Roman" w:cs="Times New Roman"/>
              </w:rPr>
              <w:t>, No. 07-31414-KRH, 2008 WL 2953471 (Bankr. E.D. Va. July 29, 2008)</w:t>
            </w:r>
          </w:p>
        </w:tc>
        <w:tc>
          <w:tcPr>
            <w:tcW w:w="1620" w:type="dxa"/>
          </w:tcPr>
          <w:p w14:paraId="20B480EF"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7F734276" w14:textId="77777777" w:rsidTr="00D061DC">
        <w:trPr>
          <w:trHeight w:val="70"/>
        </w:trPr>
        <w:tc>
          <w:tcPr>
            <w:tcW w:w="1908" w:type="dxa"/>
          </w:tcPr>
          <w:p w14:paraId="1FB6CD94"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W.D. Va.</w:t>
            </w:r>
          </w:p>
        </w:tc>
        <w:tc>
          <w:tcPr>
            <w:tcW w:w="4950" w:type="dxa"/>
          </w:tcPr>
          <w:p w14:paraId="42F96495"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Mullins</w:t>
            </w:r>
            <w:r w:rsidRPr="00E8452A">
              <w:rPr>
                <w:rFonts w:ascii="Times New Roman" w:hAnsi="Times New Roman" w:cs="Times New Roman"/>
              </w:rPr>
              <w:t xml:space="preserve">, 435 B.R. 352 (Bankr. W.D. Va. </w:t>
            </w:r>
            <w:r>
              <w:rPr>
                <w:rFonts w:ascii="Times New Roman" w:hAnsi="Times New Roman" w:cs="Times New Roman"/>
              </w:rPr>
              <w:t xml:space="preserve">June 22, </w:t>
            </w:r>
            <w:r w:rsidRPr="00E8452A">
              <w:rPr>
                <w:rFonts w:ascii="Times New Roman" w:hAnsi="Times New Roman" w:cs="Times New Roman"/>
              </w:rPr>
              <w:t>2010)</w:t>
            </w:r>
          </w:p>
        </w:tc>
        <w:tc>
          <w:tcPr>
            <w:tcW w:w="1620" w:type="dxa"/>
          </w:tcPr>
          <w:p w14:paraId="74947C58"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647787B5" w14:textId="77777777" w:rsidTr="00D061DC">
        <w:trPr>
          <w:trHeight w:val="70"/>
        </w:trPr>
        <w:tc>
          <w:tcPr>
            <w:tcW w:w="1908" w:type="dxa"/>
            <w:shd w:val="clear" w:color="auto" w:fill="DAEEF3" w:themeFill="accent5" w:themeFillTint="33"/>
          </w:tcPr>
          <w:p w14:paraId="03C9AADF" w14:textId="77777777" w:rsidR="003E1E45" w:rsidRPr="009E554A" w:rsidRDefault="003E1E45" w:rsidP="00D061DC">
            <w:pPr>
              <w:rPr>
                <w:rFonts w:ascii="Times New Roman" w:hAnsi="Times New Roman" w:cs="Times New Roman"/>
                <w:i/>
              </w:rPr>
            </w:pPr>
            <w:r>
              <w:rPr>
                <w:rFonts w:ascii="Times New Roman" w:hAnsi="Times New Roman" w:cs="Times New Roman"/>
                <w:i/>
              </w:rPr>
              <w:t>Fifth Circuit</w:t>
            </w:r>
          </w:p>
        </w:tc>
        <w:tc>
          <w:tcPr>
            <w:tcW w:w="4950" w:type="dxa"/>
            <w:shd w:val="clear" w:color="auto" w:fill="DAEEF3" w:themeFill="accent5" w:themeFillTint="33"/>
          </w:tcPr>
          <w:p w14:paraId="6AACE62E" w14:textId="77777777" w:rsidR="003E1E45" w:rsidRPr="00E8452A" w:rsidRDefault="003E1E45" w:rsidP="00D061DC">
            <w:pPr>
              <w:rPr>
                <w:rFonts w:ascii="Times New Roman" w:hAnsi="Times New Roman" w:cs="Times New Roman"/>
                <w:i/>
              </w:rPr>
            </w:pPr>
          </w:p>
        </w:tc>
        <w:tc>
          <w:tcPr>
            <w:tcW w:w="1620" w:type="dxa"/>
            <w:shd w:val="clear" w:color="auto" w:fill="DAEEF3" w:themeFill="accent5" w:themeFillTint="33"/>
          </w:tcPr>
          <w:p w14:paraId="06076342" w14:textId="77777777" w:rsidR="003E1E45" w:rsidRPr="00E8452A" w:rsidRDefault="003E1E45" w:rsidP="00D061DC">
            <w:pPr>
              <w:rPr>
                <w:rFonts w:ascii="Times New Roman" w:hAnsi="Times New Roman" w:cs="Times New Roman"/>
              </w:rPr>
            </w:pPr>
          </w:p>
        </w:tc>
      </w:tr>
      <w:tr w:rsidR="003E1E45" w:rsidRPr="00E8452A" w14:paraId="54349031" w14:textId="77777777" w:rsidTr="00D061DC">
        <w:tc>
          <w:tcPr>
            <w:tcW w:w="1908" w:type="dxa"/>
          </w:tcPr>
          <w:p w14:paraId="589E1573"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5th Cir</w:t>
            </w:r>
            <w:r>
              <w:rPr>
                <w:rFonts w:ascii="Times New Roman" w:hAnsi="Times New Roman" w:cs="Times New Roman"/>
              </w:rPr>
              <w:t>cuit</w:t>
            </w:r>
          </w:p>
        </w:tc>
        <w:tc>
          <w:tcPr>
            <w:tcW w:w="4950" w:type="dxa"/>
          </w:tcPr>
          <w:p w14:paraId="43A9CFCB" w14:textId="77777777" w:rsidR="003E1E45" w:rsidRPr="00E8452A" w:rsidRDefault="003E1E45" w:rsidP="00D061DC">
            <w:pPr>
              <w:rPr>
                <w:rFonts w:ascii="Times New Roman" w:hAnsi="Times New Roman" w:cs="Times New Roman"/>
              </w:rPr>
            </w:pPr>
            <w:r w:rsidRPr="00E8452A">
              <w:rPr>
                <w:rFonts w:ascii="Times New Roman" w:hAnsi="Times New Roman" w:cs="Times New Roman"/>
                <w:i/>
              </w:rPr>
              <w:t>In re Lively</w:t>
            </w:r>
            <w:r w:rsidRPr="00E8452A">
              <w:rPr>
                <w:rFonts w:ascii="Times New Roman" w:hAnsi="Times New Roman" w:cs="Times New Roman"/>
              </w:rPr>
              <w:t xml:space="preserve">, 717 F.3d 406 (5th Cir. </w:t>
            </w:r>
            <w:r>
              <w:rPr>
                <w:rFonts w:ascii="Times New Roman" w:hAnsi="Times New Roman" w:cs="Times New Roman"/>
              </w:rPr>
              <w:t xml:space="preserve">May 29, </w:t>
            </w:r>
            <w:r w:rsidRPr="00E8452A">
              <w:rPr>
                <w:rFonts w:ascii="Times New Roman" w:hAnsi="Times New Roman" w:cs="Times New Roman"/>
              </w:rPr>
              <w:t>2013)</w:t>
            </w:r>
          </w:p>
        </w:tc>
        <w:tc>
          <w:tcPr>
            <w:tcW w:w="1620" w:type="dxa"/>
          </w:tcPr>
          <w:p w14:paraId="6495719D"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7F1B5171" w14:textId="77777777" w:rsidTr="00D061DC">
        <w:tc>
          <w:tcPr>
            <w:tcW w:w="1908" w:type="dxa"/>
          </w:tcPr>
          <w:p w14:paraId="7F8C80D0"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N.D. Tex.</w:t>
            </w:r>
          </w:p>
        </w:tc>
        <w:tc>
          <w:tcPr>
            <w:tcW w:w="4950" w:type="dxa"/>
          </w:tcPr>
          <w:p w14:paraId="4C36A3AC"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Texas Star Refreshments, LLC</w:t>
            </w:r>
            <w:r w:rsidRPr="00E8452A">
              <w:rPr>
                <w:rFonts w:ascii="Times New Roman" w:hAnsi="Times New Roman" w:cs="Times New Roman"/>
              </w:rPr>
              <w:t xml:space="preserve">, 494 B.R. 684 (Bankr. N.D. Tex. </w:t>
            </w:r>
            <w:r>
              <w:rPr>
                <w:rFonts w:ascii="Times New Roman" w:hAnsi="Times New Roman" w:cs="Times New Roman"/>
              </w:rPr>
              <w:t xml:space="preserve">Mar. 22, </w:t>
            </w:r>
            <w:r w:rsidRPr="00E8452A">
              <w:rPr>
                <w:rFonts w:ascii="Times New Roman" w:hAnsi="Times New Roman" w:cs="Times New Roman"/>
              </w:rPr>
              <w:t>2013)</w:t>
            </w:r>
          </w:p>
        </w:tc>
        <w:tc>
          <w:tcPr>
            <w:tcW w:w="1620" w:type="dxa"/>
          </w:tcPr>
          <w:p w14:paraId="6731DDEA"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3F78AA81" w14:textId="77777777" w:rsidTr="00D061DC">
        <w:tc>
          <w:tcPr>
            <w:tcW w:w="1908" w:type="dxa"/>
          </w:tcPr>
          <w:p w14:paraId="56104A6B"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S.D. Tex.</w:t>
            </w:r>
          </w:p>
        </w:tc>
        <w:tc>
          <w:tcPr>
            <w:tcW w:w="4950" w:type="dxa"/>
          </w:tcPr>
          <w:p w14:paraId="4A03DA24"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Lively</w:t>
            </w:r>
            <w:r w:rsidRPr="00E8452A">
              <w:rPr>
                <w:rFonts w:ascii="Times New Roman" w:hAnsi="Times New Roman" w:cs="Times New Roman"/>
              </w:rPr>
              <w:t>, 467 B.R. 884 (Bankr. S.D. Tex.</w:t>
            </w:r>
            <w:r>
              <w:rPr>
                <w:rFonts w:ascii="Times New Roman" w:hAnsi="Times New Roman" w:cs="Times New Roman"/>
              </w:rPr>
              <w:t>, Mar. 21,</w:t>
            </w:r>
            <w:r w:rsidRPr="00E8452A">
              <w:rPr>
                <w:rFonts w:ascii="Times New Roman" w:hAnsi="Times New Roman" w:cs="Times New Roman"/>
              </w:rPr>
              <w:t xml:space="preserve"> 2012)</w:t>
            </w:r>
          </w:p>
        </w:tc>
        <w:tc>
          <w:tcPr>
            <w:tcW w:w="1620" w:type="dxa"/>
          </w:tcPr>
          <w:p w14:paraId="10D466CE"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31C1CA32" w14:textId="77777777" w:rsidTr="00D061DC">
        <w:tc>
          <w:tcPr>
            <w:tcW w:w="1908" w:type="dxa"/>
          </w:tcPr>
          <w:p w14:paraId="1331DD26"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S.D. Tex.</w:t>
            </w:r>
          </w:p>
        </w:tc>
        <w:tc>
          <w:tcPr>
            <w:tcW w:w="4950" w:type="dxa"/>
          </w:tcPr>
          <w:p w14:paraId="7AFDBCD0"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Lively</w:t>
            </w:r>
            <w:r w:rsidRPr="00E8452A">
              <w:rPr>
                <w:rFonts w:ascii="Times New Roman" w:hAnsi="Times New Roman" w:cs="Times New Roman"/>
              </w:rPr>
              <w:t>, 466 B.R. 897 (Bankr. S.D. Tex.</w:t>
            </w:r>
            <w:r>
              <w:rPr>
                <w:rFonts w:ascii="Times New Roman" w:hAnsi="Times New Roman" w:cs="Times New Roman"/>
              </w:rPr>
              <w:t xml:space="preserve"> Dec. 30, </w:t>
            </w:r>
            <w:r w:rsidRPr="00E8452A">
              <w:rPr>
                <w:rFonts w:ascii="Times New Roman" w:hAnsi="Times New Roman" w:cs="Times New Roman"/>
              </w:rPr>
              <w:t xml:space="preserve">2011) </w:t>
            </w:r>
            <w:r w:rsidRPr="00E8452A">
              <w:rPr>
                <w:rFonts w:ascii="Times New Roman" w:hAnsi="Times New Roman" w:cs="Times New Roman"/>
                <w:i/>
              </w:rPr>
              <w:t>aff'd</w:t>
            </w:r>
            <w:r w:rsidRPr="00E8452A">
              <w:rPr>
                <w:rFonts w:ascii="Times New Roman" w:hAnsi="Times New Roman" w:cs="Times New Roman"/>
              </w:rPr>
              <w:t>, 717 F.3d 406 (5th Cir. 2013)</w:t>
            </w:r>
          </w:p>
        </w:tc>
        <w:tc>
          <w:tcPr>
            <w:tcW w:w="1620" w:type="dxa"/>
          </w:tcPr>
          <w:p w14:paraId="734178BC"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00A73B31" w14:textId="77777777" w:rsidTr="00D061DC">
        <w:tc>
          <w:tcPr>
            <w:tcW w:w="1908" w:type="dxa"/>
          </w:tcPr>
          <w:p w14:paraId="7276AA6A"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S.D. Tex.</w:t>
            </w:r>
          </w:p>
        </w:tc>
        <w:tc>
          <w:tcPr>
            <w:tcW w:w="4950" w:type="dxa"/>
          </w:tcPr>
          <w:p w14:paraId="4D74A4EF"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Stephens</w:t>
            </w:r>
            <w:r w:rsidRPr="00E8452A">
              <w:rPr>
                <w:rFonts w:ascii="Times New Roman" w:hAnsi="Times New Roman" w:cs="Times New Roman"/>
              </w:rPr>
              <w:t xml:space="preserve">, 445 B.R. 816 (Bankr. S.D. Tex. </w:t>
            </w:r>
            <w:r>
              <w:rPr>
                <w:rFonts w:ascii="Times New Roman" w:hAnsi="Times New Roman" w:cs="Times New Roman"/>
              </w:rPr>
              <w:t xml:space="preserve">Feb. 22, </w:t>
            </w:r>
            <w:r w:rsidRPr="00E8452A">
              <w:rPr>
                <w:rFonts w:ascii="Times New Roman" w:hAnsi="Times New Roman" w:cs="Times New Roman"/>
              </w:rPr>
              <w:t>2011)</w:t>
            </w:r>
          </w:p>
        </w:tc>
        <w:tc>
          <w:tcPr>
            <w:tcW w:w="1620" w:type="dxa"/>
          </w:tcPr>
          <w:p w14:paraId="0EE84B8E"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205D007C" w14:textId="77777777" w:rsidTr="00D061DC">
        <w:tc>
          <w:tcPr>
            <w:tcW w:w="1908" w:type="dxa"/>
            <w:shd w:val="clear" w:color="auto" w:fill="DAEEF3" w:themeFill="accent5" w:themeFillTint="33"/>
          </w:tcPr>
          <w:p w14:paraId="2A96678C" w14:textId="77777777" w:rsidR="003E1E45" w:rsidRPr="009E554A" w:rsidRDefault="003E1E45" w:rsidP="00D061DC">
            <w:pPr>
              <w:rPr>
                <w:rFonts w:ascii="Times New Roman" w:hAnsi="Times New Roman" w:cs="Times New Roman"/>
                <w:i/>
              </w:rPr>
            </w:pPr>
            <w:r>
              <w:rPr>
                <w:rFonts w:ascii="Times New Roman" w:hAnsi="Times New Roman" w:cs="Times New Roman"/>
                <w:i/>
              </w:rPr>
              <w:t>Sixth Circuit</w:t>
            </w:r>
          </w:p>
        </w:tc>
        <w:tc>
          <w:tcPr>
            <w:tcW w:w="4950" w:type="dxa"/>
            <w:shd w:val="clear" w:color="auto" w:fill="DAEEF3" w:themeFill="accent5" w:themeFillTint="33"/>
          </w:tcPr>
          <w:p w14:paraId="670F27CC" w14:textId="77777777" w:rsidR="003E1E45" w:rsidRPr="00E8452A" w:rsidRDefault="003E1E45" w:rsidP="00D061DC">
            <w:pPr>
              <w:rPr>
                <w:rFonts w:ascii="Times New Roman" w:hAnsi="Times New Roman" w:cs="Times New Roman"/>
                <w:i/>
              </w:rPr>
            </w:pPr>
          </w:p>
        </w:tc>
        <w:tc>
          <w:tcPr>
            <w:tcW w:w="1620" w:type="dxa"/>
            <w:shd w:val="clear" w:color="auto" w:fill="DAEEF3" w:themeFill="accent5" w:themeFillTint="33"/>
          </w:tcPr>
          <w:p w14:paraId="4B769C75" w14:textId="77777777" w:rsidR="003E1E45" w:rsidRPr="00E8452A" w:rsidRDefault="003E1E45" w:rsidP="00D061DC">
            <w:pPr>
              <w:rPr>
                <w:rFonts w:ascii="Times New Roman" w:hAnsi="Times New Roman" w:cs="Times New Roman"/>
              </w:rPr>
            </w:pPr>
          </w:p>
        </w:tc>
      </w:tr>
      <w:tr w:rsidR="003E1E45" w:rsidRPr="00E8452A" w14:paraId="69D6C946" w14:textId="77777777" w:rsidTr="00D061DC">
        <w:tc>
          <w:tcPr>
            <w:tcW w:w="1908" w:type="dxa"/>
          </w:tcPr>
          <w:p w14:paraId="2AE84F91"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6th Cir.</w:t>
            </w:r>
          </w:p>
        </w:tc>
        <w:tc>
          <w:tcPr>
            <w:tcW w:w="4950" w:type="dxa"/>
          </w:tcPr>
          <w:p w14:paraId="2D414232" w14:textId="77777777" w:rsidR="003E1E45" w:rsidRPr="00E8452A" w:rsidRDefault="003E1E45" w:rsidP="00D061DC">
            <w:pPr>
              <w:rPr>
                <w:rFonts w:ascii="Times New Roman" w:hAnsi="Times New Roman" w:cs="Times New Roman"/>
              </w:rPr>
            </w:pPr>
            <w:r w:rsidRPr="00E8452A">
              <w:rPr>
                <w:rFonts w:ascii="Times New Roman" w:hAnsi="Times New Roman" w:cs="Times New Roman"/>
                <w:i/>
              </w:rPr>
              <w:t>Ice House Am., LLC v. Cardin</w:t>
            </w:r>
            <w:r w:rsidRPr="00E8452A">
              <w:rPr>
                <w:rFonts w:ascii="Times New Roman" w:hAnsi="Times New Roman" w:cs="Times New Roman"/>
              </w:rPr>
              <w:t xml:space="preserve">, 751 F.3d 734 (6th Cir. </w:t>
            </w:r>
            <w:r>
              <w:rPr>
                <w:rFonts w:ascii="Times New Roman" w:hAnsi="Times New Roman" w:cs="Times New Roman"/>
              </w:rPr>
              <w:t xml:space="preserve">May 13, </w:t>
            </w:r>
            <w:r w:rsidRPr="00E8452A">
              <w:rPr>
                <w:rFonts w:ascii="Times New Roman" w:hAnsi="Times New Roman" w:cs="Times New Roman"/>
              </w:rPr>
              <w:t>2014)</w:t>
            </w:r>
          </w:p>
        </w:tc>
        <w:tc>
          <w:tcPr>
            <w:tcW w:w="1620" w:type="dxa"/>
          </w:tcPr>
          <w:p w14:paraId="3B954DCF"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0F9062CC" w14:textId="77777777" w:rsidTr="00D061DC">
        <w:tc>
          <w:tcPr>
            <w:tcW w:w="1908" w:type="dxa"/>
          </w:tcPr>
          <w:p w14:paraId="6FF482C7"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E.D. Tenn.</w:t>
            </w:r>
          </w:p>
        </w:tc>
        <w:tc>
          <w:tcPr>
            <w:tcW w:w="4950" w:type="dxa"/>
          </w:tcPr>
          <w:p w14:paraId="5620F92B" w14:textId="0120E81D" w:rsidR="003E1E45" w:rsidRPr="003E1E45" w:rsidRDefault="003E1E45" w:rsidP="00D061DC">
            <w:pPr>
              <w:rPr>
                <w:rFonts w:ascii="Times New Roman" w:hAnsi="Times New Roman" w:cs="Times New Roman"/>
              </w:rPr>
            </w:pPr>
            <w:r w:rsidRPr="00E8452A">
              <w:rPr>
                <w:rFonts w:ascii="Times New Roman" w:hAnsi="Times New Roman" w:cs="Times New Roman"/>
                <w:i/>
              </w:rPr>
              <w:t>In re Cardin</w:t>
            </w:r>
            <w:r w:rsidRPr="00E8452A">
              <w:rPr>
                <w:rFonts w:ascii="Times New Roman" w:hAnsi="Times New Roman" w:cs="Times New Roman"/>
              </w:rPr>
              <w:t xml:space="preserve">, </w:t>
            </w:r>
            <w:r>
              <w:rPr>
                <w:rFonts w:ascii="Times New Roman" w:hAnsi="Times New Roman" w:cs="Times New Roman"/>
              </w:rPr>
              <w:t xml:space="preserve">No. 11-52077 (Bankr. E.D. Tenn. Aug. 7, 2012) (unpublished order), </w:t>
            </w:r>
            <w:r>
              <w:rPr>
                <w:rFonts w:ascii="Times New Roman" w:hAnsi="Times New Roman" w:cs="Times New Roman"/>
                <w:i/>
              </w:rPr>
              <w:t xml:space="preserve">rev’d, Ice House Am., LLC v. Cardin, </w:t>
            </w:r>
            <w:r>
              <w:rPr>
                <w:rFonts w:ascii="Times New Roman" w:hAnsi="Times New Roman" w:cs="Times New Roman"/>
              </w:rPr>
              <w:t xml:space="preserve">751 F.3d 734 (2014). </w:t>
            </w:r>
          </w:p>
        </w:tc>
        <w:tc>
          <w:tcPr>
            <w:tcW w:w="1620" w:type="dxa"/>
          </w:tcPr>
          <w:p w14:paraId="4A03D1B1"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Broad</w:t>
            </w:r>
          </w:p>
        </w:tc>
      </w:tr>
      <w:tr w:rsidR="003E1E45" w:rsidRPr="00E8452A" w14:paraId="763FE6BA" w14:textId="77777777" w:rsidTr="00D061DC">
        <w:tc>
          <w:tcPr>
            <w:tcW w:w="1908" w:type="dxa"/>
          </w:tcPr>
          <w:p w14:paraId="312AEA60"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E.D. Tenn.</w:t>
            </w:r>
          </w:p>
        </w:tc>
        <w:tc>
          <w:tcPr>
            <w:tcW w:w="4950" w:type="dxa"/>
          </w:tcPr>
          <w:p w14:paraId="566E3C8A"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Lindsey</w:t>
            </w:r>
            <w:r w:rsidRPr="00E8452A">
              <w:rPr>
                <w:rFonts w:ascii="Times New Roman" w:hAnsi="Times New Roman" w:cs="Times New Roman"/>
              </w:rPr>
              <w:t xml:space="preserve">, No. 3:11-CV-00445, 2012 WL 4854718 (E.D. Tenn. Oct. 11, 2012) </w:t>
            </w:r>
            <w:r w:rsidRPr="00E8452A">
              <w:rPr>
                <w:rFonts w:ascii="Times New Roman" w:hAnsi="Times New Roman" w:cs="Times New Roman"/>
                <w:i/>
              </w:rPr>
              <w:t>appeal dismissed</w:t>
            </w:r>
            <w:r w:rsidRPr="00E8452A">
              <w:rPr>
                <w:rFonts w:ascii="Times New Roman" w:hAnsi="Times New Roman" w:cs="Times New Roman"/>
              </w:rPr>
              <w:t xml:space="preserve">, 726 F.3d 857 (6th Cir. 2013) </w:t>
            </w:r>
            <w:r w:rsidRPr="00E8452A">
              <w:rPr>
                <w:rFonts w:ascii="Times New Roman" w:hAnsi="Times New Roman" w:cs="Times New Roman"/>
                <w:i/>
              </w:rPr>
              <w:t>vacated</w:t>
            </w:r>
            <w:r w:rsidRPr="00E8452A">
              <w:rPr>
                <w:rFonts w:ascii="Times New Roman" w:hAnsi="Times New Roman" w:cs="Times New Roman"/>
              </w:rPr>
              <w:t>, No. 3:11-CV-00445, 2013 WL 5436968 (E.D. Tenn. Sept. 27, 2013)</w:t>
            </w:r>
          </w:p>
        </w:tc>
        <w:tc>
          <w:tcPr>
            <w:tcW w:w="1620" w:type="dxa"/>
          </w:tcPr>
          <w:p w14:paraId="5E1567E7"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158B7D88" w14:textId="77777777" w:rsidTr="00D061DC">
        <w:tc>
          <w:tcPr>
            <w:tcW w:w="1908" w:type="dxa"/>
          </w:tcPr>
          <w:p w14:paraId="0C83574C"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E.D. Tenn.</w:t>
            </w:r>
          </w:p>
        </w:tc>
        <w:tc>
          <w:tcPr>
            <w:tcW w:w="4950" w:type="dxa"/>
          </w:tcPr>
          <w:p w14:paraId="25B8BD7A"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Lindsey</w:t>
            </w:r>
            <w:r w:rsidRPr="00E8452A">
              <w:rPr>
                <w:rFonts w:ascii="Times New Roman" w:hAnsi="Times New Roman" w:cs="Times New Roman"/>
              </w:rPr>
              <w:t xml:space="preserve">, 453 B.R. 886 (Bankr. E.D. Tenn. </w:t>
            </w:r>
            <w:r>
              <w:rPr>
                <w:rFonts w:ascii="Times New Roman" w:hAnsi="Times New Roman" w:cs="Times New Roman"/>
              </w:rPr>
              <w:t xml:space="preserve">Aug. 5, </w:t>
            </w:r>
            <w:r w:rsidRPr="00E8452A">
              <w:rPr>
                <w:rFonts w:ascii="Times New Roman" w:hAnsi="Times New Roman" w:cs="Times New Roman"/>
              </w:rPr>
              <w:t xml:space="preserve">2011) </w:t>
            </w:r>
            <w:r w:rsidRPr="00E8452A">
              <w:rPr>
                <w:rFonts w:ascii="Times New Roman" w:hAnsi="Times New Roman" w:cs="Times New Roman"/>
                <w:i/>
              </w:rPr>
              <w:t>aff'd</w:t>
            </w:r>
            <w:r w:rsidRPr="00E8452A">
              <w:rPr>
                <w:rFonts w:ascii="Times New Roman" w:hAnsi="Times New Roman" w:cs="Times New Roman"/>
              </w:rPr>
              <w:t xml:space="preserve">, No. 3:11-CV-00445, 2012 WL 4854718 (E.D. Tenn. Oct. 11, 2012) </w:t>
            </w:r>
            <w:r w:rsidRPr="00E8452A">
              <w:rPr>
                <w:rFonts w:ascii="Times New Roman" w:hAnsi="Times New Roman" w:cs="Times New Roman"/>
                <w:i/>
              </w:rPr>
              <w:t>vacated</w:t>
            </w:r>
            <w:r w:rsidRPr="00E8452A">
              <w:rPr>
                <w:rFonts w:ascii="Times New Roman" w:hAnsi="Times New Roman" w:cs="Times New Roman"/>
              </w:rPr>
              <w:t>, No. 3:11-CV-00445, 2013 WL 5436968 (E.D. Tenn. Sept. 27, 2013)</w:t>
            </w:r>
          </w:p>
        </w:tc>
        <w:tc>
          <w:tcPr>
            <w:tcW w:w="1620" w:type="dxa"/>
          </w:tcPr>
          <w:p w14:paraId="3B49B402"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0D4E63E0" w14:textId="77777777" w:rsidTr="00D061DC">
        <w:tc>
          <w:tcPr>
            <w:tcW w:w="1908" w:type="dxa"/>
            <w:shd w:val="clear" w:color="auto" w:fill="DAEEF3" w:themeFill="accent5" w:themeFillTint="33"/>
          </w:tcPr>
          <w:p w14:paraId="235B84DA" w14:textId="77777777" w:rsidR="003E1E45" w:rsidRPr="00003007" w:rsidRDefault="003E1E45" w:rsidP="00D061DC">
            <w:pPr>
              <w:rPr>
                <w:rFonts w:ascii="Times New Roman" w:hAnsi="Times New Roman" w:cs="Times New Roman"/>
                <w:i/>
              </w:rPr>
            </w:pPr>
            <w:r>
              <w:rPr>
                <w:rFonts w:ascii="Times New Roman" w:hAnsi="Times New Roman" w:cs="Times New Roman"/>
                <w:i/>
              </w:rPr>
              <w:t>Seventh Circuit</w:t>
            </w:r>
          </w:p>
        </w:tc>
        <w:tc>
          <w:tcPr>
            <w:tcW w:w="4950" w:type="dxa"/>
            <w:shd w:val="clear" w:color="auto" w:fill="DAEEF3" w:themeFill="accent5" w:themeFillTint="33"/>
          </w:tcPr>
          <w:p w14:paraId="09046CC0" w14:textId="77777777" w:rsidR="003E1E45" w:rsidRPr="00E8452A" w:rsidRDefault="003E1E45" w:rsidP="00D061DC">
            <w:pPr>
              <w:rPr>
                <w:rFonts w:ascii="Times New Roman" w:hAnsi="Times New Roman" w:cs="Times New Roman"/>
                <w:i/>
              </w:rPr>
            </w:pPr>
          </w:p>
        </w:tc>
        <w:tc>
          <w:tcPr>
            <w:tcW w:w="1620" w:type="dxa"/>
            <w:shd w:val="clear" w:color="auto" w:fill="DAEEF3" w:themeFill="accent5" w:themeFillTint="33"/>
          </w:tcPr>
          <w:p w14:paraId="09CCB528" w14:textId="77777777" w:rsidR="003E1E45" w:rsidRPr="00E8452A" w:rsidRDefault="003E1E45" w:rsidP="00D061DC">
            <w:pPr>
              <w:rPr>
                <w:rFonts w:ascii="Times New Roman" w:hAnsi="Times New Roman" w:cs="Times New Roman"/>
              </w:rPr>
            </w:pPr>
          </w:p>
        </w:tc>
      </w:tr>
      <w:tr w:rsidR="003E1E45" w:rsidRPr="00E8452A" w14:paraId="63FC10CB" w14:textId="77777777" w:rsidTr="00D061DC">
        <w:tc>
          <w:tcPr>
            <w:tcW w:w="1908" w:type="dxa"/>
          </w:tcPr>
          <w:p w14:paraId="135A3F86"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N.D. Ill.</w:t>
            </w:r>
          </w:p>
        </w:tc>
        <w:tc>
          <w:tcPr>
            <w:tcW w:w="4950" w:type="dxa"/>
          </w:tcPr>
          <w:p w14:paraId="0843C589"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Batista-Sanechez</w:t>
            </w:r>
            <w:r w:rsidRPr="00E8452A">
              <w:rPr>
                <w:rFonts w:ascii="Times New Roman" w:hAnsi="Times New Roman" w:cs="Times New Roman"/>
              </w:rPr>
              <w:t xml:space="preserve">, 505 B.R. 222 (Bankr. N.D. Ill. </w:t>
            </w:r>
            <w:r>
              <w:rPr>
                <w:rFonts w:ascii="Times New Roman" w:hAnsi="Times New Roman" w:cs="Times New Roman"/>
              </w:rPr>
              <w:t>Jan. 31</w:t>
            </w:r>
            <w:r>
              <w:rPr>
                <w:rFonts w:ascii="Times New Roman" w:hAnsi="Times New Roman" w:cs="Times New Roman"/>
                <w:color w:val="FF0000"/>
              </w:rPr>
              <w:t>,</w:t>
            </w:r>
            <w:r>
              <w:rPr>
                <w:rFonts w:ascii="Times New Roman" w:hAnsi="Times New Roman" w:cs="Times New Roman"/>
              </w:rPr>
              <w:t xml:space="preserve"> </w:t>
            </w:r>
            <w:r w:rsidRPr="00E8452A">
              <w:rPr>
                <w:rFonts w:ascii="Times New Roman" w:hAnsi="Times New Roman" w:cs="Times New Roman"/>
              </w:rPr>
              <w:t>2014)</w:t>
            </w:r>
          </w:p>
        </w:tc>
        <w:tc>
          <w:tcPr>
            <w:tcW w:w="1620" w:type="dxa"/>
          </w:tcPr>
          <w:p w14:paraId="2AFDC1AF"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7DCF75AB" w14:textId="77777777" w:rsidTr="00D061DC">
        <w:tc>
          <w:tcPr>
            <w:tcW w:w="1908" w:type="dxa"/>
          </w:tcPr>
          <w:p w14:paraId="581D1AC1"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N.D. Ill.</w:t>
            </w:r>
          </w:p>
        </w:tc>
        <w:tc>
          <w:tcPr>
            <w:tcW w:w="4950" w:type="dxa"/>
          </w:tcPr>
          <w:p w14:paraId="6F98443D"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Draiman</w:t>
            </w:r>
            <w:r w:rsidRPr="00E8452A">
              <w:rPr>
                <w:rFonts w:ascii="Times New Roman" w:hAnsi="Times New Roman" w:cs="Times New Roman"/>
              </w:rPr>
              <w:t xml:space="preserve">, 450 B.R. 777 (Bankr. N.D. Ill. </w:t>
            </w:r>
            <w:r>
              <w:rPr>
                <w:rFonts w:ascii="Times New Roman" w:hAnsi="Times New Roman" w:cs="Times New Roman"/>
              </w:rPr>
              <w:t xml:space="preserve">Apr. 19, </w:t>
            </w:r>
            <w:r w:rsidRPr="00E8452A">
              <w:rPr>
                <w:rFonts w:ascii="Times New Roman" w:hAnsi="Times New Roman" w:cs="Times New Roman"/>
              </w:rPr>
              <w:t>2011)</w:t>
            </w:r>
          </w:p>
        </w:tc>
        <w:tc>
          <w:tcPr>
            <w:tcW w:w="1620" w:type="dxa"/>
          </w:tcPr>
          <w:p w14:paraId="3F7EC81A"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04045B14" w14:textId="77777777" w:rsidTr="00D061DC">
        <w:tc>
          <w:tcPr>
            <w:tcW w:w="1908" w:type="dxa"/>
          </w:tcPr>
          <w:p w14:paraId="1AE2145D"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E.D. Wis.</w:t>
            </w:r>
          </w:p>
        </w:tc>
        <w:tc>
          <w:tcPr>
            <w:tcW w:w="4950" w:type="dxa"/>
          </w:tcPr>
          <w:p w14:paraId="6E33F558"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Gerard</w:t>
            </w:r>
            <w:r w:rsidRPr="00E8452A">
              <w:rPr>
                <w:rFonts w:ascii="Times New Roman" w:hAnsi="Times New Roman" w:cs="Times New Roman"/>
              </w:rPr>
              <w:t>, 495 B.R. 850 (Bankr. E.D. Wis.</w:t>
            </w:r>
            <w:r>
              <w:rPr>
                <w:rFonts w:ascii="Times New Roman" w:hAnsi="Times New Roman" w:cs="Times New Roman"/>
              </w:rPr>
              <w:t xml:space="preserve"> Aug. 7,</w:t>
            </w:r>
            <w:r w:rsidRPr="00E8452A">
              <w:rPr>
                <w:rFonts w:ascii="Times New Roman" w:hAnsi="Times New Roman" w:cs="Times New Roman"/>
              </w:rPr>
              <w:t xml:space="preserve"> 2013)</w:t>
            </w:r>
          </w:p>
        </w:tc>
        <w:tc>
          <w:tcPr>
            <w:tcW w:w="1620" w:type="dxa"/>
          </w:tcPr>
          <w:p w14:paraId="5A582EB2"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rsidDel="009E554A" w14:paraId="1518D991" w14:textId="77777777" w:rsidTr="00D061DC">
        <w:tc>
          <w:tcPr>
            <w:tcW w:w="1908" w:type="dxa"/>
            <w:shd w:val="clear" w:color="auto" w:fill="DAEEF3" w:themeFill="accent5" w:themeFillTint="33"/>
          </w:tcPr>
          <w:p w14:paraId="3626BDC5" w14:textId="77777777" w:rsidR="003E1E45" w:rsidRPr="00003007" w:rsidDel="009E554A" w:rsidRDefault="003E1E45" w:rsidP="00D061DC">
            <w:pPr>
              <w:rPr>
                <w:rFonts w:ascii="Times New Roman" w:hAnsi="Times New Roman" w:cs="Times New Roman"/>
                <w:i/>
              </w:rPr>
            </w:pPr>
            <w:r>
              <w:rPr>
                <w:rFonts w:ascii="Times New Roman" w:hAnsi="Times New Roman" w:cs="Times New Roman"/>
                <w:i/>
              </w:rPr>
              <w:t>Eighth Circuit</w:t>
            </w:r>
          </w:p>
        </w:tc>
        <w:tc>
          <w:tcPr>
            <w:tcW w:w="4950" w:type="dxa"/>
            <w:shd w:val="clear" w:color="auto" w:fill="DAEEF3" w:themeFill="accent5" w:themeFillTint="33"/>
          </w:tcPr>
          <w:p w14:paraId="074B0E8E" w14:textId="77777777" w:rsidR="003E1E45" w:rsidRPr="00CA12D1" w:rsidDel="009E554A" w:rsidRDefault="003E1E45" w:rsidP="00D061DC">
            <w:pPr>
              <w:rPr>
                <w:rFonts w:ascii="Times New Roman" w:hAnsi="Times New Roman" w:cs="Times New Roman"/>
                <w:i/>
              </w:rPr>
            </w:pPr>
          </w:p>
        </w:tc>
        <w:tc>
          <w:tcPr>
            <w:tcW w:w="1620" w:type="dxa"/>
            <w:shd w:val="clear" w:color="auto" w:fill="DAEEF3" w:themeFill="accent5" w:themeFillTint="33"/>
          </w:tcPr>
          <w:p w14:paraId="657A04D9" w14:textId="77777777" w:rsidR="003E1E45" w:rsidRPr="00CA12D1" w:rsidDel="009E554A" w:rsidRDefault="003E1E45" w:rsidP="00D061DC">
            <w:pPr>
              <w:rPr>
                <w:rFonts w:ascii="Times New Roman" w:hAnsi="Times New Roman" w:cs="Times New Roman"/>
              </w:rPr>
            </w:pPr>
          </w:p>
        </w:tc>
      </w:tr>
      <w:tr w:rsidR="003E1E45" w:rsidRPr="00E8452A" w14:paraId="03ABC6F1" w14:textId="77777777" w:rsidTr="00D061DC">
        <w:tc>
          <w:tcPr>
            <w:tcW w:w="1908" w:type="dxa"/>
          </w:tcPr>
          <w:p w14:paraId="755F5641" w14:textId="77777777" w:rsidR="003E1E45" w:rsidRPr="00E8452A" w:rsidRDefault="003E1E45" w:rsidP="00D061DC">
            <w:pPr>
              <w:rPr>
                <w:rFonts w:ascii="Times New Roman" w:hAnsi="Times New Roman" w:cs="Times New Roman"/>
              </w:rPr>
            </w:pPr>
            <w:r>
              <w:rPr>
                <w:rFonts w:ascii="Times New Roman" w:hAnsi="Times New Roman" w:cs="Times New Roman"/>
              </w:rPr>
              <w:t>BAP</w:t>
            </w:r>
          </w:p>
        </w:tc>
        <w:tc>
          <w:tcPr>
            <w:tcW w:w="4950" w:type="dxa"/>
          </w:tcPr>
          <w:p w14:paraId="657CFFDC" w14:textId="77777777" w:rsidR="003E1E45" w:rsidRPr="00E2333D" w:rsidRDefault="003E1E45" w:rsidP="00D061DC">
            <w:pPr>
              <w:rPr>
                <w:rFonts w:ascii="Times New Roman" w:eastAsia="Times New Roman" w:hAnsi="Times New Roman" w:cs="Times New Roman"/>
              </w:rPr>
            </w:pPr>
            <w:r>
              <w:rPr>
                <w:rFonts w:ascii="Times New Roman" w:eastAsia="Times New Roman" w:hAnsi="Times New Roman" w:cs="Times New Roman"/>
                <w:i/>
              </w:rPr>
              <w:t xml:space="preserve">Heritage Bank v. Woodward (In re Woodward), </w:t>
            </w:r>
            <w:r>
              <w:rPr>
                <w:rFonts w:ascii="Times New Roman" w:eastAsia="Times New Roman" w:hAnsi="Times New Roman" w:cs="Times New Roman"/>
              </w:rPr>
              <w:t>537 B.R. 894 (BAP 8</w:t>
            </w:r>
            <w:r w:rsidRPr="003E1E45">
              <w:rPr>
                <w:rFonts w:ascii="Times New Roman" w:eastAsia="Times New Roman" w:hAnsi="Times New Roman" w:cs="Times New Roman"/>
              </w:rPr>
              <w:t>th</w:t>
            </w:r>
            <w:r>
              <w:rPr>
                <w:rFonts w:ascii="Times New Roman" w:eastAsia="Times New Roman" w:hAnsi="Times New Roman" w:cs="Times New Roman"/>
              </w:rPr>
              <w:t xml:space="preserve"> Cir. Aug 13, 2015)</w:t>
            </w:r>
          </w:p>
        </w:tc>
        <w:tc>
          <w:tcPr>
            <w:tcW w:w="1620" w:type="dxa"/>
          </w:tcPr>
          <w:p w14:paraId="07708BB1" w14:textId="77777777" w:rsidR="003E1E45" w:rsidRPr="00E8452A" w:rsidRDefault="003E1E45" w:rsidP="00D061DC">
            <w:pPr>
              <w:rPr>
                <w:rFonts w:ascii="Times New Roman" w:hAnsi="Times New Roman" w:cs="Times New Roman"/>
              </w:rPr>
            </w:pPr>
            <w:r>
              <w:rPr>
                <w:rFonts w:ascii="Times New Roman" w:hAnsi="Times New Roman" w:cs="Times New Roman"/>
              </w:rPr>
              <w:t>Narrow</w:t>
            </w:r>
          </w:p>
        </w:tc>
      </w:tr>
      <w:tr w:rsidR="003E1E45" w:rsidRPr="00E8452A" w14:paraId="4002FAA5" w14:textId="77777777" w:rsidTr="00D061DC">
        <w:tc>
          <w:tcPr>
            <w:tcW w:w="1908" w:type="dxa"/>
          </w:tcPr>
          <w:p w14:paraId="6FFBC385"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D. Neb.</w:t>
            </w:r>
          </w:p>
        </w:tc>
        <w:tc>
          <w:tcPr>
            <w:tcW w:w="4950" w:type="dxa"/>
          </w:tcPr>
          <w:p w14:paraId="2888B975" w14:textId="77777777" w:rsidR="003E1E45" w:rsidRPr="00E8452A" w:rsidRDefault="003E1E45" w:rsidP="00D061DC">
            <w:pPr>
              <w:rPr>
                <w:rFonts w:ascii="Times New Roman" w:eastAsia="Times New Roman" w:hAnsi="Times New Roman" w:cs="Times New Roman"/>
              </w:rPr>
            </w:pPr>
            <w:r w:rsidRPr="00E8452A">
              <w:rPr>
                <w:rFonts w:ascii="Times New Roman" w:eastAsia="Times New Roman" w:hAnsi="Times New Roman" w:cs="Times New Roman"/>
                <w:i/>
              </w:rPr>
              <w:t>In re Woodward</w:t>
            </w:r>
            <w:r w:rsidRPr="00E8452A">
              <w:rPr>
                <w:rFonts w:ascii="Times New Roman" w:eastAsia="Times New Roman" w:hAnsi="Times New Roman" w:cs="Times New Roman"/>
              </w:rPr>
              <w:t>, No. BK11-40936, 2014 WL 1682847 (Bankr. D. Neb. Apr. 29, 2014)</w:t>
            </w:r>
          </w:p>
        </w:tc>
        <w:tc>
          <w:tcPr>
            <w:tcW w:w="1620" w:type="dxa"/>
          </w:tcPr>
          <w:p w14:paraId="203F85F6"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Broad</w:t>
            </w:r>
          </w:p>
        </w:tc>
      </w:tr>
      <w:tr w:rsidR="003E1E45" w:rsidRPr="00E8452A" w14:paraId="04830F2F" w14:textId="77777777" w:rsidTr="00D061DC">
        <w:tc>
          <w:tcPr>
            <w:tcW w:w="1908" w:type="dxa"/>
          </w:tcPr>
          <w:p w14:paraId="4D566255"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D. Neb.</w:t>
            </w:r>
          </w:p>
        </w:tc>
        <w:tc>
          <w:tcPr>
            <w:tcW w:w="4950" w:type="dxa"/>
          </w:tcPr>
          <w:p w14:paraId="06074148" w14:textId="77777777" w:rsidR="003E1E45" w:rsidRPr="00E8452A" w:rsidRDefault="003E1E45" w:rsidP="00D061DC">
            <w:pPr>
              <w:rPr>
                <w:rFonts w:ascii="Times New Roman" w:hAnsi="Times New Roman" w:cs="Times New Roman"/>
              </w:rPr>
            </w:pPr>
            <w:r w:rsidRPr="00E8452A">
              <w:rPr>
                <w:rFonts w:ascii="Times New Roman" w:hAnsi="Times New Roman" w:cs="Times New Roman"/>
                <w:i/>
              </w:rPr>
              <w:t>In re Tegeder</w:t>
            </w:r>
            <w:r w:rsidRPr="00E8452A">
              <w:rPr>
                <w:rFonts w:ascii="Times New Roman" w:hAnsi="Times New Roman" w:cs="Times New Roman"/>
              </w:rPr>
              <w:t xml:space="preserve">, 369 B.R. 477 (Bankr. D. Neb. </w:t>
            </w:r>
            <w:r>
              <w:rPr>
                <w:rFonts w:ascii="Times New Roman" w:hAnsi="Times New Roman" w:cs="Times New Roman"/>
              </w:rPr>
              <w:t xml:space="preserve">May 23, </w:t>
            </w:r>
            <w:r w:rsidRPr="00E8452A">
              <w:rPr>
                <w:rFonts w:ascii="Times New Roman" w:hAnsi="Times New Roman" w:cs="Times New Roman"/>
              </w:rPr>
              <w:t>2007)</w:t>
            </w:r>
          </w:p>
        </w:tc>
        <w:tc>
          <w:tcPr>
            <w:tcW w:w="1620" w:type="dxa"/>
          </w:tcPr>
          <w:p w14:paraId="5F6017EF"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Broad</w:t>
            </w:r>
          </w:p>
        </w:tc>
      </w:tr>
      <w:tr w:rsidR="003E1E45" w:rsidRPr="00E8452A" w14:paraId="4A9E2C59" w14:textId="77777777" w:rsidTr="00D061DC">
        <w:tc>
          <w:tcPr>
            <w:tcW w:w="1908" w:type="dxa"/>
            <w:shd w:val="clear" w:color="auto" w:fill="DAEEF3" w:themeFill="accent5" w:themeFillTint="33"/>
          </w:tcPr>
          <w:p w14:paraId="32EA2C02" w14:textId="77777777" w:rsidR="003E1E45" w:rsidRPr="00003007" w:rsidRDefault="003E1E45" w:rsidP="00D061DC">
            <w:pPr>
              <w:rPr>
                <w:rFonts w:ascii="Times New Roman" w:hAnsi="Times New Roman" w:cs="Times New Roman"/>
                <w:i/>
              </w:rPr>
            </w:pPr>
            <w:r>
              <w:rPr>
                <w:rFonts w:ascii="Times New Roman" w:hAnsi="Times New Roman" w:cs="Times New Roman"/>
                <w:i/>
              </w:rPr>
              <w:t>Ninth Circuit</w:t>
            </w:r>
          </w:p>
        </w:tc>
        <w:tc>
          <w:tcPr>
            <w:tcW w:w="4950" w:type="dxa"/>
            <w:shd w:val="clear" w:color="auto" w:fill="DAEEF3" w:themeFill="accent5" w:themeFillTint="33"/>
          </w:tcPr>
          <w:p w14:paraId="5CA70977" w14:textId="77777777" w:rsidR="003E1E45" w:rsidRDefault="003E1E45" w:rsidP="00D061DC">
            <w:pPr>
              <w:rPr>
                <w:rFonts w:ascii="Times New Roman" w:hAnsi="Times New Roman" w:cs="Times New Roman"/>
                <w:i/>
              </w:rPr>
            </w:pPr>
          </w:p>
        </w:tc>
        <w:tc>
          <w:tcPr>
            <w:tcW w:w="1620" w:type="dxa"/>
            <w:shd w:val="clear" w:color="auto" w:fill="DAEEF3" w:themeFill="accent5" w:themeFillTint="33"/>
          </w:tcPr>
          <w:p w14:paraId="0F22F1AD" w14:textId="77777777" w:rsidR="003E1E45" w:rsidRDefault="003E1E45" w:rsidP="00D061DC">
            <w:pPr>
              <w:rPr>
                <w:rFonts w:ascii="Times New Roman" w:hAnsi="Times New Roman" w:cs="Times New Roman"/>
              </w:rPr>
            </w:pPr>
          </w:p>
        </w:tc>
      </w:tr>
      <w:tr w:rsidR="003E1E45" w:rsidRPr="00E8452A" w14:paraId="7568C4A9" w14:textId="77777777" w:rsidTr="00D061DC">
        <w:tc>
          <w:tcPr>
            <w:tcW w:w="1908" w:type="dxa"/>
          </w:tcPr>
          <w:p w14:paraId="31183C82" w14:textId="77777777" w:rsidR="003E1E45" w:rsidRPr="00E8452A" w:rsidRDefault="003E1E45" w:rsidP="00D061DC">
            <w:pPr>
              <w:rPr>
                <w:rFonts w:ascii="Times New Roman" w:hAnsi="Times New Roman" w:cs="Times New Roman"/>
              </w:rPr>
            </w:pPr>
            <w:r>
              <w:rPr>
                <w:rFonts w:ascii="Times New Roman" w:hAnsi="Times New Roman" w:cs="Times New Roman"/>
              </w:rPr>
              <w:t>9</w:t>
            </w:r>
            <w:r w:rsidRPr="003E1E45">
              <w:rPr>
                <w:rFonts w:ascii="Times New Roman" w:hAnsi="Times New Roman" w:cs="Times New Roman"/>
              </w:rPr>
              <w:t>th</w:t>
            </w:r>
            <w:r>
              <w:rPr>
                <w:rFonts w:ascii="Times New Roman" w:hAnsi="Times New Roman" w:cs="Times New Roman"/>
              </w:rPr>
              <w:t xml:space="preserve"> Cir.</w:t>
            </w:r>
          </w:p>
        </w:tc>
        <w:tc>
          <w:tcPr>
            <w:tcW w:w="4950" w:type="dxa"/>
          </w:tcPr>
          <w:p w14:paraId="09D60978" w14:textId="77777777" w:rsidR="003E1E45" w:rsidRPr="00E2333D" w:rsidRDefault="003E1E45" w:rsidP="00D061DC">
            <w:pPr>
              <w:rPr>
                <w:rFonts w:ascii="Times New Roman" w:hAnsi="Times New Roman" w:cs="Times New Roman"/>
              </w:rPr>
            </w:pPr>
            <w:r>
              <w:rPr>
                <w:rFonts w:ascii="Times New Roman" w:hAnsi="Times New Roman" w:cs="Times New Roman"/>
                <w:i/>
              </w:rPr>
              <w:t xml:space="preserve">Zachary v. California Bank &amp; Trust, </w:t>
            </w:r>
            <w:r>
              <w:rPr>
                <w:rFonts w:ascii="Times New Roman" w:hAnsi="Times New Roman" w:cs="Times New Roman"/>
              </w:rPr>
              <w:t>811 F.3d 1191 (9</w:t>
            </w:r>
            <w:r w:rsidRPr="003E1E45">
              <w:rPr>
                <w:rFonts w:ascii="Times New Roman" w:hAnsi="Times New Roman" w:cs="Times New Roman"/>
              </w:rPr>
              <w:t>th</w:t>
            </w:r>
            <w:r>
              <w:rPr>
                <w:rFonts w:ascii="Times New Roman" w:hAnsi="Times New Roman" w:cs="Times New Roman"/>
              </w:rPr>
              <w:t xml:space="preserve"> Cir. 2016)</w:t>
            </w:r>
          </w:p>
        </w:tc>
        <w:tc>
          <w:tcPr>
            <w:tcW w:w="1620" w:type="dxa"/>
          </w:tcPr>
          <w:p w14:paraId="7335E395" w14:textId="77777777" w:rsidR="003E1E45" w:rsidRPr="00E8452A" w:rsidRDefault="003E1E45" w:rsidP="00D061DC">
            <w:pPr>
              <w:rPr>
                <w:rFonts w:ascii="Times New Roman" w:hAnsi="Times New Roman" w:cs="Times New Roman"/>
              </w:rPr>
            </w:pPr>
            <w:r>
              <w:rPr>
                <w:rFonts w:ascii="Times New Roman" w:hAnsi="Times New Roman" w:cs="Times New Roman"/>
              </w:rPr>
              <w:t>Narrow</w:t>
            </w:r>
          </w:p>
        </w:tc>
      </w:tr>
      <w:tr w:rsidR="003E1E45" w:rsidRPr="00E8452A" w14:paraId="58C5AC8C" w14:textId="77777777" w:rsidTr="00D061DC">
        <w:tc>
          <w:tcPr>
            <w:tcW w:w="1908" w:type="dxa"/>
          </w:tcPr>
          <w:p w14:paraId="4F4D7936"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B.A.P. 9th Cir.</w:t>
            </w:r>
          </w:p>
        </w:tc>
        <w:tc>
          <w:tcPr>
            <w:tcW w:w="4950" w:type="dxa"/>
          </w:tcPr>
          <w:p w14:paraId="6A2FE328" w14:textId="77777777" w:rsidR="003E1E45" w:rsidRPr="00944D99" w:rsidRDefault="003E1E45" w:rsidP="00D061DC">
            <w:pPr>
              <w:rPr>
                <w:rFonts w:ascii="Times New Roman" w:hAnsi="Times New Roman" w:cs="Times New Roman"/>
                <w:color w:val="FF0000"/>
              </w:rPr>
            </w:pPr>
            <w:r w:rsidRPr="001238DB">
              <w:rPr>
                <w:rFonts w:ascii="Times New Roman" w:hAnsi="Times New Roman" w:cs="Times New Roman"/>
                <w:i/>
                <w:color w:val="000000" w:themeColor="text1"/>
              </w:rPr>
              <w:t>In re Friedman</w:t>
            </w:r>
            <w:r w:rsidRPr="001238DB">
              <w:rPr>
                <w:rFonts w:ascii="Times New Roman" w:hAnsi="Times New Roman" w:cs="Times New Roman"/>
                <w:color w:val="000000" w:themeColor="text1"/>
              </w:rPr>
              <w:t>, 466 B.R. 471 (B.A.P. 9th Cir. Mar. 19, 2012), overruled by</w:t>
            </w:r>
            <w:r>
              <w:rPr>
                <w:rFonts w:ascii="Times New Roman" w:hAnsi="Times New Roman" w:cs="Times New Roman"/>
                <w:color w:val="FF0000"/>
              </w:rPr>
              <w:t xml:space="preserve"> </w:t>
            </w:r>
            <w:r>
              <w:rPr>
                <w:rFonts w:ascii="Times New Roman" w:hAnsi="Times New Roman" w:cs="Times New Roman"/>
                <w:i/>
              </w:rPr>
              <w:t xml:space="preserve">Zachary v. California Bank &amp; Trust, </w:t>
            </w:r>
            <w:r>
              <w:rPr>
                <w:rFonts w:ascii="Times New Roman" w:hAnsi="Times New Roman" w:cs="Times New Roman"/>
              </w:rPr>
              <w:t>811 F.3d 1191 (9</w:t>
            </w:r>
            <w:r w:rsidRPr="003E1E45">
              <w:rPr>
                <w:rFonts w:ascii="Times New Roman" w:hAnsi="Times New Roman" w:cs="Times New Roman"/>
              </w:rPr>
              <w:t>th</w:t>
            </w:r>
            <w:r>
              <w:rPr>
                <w:rFonts w:ascii="Times New Roman" w:hAnsi="Times New Roman" w:cs="Times New Roman"/>
              </w:rPr>
              <w:t xml:space="preserve"> Cir. 2016).</w:t>
            </w:r>
          </w:p>
        </w:tc>
        <w:tc>
          <w:tcPr>
            <w:tcW w:w="1620" w:type="dxa"/>
          </w:tcPr>
          <w:p w14:paraId="4A2A6DDE" w14:textId="77777777" w:rsidR="003E1E45" w:rsidRPr="00944D99" w:rsidRDefault="003E1E45" w:rsidP="00D061DC">
            <w:pPr>
              <w:rPr>
                <w:rFonts w:ascii="Times New Roman" w:hAnsi="Times New Roman" w:cs="Times New Roman"/>
                <w:color w:val="FF0000"/>
              </w:rPr>
            </w:pPr>
            <w:r w:rsidRPr="001238DB">
              <w:rPr>
                <w:rFonts w:ascii="Times New Roman" w:hAnsi="Times New Roman" w:cs="Times New Roman"/>
                <w:color w:val="000000" w:themeColor="text1"/>
              </w:rPr>
              <w:t>Broad</w:t>
            </w:r>
          </w:p>
        </w:tc>
      </w:tr>
      <w:tr w:rsidR="003E1E45" w:rsidRPr="00E8452A" w14:paraId="44F79306" w14:textId="77777777" w:rsidTr="00D061DC">
        <w:tc>
          <w:tcPr>
            <w:tcW w:w="1908" w:type="dxa"/>
          </w:tcPr>
          <w:p w14:paraId="32795AF7"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D. Haw.</w:t>
            </w:r>
          </w:p>
        </w:tc>
        <w:tc>
          <w:tcPr>
            <w:tcW w:w="4950" w:type="dxa"/>
          </w:tcPr>
          <w:p w14:paraId="74A382FB"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Kelley</w:t>
            </w:r>
            <w:r w:rsidRPr="00E8452A">
              <w:rPr>
                <w:rFonts w:ascii="Times New Roman" w:hAnsi="Times New Roman" w:cs="Times New Roman"/>
              </w:rPr>
              <w:t>, No. 12-02066, 2013 WL 6330942 (Bankr. D. Haw. Dec. 5, 2013)</w:t>
            </w:r>
          </w:p>
        </w:tc>
        <w:tc>
          <w:tcPr>
            <w:tcW w:w="1620" w:type="dxa"/>
          </w:tcPr>
          <w:p w14:paraId="3FE4BB70"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Broad</w:t>
            </w:r>
          </w:p>
        </w:tc>
      </w:tr>
      <w:tr w:rsidR="003E1E45" w:rsidRPr="00E8452A" w14:paraId="2AF0424B" w14:textId="77777777" w:rsidTr="00D061DC">
        <w:tc>
          <w:tcPr>
            <w:tcW w:w="1908" w:type="dxa"/>
          </w:tcPr>
          <w:p w14:paraId="68D03720"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D. Ariz.</w:t>
            </w:r>
          </w:p>
        </w:tc>
        <w:tc>
          <w:tcPr>
            <w:tcW w:w="4950" w:type="dxa"/>
          </w:tcPr>
          <w:p w14:paraId="16DFC0B0"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Sample</w:t>
            </w:r>
            <w:r w:rsidRPr="00E8452A">
              <w:rPr>
                <w:rFonts w:ascii="Times New Roman" w:hAnsi="Times New Roman" w:cs="Times New Roman"/>
              </w:rPr>
              <w:t>, No. 2:10-38373-DPC, 2013 WL 3759795 (Bankr. D. Ariz. July 15, 2013)</w:t>
            </w:r>
          </w:p>
        </w:tc>
        <w:tc>
          <w:tcPr>
            <w:tcW w:w="1620" w:type="dxa"/>
          </w:tcPr>
          <w:p w14:paraId="20EFCF4B"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Broad</w:t>
            </w:r>
          </w:p>
        </w:tc>
      </w:tr>
      <w:tr w:rsidR="003E1E45" w:rsidRPr="00E8452A" w14:paraId="08B82649" w14:textId="77777777" w:rsidTr="00D061DC">
        <w:tc>
          <w:tcPr>
            <w:tcW w:w="1908" w:type="dxa"/>
          </w:tcPr>
          <w:p w14:paraId="5E2C0D1D"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C.D. Cal.</w:t>
            </w:r>
          </w:p>
        </w:tc>
        <w:tc>
          <w:tcPr>
            <w:tcW w:w="4950" w:type="dxa"/>
          </w:tcPr>
          <w:p w14:paraId="5AFFF184"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Arnold</w:t>
            </w:r>
            <w:r w:rsidRPr="00E8452A">
              <w:rPr>
                <w:rFonts w:ascii="Times New Roman" w:hAnsi="Times New Roman" w:cs="Times New Roman"/>
              </w:rPr>
              <w:t xml:space="preserve">, 471 B.R. 578 (Bankr. C.D. Cal. </w:t>
            </w:r>
            <w:r>
              <w:rPr>
                <w:rFonts w:ascii="Times New Roman" w:hAnsi="Times New Roman" w:cs="Times New Roman"/>
              </w:rPr>
              <w:t xml:space="preserve">May 17, </w:t>
            </w:r>
            <w:r w:rsidRPr="00E8452A">
              <w:rPr>
                <w:rFonts w:ascii="Times New Roman" w:hAnsi="Times New Roman" w:cs="Times New Roman"/>
              </w:rPr>
              <w:t xml:space="preserve">2012), </w:t>
            </w:r>
            <w:r w:rsidRPr="00E8452A">
              <w:rPr>
                <w:rFonts w:ascii="Times New Roman" w:hAnsi="Times New Roman" w:cs="Times New Roman"/>
                <w:i/>
              </w:rPr>
              <w:t>appeal dismissed</w:t>
            </w:r>
            <w:r w:rsidRPr="00E8452A">
              <w:rPr>
                <w:rFonts w:ascii="Times New Roman" w:hAnsi="Times New Roman" w:cs="Times New Roman"/>
              </w:rPr>
              <w:t xml:space="preserve"> (Jan. 16, 2013)</w:t>
            </w:r>
          </w:p>
        </w:tc>
        <w:tc>
          <w:tcPr>
            <w:tcW w:w="1620" w:type="dxa"/>
          </w:tcPr>
          <w:p w14:paraId="27E148F2"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3394914A" w14:textId="77777777" w:rsidTr="00D061DC">
        <w:tc>
          <w:tcPr>
            <w:tcW w:w="1908" w:type="dxa"/>
          </w:tcPr>
          <w:p w14:paraId="1BA1851B"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C.D. Cal.</w:t>
            </w:r>
          </w:p>
        </w:tc>
        <w:tc>
          <w:tcPr>
            <w:tcW w:w="4950" w:type="dxa"/>
          </w:tcPr>
          <w:p w14:paraId="1E7C1455"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Kamell</w:t>
            </w:r>
            <w:r w:rsidRPr="00E8452A">
              <w:rPr>
                <w:rFonts w:ascii="Times New Roman" w:hAnsi="Times New Roman" w:cs="Times New Roman"/>
              </w:rPr>
              <w:t xml:space="preserve">, 451 B.R. 505 (Bankr. C.D. Cal. </w:t>
            </w:r>
            <w:r>
              <w:rPr>
                <w:rFonts w:ascii="Times New Roman" w:hAnsi="Times New Roman" w:cs="Times New Roman"/>
              </w:rPr>
              <w:t xml:space="preserve">May 4, </w:t>
            </w:r>
            <w:r w:rsidRPr="00E8452A">
              <w:rPr>
                <w:rFonts w:ascii="Times New Roman" w:hAnsi="Times New Roman" w:cs="Times New Roman"/>
              </w:rPr>
              <w:t>2011)</w:t>
            </w:r>
          </w:p>
        </w:tc>
        <w:tc>
          <w:tcPr>
            <w:tcW w:w="1620" w:type="dxa"/>
          </w:tcPr>
          <w:p w14:paraId="1924CB36"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5B18B01C" w14:textId="77777777" w:rsidTr="00D061DC">
        <w:tc>
          <w:tcPr>
            <w:tcW w:w="1908" w:type="dxa"/>
          </w:tcPr>
          <w:p w14:paraId="65967FF9"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D. Or.</w:t>
            </w:r>
          </w:p>
        </w:tc>
        <w:tc>
          <w:tcPr>
            <w:tcW w:w="4950" w:type="dxa"/>
          </w:tcPr>
          <w:p w14:paraId="59B86738" w14:textId="77777777" w:rsidR="003E1E45" w:rsidRPr="001238DB" w:rsidRDefault="003E1E45" w:rsidP="00D061DC">
            <w:pPr>
              <w:rPr>
                <w:rFonts w:ascii="Times New Roman" w:hAnsi="Times New Roman" w:cs="Times New Roman"/>
                <w:i/>
                <w:color w:val="000000" w:themeColor="text1"/>
              </w:rPr>
            </w:pPr>
            <w:r w:rsidRPr="001238DB">
              <w:rPr>
                <w:rFonts w:ascii="Times New Roman" w:hAnsi="Times New Roman" w:cs="Times New Roman"/>
                <w:i/>
                <w:color w:val="000000" w:themeColor="text1"/>
              </w:rPr>
              <w:t>In re Tucker</w:t>
            </w:r>
            <w:r w:rsidRPr="001238DB">
              <w:rPr>
                <w:rFonts w:ascii="Times New Roman" w:hAnsi="Times New Roman" w:cs="Times New Roman"/>
                <w:color w:val="000000" w:themeColor="text1"/>
              </w:rPr>
              <w:t xml:space="preserve">, 479 B.R. 873 (Bankr. D. Or. Oct. 11, 2012), </w:t>
            </w:r>
            <w:r w:rsidRPr="001238DB">
              <w:rPr>
                <w:rFonts w:ascii="Times New Roman" w:hAnsi="Times New Roman" w:cs="Times New Roman"/>
                <w:i/>
                <w:color w:val="000000" w:themeColor="text1"/>
              </w:rPr>
              <w:t xml:space="preserve">abrogated by Zachary v. California Bank &amp; Trust, </w:t>
            </w:r>
            <w:r w:rsidRPr="001238DB">
              <w:rPr>
                <w:rFonts w:ascii="Times New Roman" w:hAnsi="Times New Roman" w:cs="Times New Roman"/>
                <w:color w:val="000000" w:themeColor="text1"/>
              </w:rPr>
              <w:t>811 F.3d 1191 (9</w:t>
            </w:r>
            <w:r w:rsidRPr="003E1E45">
              <w:rPr>
                <w:rFonts w:ascii="Times New Roman" w:hAnsi="Times New Roman" w:cs="Times New Roman"/>
                <w:color w:val="000000" w:themeColor="text1"/>
              </w:rPr>
              <w:t>th</w:t>
            </w:r>
            <w:r w:rsidRPr="001238DB">
              <w:rPr>
                <w:rFonts w:ascii="Times New Roman" w:hAnsi="Times New Roman" w:cs="Times New Roman"/>
                <w:color w:val="000000" w:themeColor="text1"/>
              </w:rPr>
              <w:t xml:space="preserve"> Cir. 2016)</w:t>
            </w:r>
            <w:r>
              <w:rPr>
                <w:rFonts w:ascii="Times New Roman" w:hAnsi="Times New Roman" w:cs="Times New Roman"/>
                <w:color w:val="000000" w:themeColor="text1"/>
              </w:rPr>
              <w:t xml:space="preserve">. </w:t>
            </w:r>
            <w:r w:rsidRPr="001238DB">
              <w:rPr>
                <w:rFonts w:ascii="Times New Roman" w:hAnsi="Times New Roman" w:cs="Times New Roman"/>
                <w:color w:val="000000" w:themeColor="text1"/>
              </w:rPr>
              <w:t xml:space="preserve"> </w:t>
            </w:r>
          </w:p>
        </w:tc>
        <w:tc>
          <w:tcPr>
            <w:tcW w:w="1620" w:type="dxa"/>
          </w:tcPr>
          <w:p w14:paraId="125CC18A" w14:textId="77777777" w:rsidR="003E1E45" w:rsidRPr="001238DB" w:rsidRDefault="003E1E45" w:rsidP="00D061DC">
            <w:pPr>
              <w:rPr>
                <w:rFonts w:ascii="Times New Roman" w:hAnsi="Times New Roman" w:cs="Times New Roman"/>
                <w:color w:val="000000" w:themeColor="text1"/>
              </w:rPr>
            </w:pPr>
            <w:r w:rsidRPr="001238DB">
              <w:rPr>
                <w:rFonts w:ascii="Times New Roman" w:hAnsi="Times New Roman" w:cs="Times New Roman"/>
                <w:color w:val="000000" w:themeColor="text1"/>
              </w:rPr>
              <w:t>Broad</w:t>
            </w:r>
          </w:p>
          <w:p w14:paraId="6BC8136A" w14:textId="29EB7B74" w:rsidR="003E1E45" w:rsidRPr="001238DB" w:rsidRDefault="003E1E45" w:rsidP="00D061DC">
            <w:pPr>
              <w:rPr>
                <w:rFonts w:ascii="Times New Roman" w:hAnsi="Times New Roman" w:cs="Times New Roman"/>
                <w:color w:val="000000" w:themeColor="text1"/>
              </w:rPr>
            </w:pPr>
          </w:p>
          <w:p w14:paraId="759DC1FD" w14:textId="77777777" w:rsidR="003E1E45" w:rsidRPr="001238DB" w:rsidRDefault="003E1E45" w:rsidP="00D061DC">
            <w:pPr>
              <w:rPr>
                <w:rFonts w:ascii="Times New Roman" w:hAnsi="Times New Roman" w:cs="Times New Roman"/>
                <w:color w:val="000000" w:themeColor="text1"/>
              </w:rPr>
            </w:pPr>
          </w:p>
          <w:p w14:paraId="40280A1C" w14:textId="77777777" w:rsidR="003E1E45" w:rsidRPr="001238DB" w:rsidRDefault="003E1E45" w:rsidP="00D061DC">
            <w:pPr>
              <w:rPr>
                <w:rFonts w:ascii="Times New Roman" w:hAnsi="Times New Roman" w:cs="Times New Roman"/>
                <w:b/>
                <w:color w:val="000000" w:themeColor="text1"/>
              </w:rPr>
            </w:pPr>
          </w:p>
        </w:tc>
      </w:tr>
      <w:tr w:rsidR="003E1E45" w:rsidRPr="00E8452A" w14:paraId="30F5227B" w14:textId="77777777" w:rsidTr="00D061DC">
        <w:tc>
          <w:tcPr>
            <w:tcW w:w="1908" w:type="dxa"/>
          </w:tcPr>
          <w:p w14:paraId="5D28F724"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D. Or.</w:t>
            </w:r>
          </w:p>
        </w:tc>
        <w:tc>
          <w:tcPr>
            <w:tcW w:w="4950" w:type="dxa"/>
          </w:tcPr>
          <w:p w14:paraId="079DF92C"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Tucker</w:t>
            </w:r>
            <w:r w:rsidRPr="00E8452A">
              <w:rPr>
                <w:rFonts w:ascii="Times New Roman" w:hAnsi="Times New Roman" w:cs="Times New Roman"/>
              </w:rPr>
              <w:t>, No. BR 10-67281, 2011 WL 5926757 (Bankr. D. Or. Nov. 28, 2011)</w:t>
            </w:r>
          </w:p>
        </w:tc>
        <w:tc>
          <w:tcPr>
            <w:tcW w:w="1620" w:type="dxa"/>
          </w:tcPr>
          <w:p w14:paraId="526CBF56"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492F6329" w14:textId="77777777" w:rsidTr="00D061DC">
        <w:tc>
          <w:tcPr>
            <w:tcW w:w="1908" w:type="dxa"/>
          </w:tcPr>
          <w:p w14:paraId="4738932A"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D. Mont.</w:t>
            </w:r>
          </w:p>
        </w:tc>
        <w:tc>
          <w:tcPr>
            <w:tcW w:w="4950" w:type="dxa"/>
          </w:tcPr>
          <w:p w14:paraId="60727ADD" w14:textId="77777777" w:rsidR="003E1E45" w:rsidRPr="001238DB" w:rsidRDefault="003E1E45" w:rsidP="00D061DC">
            <w:pPr>
              <w:rPr>
                <w:rFonts w:ascii="Times New Roman" w:hAnsi="Times New Roman" w:cs="Times New Roman"/>
                <w:b/>
                <w:color w:val="000000" w:themeColor="text1"/>
              </w:rPr>
            </w:pPr>
            <w:r w:rsidRPr="001238DB">
              <w:rPr>
                <w:rFonts w:ascii="Times New Roman" w:hAnsi="Times New Roman" w:cs="Times New Roman"/>
                <w:i/>
                <w:color w:val="000000" w:themeColor="text1"/>
              </w:rPr>
              <w:t>In re Anderson</w:t>
            </w:r>
            <w:r w:rsidRPr="001238DB">
              <w:rPr>
                <w:rFonts w:ascii="Times New Roman" w:hAnsi="Times New Roman" w:cs="Times New Roman"/>
                <w:color w:val="000000" w:themeColor="text1"/>
              </w:rPr>
              <w:t xml:space="preserve">, 11-61845-11, 2012 WL 3133895 (Bankr. D. Mont. Aug. 1, 2012), </w:t>
            </w:r>
            <w:r w:rsidRPr="001238DB">
              <w:rPr>
                <w:rFonts w:ascii="Times New Roman" w:hAnsi="Times New Roman" w:cs="Times New Roman"/>
                <w:i/>
                <w:color w:val="000000" w:themeColor="text1"/>
              </w:rPr>
              <w:t xml:space="preserve">abrogated by </w:t>
            </w:r>
            <w:r w:rsidRPr="001238DB">
              <w:rPr>
                <w:rFonts w:ascii="Times New Roman" w:hAnsi="Times New Roman" w:cs="Times New Roman"/>
                <w:b/>
                <w:color w:val="000000" w:themeColor="text1"/>
              </w:rPr>
              <w:t xml:space="preserve"> </w:t>
            </w:r>
            <w:r w:rsidRPr="001238DB">
              <w:rPr>
                <w:rFonts w:ascii="Times New Roman" w:hAnsi="Times New Roman" w:cs="Times New Roman"/>
                <w:i/>
                <w:color w:val="000000" w:themeColor="text1"/>
              </w:rPr>
              <w:t xml:space="preserve">Zachary v. California Bank &amp; Trust, </w:t>
            </w:r>
            <w:r w:rsidRPr="001238DB">
              <w:rPr>
                <w:rFonts w:ascii="Times New Roman" w:hAnsi="Times New Roman" w:cs="Times New Roman"/>
                <w:color w:val="000000" w:themeColor="text1"/>
              </w:rPr>
              <w:t>811 F.3d 1191 (2016).</w:t>
            </w:r>
          </w:p>
        </w:tc>
        <w:tc>
          <w:tcPr>
            <w:tcW w:w="1620" w:type="dxa"/>
          </w:tcPr>
          <w:p w14:paraId="22E04A80" w14:textId="77777777" w:rsidR="003E1E45" w:rsidRPr="001238DB" w:rsidRDefault="003E1E45" w:rsidP="00D061DC">
            <w:pPr>
              <w:rPr>
                <w:rFonts w:ascii="Times New Roman" w:hAnsi="Times New Roman" w:cs="Times New Roman"/>
                <w:color w:val="000000" w:themeColor="text1"/>
              </w:rPr>
            </w:pPr>
            <w:r w:rsidRPr="001238DB">
              <w:rPr>
                <w:rFonts w:ascii="Times New Roman" w:hAnsi="Times New Roman" w:cs="Times New Roman"/>
                <w:color w:val="000000" w:themeColor="text1"/>
              </w:rPr>
              <w:t>Broad</w:t>
            </w:r>
          </w:p>
          <w:p w14:paraId="1196DEA7" w14:textId="77777777" w:rsidR="003E1E45" w:rsidRPr="001238DB" w:rsidRDefault="003E1E45" w:rsidP="00D061DC">
            <w:pPr>
              <w:rPr>
                <w:rFonts w:ascii="Times New Roman" w:hAnsi="Times New Roman" w:cs="Times New Roman"/>
                <w:color w:val="000000" w:themeColor="text1"/>
              </w:rPr>
            </w:pPr>
          </w:p>
          <w:p w14:paraId="63E87173" w14:textId="77777777" w:rsidR="003E1E45" w:rsidRPr="001238DB" w:rsidRDefault="003E1E45" w:rsidP="00D061DC">
            <w:pPr>
              <w:rPr>
                <w:rFonts w:ascii="Times New Roman" w:hAnsi="Times New Roman" w:cs="Times New Roman"/>
                <w:color w:val="000000" w:themeColor="text1"/>
              </w:rPr>
            </w:pPr>
          </w:p>
          <w:p w14:paraId="67553F3D" w14:textId="77777777" w:rsidR="003E1E45" w:rsidRPr="001238DB" w:rsidRDefault="003E1E45" w:rsidP="00D061DC">
            <w:pPr>
              <w:rPr>
                <w:rFonts w:ascii="Times New Roman" w:hAnsi="Times New Roman" w:cs="Times New Roman"/>
                <w:color w:val="000000" w:themeColor="text1"/>
              </w:rPr>
            </w:pPr>
          </w:p>
          <w:p w14:paraId="4C67E7AB" w14:textId="77777777" w:rsidR="003E1E45" w:rsidRPr="001238DB" w:rsidRDefault="003E1E45" w:rsidP="00D061DC">
            <w:pPr>
              <w:rPr>
                <w:rFonts w:ascii="Times New Roman" w:hAnsi="Times New Roman" w:cs="Times New Roman"/>
                <w:b/>
                <w:color w:val="000000" w:themeColor="text1"/>
              </w:rPr>
            </w:pPr>
          </w:p>
        </w:tc>
      </w:tr>
      <w:tr w:rsidR="003E1E45" w:rsidRPr="00E8452A" w14:paraId="7C5084AD" w14:textId="77777777" w:rsidTr="00D061DC">
        <w:tc>
          <w:tcPr>
            <w:tcW w:w="1908" w:type="dxa"/>
          </w:tcPr>
          <w:p w14:paraId="39FC0625"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D. Idaho</w:t>
            </w:r>
          </w:p>
        </w:tc>
        <w:tc>
          <w:tcPr>
            <w:tcW w:w="4950" w:type="dxa"/>
          </w:tcPr>
          <w:p w14:paraId="148482A6"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Borton</w:t>
            </w:r>
            <w:r w:rsidRPr="00E8452A">
              <w:rPr>
                <w:rFonts w:ascii="Times New Roman" w:hAnsi="Times New Roman" w:cs="Times New Roman"/>
              </w:rPr>
              <w:t>, No. 09-00196-TLM, 2011 WL 5439285 (Bankr. D. Idaho Nov. 9, 2011)</w:t>
            </w:r>
          </w:p>
        </w:tc>
        <w:tc>
          <w:tcPr>
            <w:tcW w:w="1620" w:type="dxa"/>
          </w:tcPr>
          <w:p w14:paraId="3A94DF8A"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69661BC4" w14:textId="77777777" w:rsidTr="00D061DC">
        <w:tc>
          <w:tcPr>
            <w:tcW w:w="1908" w:type="dxa"/>
          </w:tcPr>
          <w:p w14:paraId="37FECEFE"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S.D. Cal.</w:t>
            </w:r>
          </w:p>
        </w:tc>
        <w:tc>
          <w:tcPr>
            <w:tcW w:w="4950" w:type="dxa"/>
          </w:tcPr>
          <w:p w14:paraId="4557C0B6"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Karlovich</w:t>
            </w:r>
            <w:r w:rsidRPr="00E8452A">
              <w:rPr>
                <w:rFonts w:ascii="Times New Roman" w:hAnsi="Times New Roman" w:cs="Times New Roman"/>
              </w:rPr>
              <w:t xml:space="preserve">, 456 B.R. 677 (Bankr. S.D. Cal. </w:t>
            </w:r>
            <w:r>
              <w:rPr>
                <w:rFonts w:ascii="Times New Roman" w:hAnsi="Times New Roman" w:cs="Times New Roman"/>
              </w:rPr>
              <w:t xml:space="preserve">Nov. 16, </w:t>
            </w:r>
            <w:r w:rsidRPr="00E8452A">
              <w:rPr>
                <w:rFonts w:ascii="Times New Roman" w:hAnsi="Times New Roman" w:cs="Times New Roman"/>
              </w:rPr>
              <w:t>2010)</w:t>
            </w:r>
          </w:p>
        </w:tc>
        <w:tc>
          <w:tcPr>
            <w:tcW w:w="1620" w:type="dxa"/>
          </w:tcPr>
          <w:p w14:paraId="5288E92C"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01335C51" w14:textId="77777777" w:rsidTr="00D061DC">
        <w:tc>
          <w:tcPr>
            <w:tcW w:w="1908" w:type="dxa"/>
          </w:tcPr>
          <w:p w14:paraId="0D4425CB"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N.D. Cal.</w:t>
            </w:r>
          </w:p>
        </w:tc>
        <w:tc>
          <w:tcPr>
            <w:tcW w:w="4950" w:type="dxa"/>
          </w:tcPr>
          <w:p w14:paraId="0A6A8C54" w14:textId="77777777" w:rsidR="003E1E45" w:rsidRPr="00E8452A" w:rsidRDefault="003E1E45" w:rsidP="00D061DC">
            <w:pPr>
              <w:rPr>
                <w:rFonts w:ascii="Times New Roman" w:eastAsia="Times New Roman" w:hAnsi="Times New Roman" w:cs="Times New Roman"/>
              </w:rPr>
            </w:pPr>
            <w:r w:rsidRPr="00E8452A">
              <w:rPr>
                <w:rFonts w:ascii="Times New Roman" w:eastAsia="Times New Roman" w:hAnsi="Times New Roman" w:cs="Times New Roman"/>
                <w:i/>
              </w:rPr>
              <w:t>In re Gbadebo</w:t>
            </w:r>
            <w:r w:rsidRPr="00E8452A">
              <w:rPr>
                <w:rFonts w:ascii="Times New Roman" w:eastAsia="Times New Roman" w:hAnsi="Times New Roman" w:cs="Times New Roman"/>
              </w:rPr>
              <w:t xml:space="preserve">, 431 B.R. 222 (Bankr. N.D. Cal. </w:t>
            </w:r>
            <w:r>
              <w:rPr>
                <w:rFonts w:ascii="Times New Roman" w:eastAsia="Times New Roman" w:hAnsi="Times New Roman" w:cs="Times New Roman"/>
              </w:rPr>
              <w:t xml:space="preserve">Apr. 16, </w:t>
            </w:r>
            <w:r w:rsidRPr="00E8452A">
              <w:rPr>
                <w:rFonts w:ascii="Times New Roman" w:eastAsia="Times New Roman" w:hAnsi="Times New Roman" w:cs="Times New Roman"/>
              </w:rPr>
              <w:t>2010)</w:t>
            </w:r>
          </w:p>
        </w:tc>
        <w:tc>
          <w:tcPr>
            <w:tcW w:w="1620" w:type="dxa"/>
          </w:tcPr>
          <w:p w14:paraId="3496331B"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2088A1EE" w14:textId="77777777" w:rsidTr="00D061DC">
        <w:tc>
          <w:tcPr>
            <w:tcW w:w="1908" w:type="dxa"/>
          </w:tcPr>
          <w:p w14:paraId="2A694A2C"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D. Nev.</w:t>
            </w:r>
          </w:p>
        </w:tc>
        <w:tc>
          <w:tcPr>
            <w:tcW w:w="4950" w:type="dxa"/>
          </w:tcPr>
          <w:p w14:paraId="244F3D0C" w14:textId="77777777" w:rsidR="003E1E45" w:rsidRPr="00E8452A" w:rsidRDefault="003E1E45" w:rsidP="00D061DC">
            <w:pPr>
              <w:rPr>
                <w:rFonts w:ascii="Times New Roman" w:hAnsi="Times New Roman" w:cs="Times New Roman"/>
                <w:i/>
              </w:rPr>
            </w:pPr>
            <w:r w:rsidRPr="00E8452A">
              <w:rPr>
                <w:rFonts w:ascii="Times New Roman" w:hAnsi="Times New Roman" w:cs="Times New Roman"/>
                <w:i/>
              </w:rPr>
              <w:t>In re Shat</w:t>
            </w:r>
            <w:r w:rsidRPr="00E8452A">
              <w:rPr>
                <w:rFonts w:ascii="Times New Roman" w:hAnsi="Times New Roman" w:cs="Times New Roman"/>
              </w:rPr>
              <w:t xml:space="preserve">, 424 B.R. 854 (Bankr. D. Nev. </w:t>
            </w:r>
            <w:r>
              <w:rPr>
                <w:rFonts w:ascii="Times New Roman" w:hAnsi="Times New Roman" w:cs="Times New Roman"/>
              </w:rPr>
              <w:t xml:space="preserve">Feb. 22, </w:t>
            </w:r>
            <w:r w:rsidRPr="00E8452A">
              <w:rPr>
                <w:rFonts w:ascii="Times New Roman" w:hAnsi="Times New Roman" w:cs="Times New Roman"/>
              </w:rPr>
              <w:t>2010)</w:t>
            </w:r>
            <w:r>
              <w:rPr>
                <w:rFonts w:ascii="Times New Roman" w:hAnsi="Times New Roman" w:cs="Times New Roman"/>
              </w:rPr>
              <w:t xml:space="preserve">, </w:t>
            </w:r>
            <w:r w:rsidRPr="00BE04B5">
              <w:rPr>
                <w:rFonts w:ascii="Times New Roman" w:hAnsi="Times New Roman" w:cs="Times New Roman"/>
                <w:i/>
                <w:color w:val="000000" w:themeColor="text1"/>
              </w:rPr>
              <w:t xml:space="preserve">abrogated by Zachary v. California Bank &amp; Trust, </w:t>
            </w:r>
            <w:r w:rsidRPr="00BE04B5">
              <w:rPr>
                <w:rFonts w:ascii="Times New Roman" w:hAnsi="Times New Roman" w:cs="Times New Roman"/>
                <w:color w:val="000000" w:themeColor="text1"/>
              </w:rPr>
              <w:t>811 F.3d 1191 (2016).</w:t>
            </w:r>
          </w:p>
        </w:tc>
        <w:tc>
          <w:tcPr>
            <w:tcW w:w="1620" w:type="dxa"/>
          </w:tcPr>
          <w:p w14:paraId="0EE5CA25"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Broad</w:t>
            </w:r>
          </w:p>
        </w:tc>
      </w:tr>
      <w:tr w:rsidR="003E1E45" w:rsidRPr="00E8452A" w14:paraId="1CF99700" w14:textId="77777777" w:rsidTr="00D061DC">
        <w:tc>
          <w:tcPr>
            <w:tcW w:w="1908" w:type="dxa"/>
            <w:shd w:val="clear" w:color="auto" w:fill="DAEEF3" w:themeFill="accent5" w:themeFillTint="33"/>
          </w:tcPr>
          <w:p w14:paraId="34B8F74C" w14:textId="77777777" w:rsidR="003E1E45" w:rsidRPr="00003007" w:rsidRDefault="003E1E45" w:rsidP="00D061DC">
            <w:pPr>
              <w:rPr>
                <w:rFonts w:ascii="Times New Roman" w:hAnsi="Times New Roman" w:cs="Times New Roman"/>
                <w:i/>
              </w:rPr>
            </w:pPr>
            <w:r>
              <w:rPr>
                <w:rFonts w:ascii="Times New Roman" w:hAnsi="Times New Roman" w:cs="Times New Roman"/>
                <w:i/>
              </w:rPr>
              <w:t>Tenth Circuit</w:t>
            </w:r>
          </w:p>
        </w:tc>
        <w:tc>
          <w:tcPr>
            <w:tcW w:w="4950" w:type="dxa"/>
            <w:shd w:val="clear" w:color="auto" w:fill="DAEEF3" w:themeFill="accent5" w:themeFillTint="33"/>
          </w:tcPr>
          <w:p w14:paraId="36F3F9E9" w14:textId="77777777" w:rsidR="003E1E45" w:rsidRPr="00E8452A" w:rsidRDefault="003E1E45" w:rsidP="00D061DC">
            <w:pPr>
              <w:rPr>
                <w:rFonts w:ascii="Times New Roman" w:hAnsi="Times New Roman" w:cs="Times New Roman"/>
                <w:i/>
              </w:rPr>
            </w:pPr>
          </w:p>
        </w:tc>
        <w:tc>
          <w:tcPr>
            <w:tcW w:w="1620" w:type="dxa"/>
            <w:shd w:val="clear" w:color="auto" w:fill="DAEEF3" w:themeFill="accent5" w:themeFillTint="33"/>
          </w:tcPr>
          <w:p w14:paraId="48C732ED" w14:textId="77777777" w:rsidR="003E1E45" w:rsidRPr="00E8452A" w:rsidRDefault="003E1E45" w:rsidP="00D061DC">
            <w:pPr>
              <w:rPr>
                <w:rFonts w:ascii="Times New Roman" w:hAnsi="Times New Roman" w:cs="Times New Roman"/>
              </w:rPr>
            </w:pPr>
          </w:p>
        </w:tc>
      </w:tr>
      <w:tr w:rsidR="003E1E45" w:rsidRPr="00E8452A" w14:paraId="5806F2CE" w14:textId="77777777" w:rsidTr="00D061DC">
        <w:tc>
          <w:tcPr>
            <w:tcW w:w="1908" w:type="dxa"/>
          </w:tcPr>
          <w:p w14:paraId="2E2299DE"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10th Cir.</w:t>
            </w:r>
          </w:p>
        </w:tc>
        <w:tc>
          <w:tcPr>
            <w:tcW w:w="4950" w:type="dxa"/>
          </w:tcPr>
          <w:p w14:paraId="00759C57" w14:textId="77777777" w:rsidR="003E1E45" w:rsidRPr="00E8452A" w:rsidRDefault="003E1E45" w:rsidP="00D061DC">
            <w:pPr>
              <w:rPr>
                <w:rFonts w:ascii="Times New Roman" w:hAnsi="Times New Roman" w:cs="Times New Roman"/>
              </w:rPr>
            </w:pPr>
            <w:r w:rsidRPr="00E8452A">
              <w:rPr>
                <w:rFonts w:ascii="Times New Roman" w:hAnsi="Times New Roman" w:cs="Times New Roman"/>
                <w:i/>
              </w:rPr>
              <w:t>In re Stephens</w:t>
            </w:r>
            <w:r w:rsidRPr="00E8452A">
              <w:rPr>
                <w:rFonts w:ascii="Times New Roman" w:hAnsi="Times New Roman" w:cs="Times New Roman"/>
              </w:rPr>
              <w:t>, 704 F.3d 1279 (10th Cir.</w:t>
            </w:r>
            <w:r>
              <w:rPr>
                <w:rFonts w:ascii="Times New Roman" w:hAnsi="Times New Roman" w:cs="Times New Roman"/>
              </w:rPr>
              <w:t xml:space="preserve"> Jan 15, </w:t>
            </w:r>
            <w:r w:rsidRPr="00E8452A">
              <w:rPr>
                <w:rFonts w:ascii="Times New Roman" w:hAnsi="Times New Roman" w:cs="Times New Roman"/>
              </w:rPr>
              <w:t>2013)</w:t>
            </w:r>
          </w:p>
        </w:tc>
        <w:tc>
          <w:tcPr>
            <w:tcW w:w="1620" w:type="dxa"/>
          </w:tcPr>
          <w:p w14:paraId="3AFB5C0B"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1DA81EC0" w14:textId="77777777" w:rsidTr="00D061DC">
        <w:trPr>
          <w:trHeight w:val="60"/>
        </w:trPr>
        <w:tc>
          <w:tcPr>
            <w:tcW w:w="1908" w:type="dxa"/>
          </w:tcPr>
          <w:p w14:paraId="1D9DA1DA"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D. Kan.</w:t>
            </w:r>
          </w:p>
        </w:tc>
        <w:tc>
          <w:tcPr>
            <w:tcW w:w="4950" w:type="dxa"/>
          </w:tcPr>
          <w:p w14:paraId="4356F9F1" w14:textId="77777777" w:rsidR="003E1E45" w:rsidRPr="00E8452A" w:rsidRDefault="003E1E45" w:rsidP="00D061DC">
            <w:pPr>
              <w:rPr>
                <w:rFonts w:ascii="Times New Roman" w:eastAsia="Times New Roman" w:hAnsi="Times New Roman" w:cs="Times New Roman"/>
                <w:i/>
              </w:rPr>
            </w:pPr>
            <w:r w:rsidRPr="00E8452A">
              <w:rPr>
                <w:rFonts w:ascii="Times New Roman" w:eastAsia="Times New Roman" w:hAnsi="Times New Roman" w:cs="Times New Roman"/>
                <w:i/>
              </w:rPr>
              <w:t>In re Roedemeier</w:t>
            </w:r>
            <w:r w:rsidRPr="00E8452A">
              <w:rPr>
                <w:rFonts w:ascii="Times New Roman" w:eastAsia="Times New Roman" w:hAnsi="Times New Roman" w:cs="Times New Roman"/>
              </w:rPr>
              <w:t xml:space="preserve">, 374 B.R. 264 (Bankr. D. Kan. </w:t>
            </w:r>
            <w:r>
              <w:rPr>
                <w:rFonts w:ascii="Times New Roman" w:eastAsia="Times New Roman" w:hAnsi="Times New Roman" w:cs="Times New Roman"/>
              </w:rPr>
              <w:t xml:space="preserve">Aug. 16, </w:t>
            </w:r>
            <w:r w:rsidRPr="00E8452A">
              <w:rPr>
                <w:rFonts w:ascii="Times New Roman" w:eastAsia="Times New Roman" w:hAnsi="Times New Roman" w:cs="Times New Roman"/>
              </w:rPr>
              <w:t>2007)</w:t>
            </w:r>
          </w:p>
        </w:tc>
        <w:tc>
          <w:tcPr>
            <w:tcW w:w="1620" w:type="dxa"/>
          </w:tcPr>
          <w:p w14:paraId="7ABF72E8"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Broad</w:t>
            </w:r>
          </w:p>
        </w:tc>
      </w:tr>
      <w:tr w:rsidR="003E1E45" w:rsidRPr="00E8452A" w14:paraId="4231CAB9" w14:textId="77777777" w:rsidTr="00D061DC">
        <w:tc>
          <w:tcPr>
            <w:tcW w:w="1908" w:type="dxa"/>
            <w:shd w:val="clear" w:color="auto" w:fill="DAEEF3" w:themeFill="accent5" w:themeFillTint="33"/>
          </w:tcPr>
          <w:p w14:paraId="55B077F3" w14:textId="77777777" w:rsidR="003E1E45" w:rsidRPr="00003007" w:rsidRDefault="003E1E45" w:rsidP="00D061DC">
            <w:pPr>
              <w:rPr>
                <w:rFonts w:ascii="Times New Roman" w:hAnsi="Times New Roman" w:cs="Times New Roman"/>
                <w:i/>
              </w:rPr>
            </w:pPr>
            <w:r>
              <w:rPr>
                <w:rFonts w:ascii="Times New Roman" w:hAnsi="Times New Roman" w:cs="Times New Roman"/>
                <w:i/>
              </w:rPr>
              <w:t>Eleventh Circuit</w:t>
            </w:r>
          </w:p>
        </w:tc>
        <w:tc>
          <w:tcPr>
            <w:tcW w:w="4950" w:type="dxa"/>
            <w:shd w:val="clear" w:color="auto" w:fill="DAEEF3" w:themeFill="accent5" w:themeFillTint="33"/>
          </w:tcPr>
          <w:p w14:paraId="6DF69B10" w14:textId="77777777" w:rsidR="003E1E45" w:rsidRPr="00E8452A" w:rsidRDefault="003E1E45" w:rsidP="00D061DC">
            <w:pPr>
              <w:rPr>
                <w:rFonts w:ascii="Times New Roman" w:hAnsi="Times New Roman" w:cs="Times New Roman"/>
                <w:i/>
              </w:rPr>
            </w:pPr>
          </w:p>
        </w:tc>
        <w:tc>
          <w:tcPr>
            <w:tcW w:w="1620" w:type="dxa"/>
            <w:shd w:val="clear" w:color="auto" w:fill="DAEEF3" w:themeFill="accent5" w:themeFillTint="33"/>
          </w:tcPr>
          <w:p w14:paraId="28A7A355" w14:textId="77777777" w:rsidR="003E1E45" w:rsidRPr="00E8452A" w:rsidRDefault="003E1E45" w:rsidP="00D061DC">
            <w:pPr>
              <w:rPr>
                <w:rFonts w:ascii="Times New Roman" w:hAnsi="Times New Roman" w:cs="Times New Roman"/>
              </w:rPr>
            </w:pPr>
          </w:p>
        </w:tc>
      </w:tr>
      <w:tr w:rsidR="003E1E45" w:rsidRPr="00E8452A" w14:paraId="7EA0A327" w14:textId="77777777" w:rsidTr="00D061DC">
        <w:tc>
          <w:tcPr>
            <w:tcW w:w="1908" w:type="dxa"/>
          </w:tcPr>
          <w:p w14:paraId="0B3AE2B1"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M.D. Fla.</w:t>
            </w:r>
          </w:p>
        </w:tc>
        <w:tc>
          <w:tcPr>
            <w:tcW w:w="4950" w:type="dxa"/>
          </w:tcPr>
          <w:p w14:paraId="6D175EB7" w14:textId="77777777" w:rsidR="003E1E45" w:rsidRPr="00E8452A" w:rsidRDefault="003E1E45" w:rsidP="00D061DC">
            <w:pPr>
              <w:rPr>
                <w:rFonts w:ascii="Times New Roman" w:hAnsi="Times New Roman" w:cs="Times New Roman"/>
              </w:rPr>
            </w:pPr>
            <w:r w:rsidRPr="00E8452A">
              <w:rPr>
                <w:rFonts w:ascii="Times New Roman" w:hAnsi="Times New Roman" w:cs="Times New Roman"/>
                <w:i/>
              </w:rPr>
              <w:t>SPCP Grp., LLC v. Biggins</w:t>
            </w:r>
            <w:r w:rsidRPr="00E8452A">
              <w:rPr>
                <w:rFonts w:ascii="Times New Roman" w:hAnsi="Times New Roman" w:cs="Times New Roman"/>
              </w:rPr>
              <w:t xml:space="preserve">, 465 B.R. 316 (M.D. Fla. </w:t>
            </w:r>
            <w:r>
              <w:rPr>
                <w:rFonts w:ascii="Times New Roman" w:hAnsi="Times New Roman" w:cs="Times New Roman"/>
              </w:rPr>
              <w:t xml:space="preserve">Sept 21, </w:t>
            </w:r>
            <w:r w:rsidRPr="00E8452A">
              <w:rPr>
                <w:rFonts w:ascii="Times New Roman" w:hAnsi="Times New Roman" w:cs="Times New Roman"/>
              </w:rPr>
              <w:t>2011)</w:t>
            </w:r>
          </w:p>
        </w:tc>
        <w:tc>
          <w:tcPr>
            <w:tcW w:w="1620" w:type="dxa"/>
          </w:tcPr>
          <w:p w14:paraId="34997816"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Broad</w:t>
            </w:r>
          </w:p>
        </w:tc>
      </w:tr>
      <w:tr w:rsidR="003E1E45" w:rsidRPr="00E8452A" w14:paraId="6FF430E1" w14:textId="77777777" w:rsidTr="00D061DC">
        <w:tc>
          <w:tcPr>
            <w:tcW w:w="1908" w:type="dxa"/>
          </w:tcPr>
          <w:p w14:paraId="73A01417"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M.D. Fla.</w:t>
            </w:r>
          </w:p>
        </w:tc>
        <w:tc>
          <w:tcPr>
            <w:tcW w:w="4950" w:type="dxa"/>
          </w:tcPr>
          <w:p w14:paraId="5F2F992F" w14:textId="77777777" w:rsidR="003E1E45" w:rsidRPr="00E8452A" w:rsidRDefault="003E1E45" w:rsidP="00D061DC">
            <w:pPr>
              <w:rPr>
                <w:rFonts w:ascii="Times New Roman" w:eastAsia="Times New Roman" w:hAnsi="Times New Roman" w:cs="Times New Roman"/>
              </w:rPr>
            </w:pPr>
            <w:r w:rsidRPr="00E8452A">
              <w:rPr>
                <w:rFonts w:ascii="Times New Roman" w:eastAsia="Times New Roman" w:hAnsi="Times New Roman" w:cs="Times New Roman"/>
                <w:i/>
              </w:rPr>
              <w:t>In re Martin</w:t>
            </w:r>
            <w:r w:rsidRPr="00E8452A">
              <w:rPr>
                <w:rFonts w:ascii="Times New Roman" w:eastAsia="Times New Roman" w:hAnsi="Times New Roman" w:cs="Times New Roman"/>
              </w:rPr>
              <w:t xml:space="preserve">, 497 B.R. 349 (Bankr. M.D. Fla. </w:t>
            </w:r>
            <w:r>
              <w:rPr>
                <w:rFonts w:ascii="Times New Roman" w:eastAsia="Times New Roman" w:hAnsi="Times New Roman" w:cs="Times New Roman"/>
              </w:rPr>
              <w:t xml:space="preserve">Sept 17, </w:t>
            </w:r>
            <w:r w:rsidRPr="00E8452A">
              <w:rPr>
                <w:rFonts w:ascii="Times New Roman" w:eastAsia="Times New Roman" w:hAnsi="Times New Roman" w:cs="Times New Roman"/>
              </w:rPr>
              <w:t>2013)</w:t>
            </w:r>
          </w:p>
        </w:tc>
        <w:tc>
          <w:tcPr>
            <w:tcW w:w="1620" w:type="dxa"/>
          </w:tcPr>
          <w:p w14:paraId="40149064"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47017C76" w14:textId="77777777" w:rsidTr="00D061DC">
        <w:trPr>
          <w:trHeight w:val="60"/>
        </w:trPr>
        <w:tc>
          <w:tcPr>
            <w:tcW w:w="1908" w:type="dxa"/>
          </w:tcPr>
          <w:p w14:paraId="06041ECE"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M.D. Fla.</w:t>
            </w:r>
          </w:p>
        </w:tc>
        <w:tc>
          <w:tcPr>
            <w:tcW w:w="4950" w:type="dxa"/>
          </w:tcPr>
          <w:p w14:paraId="671E6A13" w14:textId="77777777" w:rsidR="003E1E45" w:rsidRPr="00E8452A" w:rsidRDefault="003E1E45" w:rsidP="00D061DC">
            <w:pPr>
              <w:rPr>
                <w:rFonts w:ascii="Times New Roman" w:eastAsia="Times New Roman" w:hAnsi="Times New Roman" w:cs="Times New Roman"/>
              </w:rPr>
            </w:pPr>
            <w:r w:rsidRPr="00E8452A">
              <w:rPr>
                <w:rFonts w:ascii="Times New Roman" w:eastAsia="Times New Roman" w:hAnsi="Times New Roman" w:cs="Times New Roman"/>
                <w:i/>
              </w:rPr>
              <w:t>In re Gelin</w:t>
            </w:r>
            <w:r w:rsidRPr="00E8452A">
              <w:rPr>
                <w:rFonts w:ascii="Times New Roman" w:eastAsia="Times New Roman" w:hAnsi="Times New Roman" w:cs="Times New Roman"/>
              </w:rPr>
              <w:t xml:space="preserve">, 437 B.R. 435 (Bankr. M.D. Fla. </w:t>
            </w:r>
            <w:r>
              <w:rPr>
                <w:rFonts w:ascii="Times New Roman" w:eastAsia="Times New Roman" w:hAnsi="Times New Roman" w:cs="Times New Roman"/>
              </w:rPr>
              <w:t xml:space="preserve">Sept 29, </w:t>
            </w:r>
            <w:r w:rsidRPr="00E8452A">
              <w:rPr>
                <w:rFonts w:ascii="Times New Roman" w:eastAsia="Times New Roman" w:hAnsi="Times New Roman" w:cs="Times New Roman"/>
              </w:rPr>
              <w:t>2010)</w:t>
            </w:r>
          </w:p>
        </w:tc>
        <w:tc>
          <w:tcPr>
            <w:tcW w:w="1620" w:type="dxa"/>
          </w:tcPr>
          <w:p w14:paraId="14D83F4F"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67B72AB6" w14:textId="77777777" w:rsidTr="00D061DC">
        <w:trPr>
          <w:trHeight w:val="60"/>
        </w:trPr>
        <w:tc>
          <w:tcPr>
            <w:tcW w:w="1908" w:type="dxa"/>
          </w:tcPr>
          <w:p w14:paraId="1F108EA4"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Bankr. S.D. Ga.</w:t>
            </w:r>
          </w:p>
        </w:tc>
        <w:tc>
          <w:tcPr>
            <w:tcW w:w="4950" w:type="dxa"/>
          </w:tcPr>
          <w:p w14:paraId="593CDFE6" w14:textId="77777777" w:rsidR="003E1E45" w:rsidRPr="00E8452A" w:rsidRDefault="003E1E45" w:rsidP="00D061DC">
            <w:pPr>
              <w:rPr>
                <w:rFonts w:ascii="Times New Roman" w:eastAsia="Times New Roman" w:hAnsi="Times New Roman" w:cs="Times New Roman"/>
                <w:i/>
              </w:rPr>
            </w:pPr>
            <w:r w:rsidRPr="00E8452A">
              <w:rPr>
                <w:rFonts w:ascii="Times New Roman" w:eastAsia="Times New Roman" w:hAnsi="Times New Roman" w:cs="Times New Roman"/>
                <w:i/>
              </w:rPr>
              <w:t>In re Steedley</w:t>
            </w:r>
            <w:r w:rsidRPr="00E8452A">
              <w:rPr>
                <w:rFonts w:ascii="Times New Roman" w:eastAsia="Times New Roman" w:hAnsi="Times New Roman" w:cs="Times New Roman"/>
              </w:rPr>
              <w:t>, No. 09-50654, 2010 WL 3528599 (Bankr. S.D. Ga. Aug. 27, 2010)</w:t>
            </w:r>
          </w:p>
        </w:tc>
        <w:tc>
          <w:tcPr>
            <w:tcW w:w="1620" w:type="dxa"/>
          </w:tcPr>
          <w:p w14:paraId="0F666ED9" w14:textId="77777777" w:rsidR="003E1E45" w:rsidRPr="00E8452A" w:rsidRDefault="003E1E45" w:rsidP="00D061DC">
            <w:pPr>
              <w:rPr>
                <w:rFonts w:ascii="Times New Roman" w:hAnsi="Times New Roman" w:cs="Times New Roman"/>
              </w:rPr>
            </w:pPr>
            <w:r w:rsidRPr="00E8452A">
              <w:rPr>
                <w:rFonts w:ascii="Times New Roman" w:hAnsi="Times New Roman" w:cs="Times New Roman"/>
              </w:rPr>
              <w:t>Narrow</w:t>
            </w:r>
          </w:p>
        </w:tc>
      </w:tr>
      <w:tr w:rsidR="003E1E45" w:rsidRPr="00E8452A" w14:paraId="1BBD646E" w14:textId="77777777" w:rsidTr="00D061DC">
        <w:trPr>
          <w:trHeight w:val="60"/>
        </w:trPr>
        <w:tc>
          <w:tcPr>
            <w:tcW w:w="1908" w:type="dxa"/>
          </w:tcPr>
          <w:p w14:paraId="78EE6493" w14:textId="77777777" w:rsidR="003E1E45" w:rsidRPr="00E8452A" w:rsidRDefault="003E1E45" w:rsidP="00D061DC">
            <w:pPr>
              <w:rPr>
                <w:rFonts w:ascii="Times New Roman" w:hAnsi="Times New Roman" w:cs="Times New Roman"/>
              </w:rPr>
            </w:pPr>
            <w:r>
              <w:rPr>
                <w:rFonts w:ascii="Times New Roman" w:hAnsi="Times New Roman" w:cs="Times New Roman"/>
              </w:rPr>
              <w:t>Bankr. N.D. Ga.</w:t>
            </w:r>
          </w:p>
        </w:tc>
        <w:tc>
          <w:tcPr>
            <w:tcW w:w="4950" w:type="dxa"/>
          </w:tcPr>
          <w:p w14:paraId="6C956126" w14:textId="77777777" w:rsidR="003E1E45" w:rsidRPr="00603CC5" w:rsidRDefault="003E1E45" w:rsidP="00D061DC">
            <w:pPr>
              <w:rPr>
                <w:rFonts w:ascii="Times New Roman" w:eastAsia="Times New Roman" w:hAnsi="Times New Roman" w:cs="Times New Roman"/>
                <w:i/>
                <w:color w:val="000000" w:themeColor="text1"/>
              </w:rPr>
            </w:pPr>
            <w:r w:rsidRPr="00603CC5">
              <w:rPr>
                <w:rFonts w:ascii="Times New Roman" w:hAnsi="Times New Roman" w:cs="Times New Roman"/>
                <w:color w:val="000000" w:themeColor="text1"/>
              </w:rPr>
              <w:t>In re Akinpelu, 530 B</w:t>
            </w:r>
            <w:r>
              <w:rPr>
                <w:rFonts w:ascii="Times New Roman" w:hAnsi="Times New Roman" w:cs="Times New Roman"/>
                <w:color w:val="000000" w:themeColor="text1"/>
              </w:rPr>
              <w:t>.R. 822 (Bankr. N.</w:t>
            </w:r>
            <w:r w:rsidRPr="00603CC5">
              <w:rPr>
                <w:rFonts w:ascii="Times New Roman" w:hAnsi="Times New Roman" w:cs="Times New Roman"/>
                <w:color w:val="000000" w:themeColor="text1"/>
              </w:rPr>
              <w:t>D. Ga</w:t>
            </w:r>
            <w:r>
              <w:rPr>
                <w:rFonts w:ascii="Times New Roman" w:hAnsi="Times New Roman" w:cs="Times New Roman"/>
                <w:color w:val="000000" w:themeColor="text1"/>
              </w:rPr>
              <w:t>.</w:t>
            </w:r>
            <w:r w:rsidRPr="00603CC5">
              <w:rPr>
                <w:rFonts w:ascii="Times New Roman" w:hAnsi="Times New Roman" w:cs="Times New Roman"/>
                <w:color w:val="000000" w:themeColor="text1"/>
              </w:rPr>
              <w:t>, May 4, 2015)</w:t>
            </w:r>
          </w:p>
        </w:tc>
        <w:tc>
          <w:tcPr>
            <w:tcW w:w="1620" w:type="dxa"/>
          </w:tcPr>
          <w:p w14:paraId="39BCD17C" w14:textId="77777777" w:rsidR="003E1E45" w:rsidRPr="00603CC5" w:rsidRDefault="003E1E45" w:rsidP="00D061DC">
            <w:pPr>
              <w:rPr>
                <w:rFonts w:ascii="Times New Roman" w:hAnsi="Times New Roman" w:cs="Times New Roman"/>
                <w:color w:val="000000" w:themeColor="text1"/>
              </w:rPr>
            </w:pPr>
            <w:r w:rsidRPr="00603CC5">
              <w:rPr>
                <w:rFonts w:ascii="Times New Roman" w:hAnsi="Times New Roman" w:cs="Times New Roman"/>
                <w:color w:val="000000" w:themeColor="text1"/>
              </w:rPr>
              <w:t>Narrow</w:t>
            </w:r>
          </w:p>
        </w:tc>
      </w:tr>
    </w:tbl>
    <w:p w14:paraId="4BC29665" w14:textId="77777777" w:rsidR="003E1E45" w:rsidRDefault="003E1E45" w:rsidP="003E1E45"/>
    <w:p w14:paraId="4C46FA92" w14:textId="04E3D679" w:rsidR="00023FDE" w:rsidRPr="00185A0F" w:rsidRDefault="00023FDE" w:rsidP="00185A0F">
      <w:pPr>
        <w:spacing w:line="480" w:lineRule="auto"/>
        <w:ind w:firstLine="720"/>
        <w:rPr>
          <w:rFonts w:ascii="Times New Roman" w:hAnsi="Times New Roman" w:cs="Times New Roman"/>
        </w:rPr>
      </w:pPr>
    </w:p>
    <w:sectPr w:rsidR="00023FDE" w:rsidRPr="00185A0F" w:rsidSect="00F60784">
      <w:footerReference w:type="even" r:id="rId10"/>
      <w:footerReference w:type="default" r:id="rId11"/>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1290A" w14:textId="77777777" w:rsidR="00E27215" w:rsidRDefault="00E27215" w:rsidP="000301B6">
      <w:r>
        <w:separator/>
      </w:r>
    </w:p>
  </w:endnote>
  <w:endnote w:type="continuationSeparator" w:id="0">
    <w:p w14:paraId="622DBE15" w14:textId="77777777" w:rsidR="00E27215" w:rsidRDefault="00E27215" w:rsidP="0003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D7C1B" w14:textId="77777777" w:rsidR="00560FBA" w:rsidRDefault="00560FBA" w:rsidP="00F607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8C013" w14:textId="77777777" w:rsidR="00560FBA" w:rsidRDefault="00560FBA" w:rsidP="004F1A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212A7" w14:textId="02A135D0" w:rsidR="00560FBA" w:rsidRDefault="00560FBA" w:rsidP="00F607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2B1C">
      <w:rPr>
        <w:rStyle w:val="PageNumber"/>
        <w:noProof/>
      </w:rPr>
      <w:t>26</w:t>
    </w:r>
    <w:r>
      <w:rPr>
        <w:rStyle w:val="PageNumber"/>
      </w:rPr>
      <w:fldChar w:fldCharType="end"/>
    </w:r>
  </w:p>
  <w:p w14:paraId="4F4D9E63" w14:textId="52378500" w:rsidR="00560FBA" w:rsidRDefault="00911F44" w:rsidP="004F1AC7">
    <w:pPr>
      <w:pStyle w:val="Footer"/>
      <w:ind w:right="360"/>
    </w:pPr>
    <w:r>
      <w:t>Final Draft—August 31,</w:t>
    </w:r>
    <w:r w:rsidR="00560FBA">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FF4D4" w14:textId="77777777" w:rsidR="00E27215" w:rsidRDefault="00E27215" w:rsidP="000301B6">
      <w:r>
        <w:separator/>
      </w:r>
    </w:p>
  </w:footnote>
  <w:footnote w:type="continuationSeparator" w:id="0">
    <w:p w14:paraId="4F7BE1D1" w14:textId="77777777" w:rsidR="00E27215" w:rsidRDefault="00E27215" w:rsidP="000301B6">
      <w:r>
        <w:continuationSeparator/>
      </w:r>
    </w:p>
  </w:footnote>
  <w:footnote w:id="1">
    <w:p w14:paraId="2E9F6AF8" w14:textId="1C412B2B" w:rsidR="00560FBA" w:rsidRPr="002552EA" w:rsidRDefault="00560FBA" w:rsidP="00106D9A">
      <w:pPr>
        <w:pStyle w:val="FootnoteText"/>
        <w:rPr>
          <w:rFonts w:cstheme="minorHAnsi"/>
          <w:sz w:val="20"/>
          <w:szCs w:val="20"/>
        </w:rPr>
      </w:pPr>
      <w:r w:rsidRPr="002552EA">
        <w:rPr>
          <w:rFonts w:cstheme="minorHAnsi"/>
          <w:sz w:val="20"/>
          <w:szCs w:val="20"/>
        </w:rPr>
        <w:t>**Our thanks to the Anthony H.N. Schnelling Endowment Fund of the American Bankruptcy Institute, which provided funding for this research project, and to the chief bankruptcy judges of the 78 judicial districts who granted waivers that allowed us to conduct this research.  We also want to thank our research assistants: Ashley Angelotti, Carolyn Brodbeck, Elliott Harding, Michael Hollowell, Mia Howard, Steve Simmons, Alexander Starr, Kiara Swinton, Clint Westbrook and Gaochuan Xie.</w:t>
      </w:r>
    </w:p>
    <w:p w14:paraId="72E5E01E" w14:textId="3C11AFC6"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Section 109, which sets out the requirements for who may be a debtor in bankruptcy, provides that “a person that may be a debtor under chapter 7 . . . may be a debtor under chapter 11.” 11 U.S.C. § 109(d) (2012).  (Other entities are specifically excluded from eligibility to file chapter 7 or chapter 11, but those details are irrelevant to our study.) Since “person is broadly defined to include “individual, partnership, and corporation,” </w:t>
      </w:r>
      <w:r w:rsidRPr="002552EA">
        <w:rPr>
          <w:rFonts w:cstheme="minorHAnsi"/>
          <w:i/>
          <w:sz w:val="20"/>
          <w:szCs w:val="20"/>
        </w:rPr>
        <w:t xml:space="preserve">id. </w:t>
      </w:r>
      <w:r w:rsidRPr="002552EA">
        <w:rPr>
          <w:rFonts w:cstheme="minorHAnsi"/>
          <w:sz w:val="20"/>
          <w:szCs w:val="20"/>
        </w:rPr>
        <w:t>§ 101(41), it would seem self-evident that individuals are eligible for Chapter 11.  Nevertheless, it required a decision from the United States Supreme Court—</w:t>
      </w:r>
      <w:r w:rsidRPr="002552EA">
        <w:rPr>
          <w:rFonts w:cstheme="minorHAnsi"/>
          <w:i/>
          <w:sz w:val="20"/>
          <w:szCs w:val="20"/>
        </w:rPr>
        <w:t>Toibb v. Radloff</w:t>
      </w:r>
      <w:r w:rsidRPr="002552EA">
        <w:rPr>
          <w:rFonts w:cstheme="minorHAnsi"/>
          <w:sz w:val="20"/>
          <w:szCs w:val="20"/>
        </w:rPr>
        <w:t>, 501 U.S. 157 (1991)—to make that proposition clear.</w:t>
      </w:r>
    </w:p>
  </w:footnote>
  <w:footnote w:id="2">
    <w:p w14:paraId="43483F10" w14:textId="7EE4713E"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w:t>
      </w:r>
      <w:r w:rsidRPr="002552EA">
        <w:rPr>
          <w:rFonts w:cstheme="minorHAnsi"/>
          <w:smallCaps/>
          <w:sz w:val="20"/>
          <w:szCs w:val="20"/>
        </w:rPr>
        <w:t>D. Stanley &amp; M. Girth, Bankruptcy: Problem, Process, Reform</w:t>
      </w:r>
      <w:r w:rsidRPr="002552EA">
        <w:rPr>
          <w:rFonts w:cstheme="minorHAnsi"/>
          <w:sz w:val="20"/>
          <w:szCs w:val="20"/>
        </w:rPr>
        <w:t xml:space="preserve"> 94 (1971);  </w:t>
      </w:r>
      <w:r w:rsidRPr="002552EA">
        <w:rPr>
          <w:rFonts w:cstheme="minorHAnsi"/>
          <w:smallCaps/>
          <w:sz w:val="20"/>
          <w:szCs w:val="20"/>
        </w:rPr>
        <w:t>Teresa Sullivan, Elizabeth Warren &amp; Jay Lawrence Westbrook</w:t>
      </w:r>
      <w:r w:rsidRPr="002552EA">
        <w:rPr>
          <w:rFonts w:cstheme="minorHAnsi"/>
          <w:sz w:val="20"/>
          <w:szCs w:val="20"/>
        </w:rPr>
        <w:t xml:space="preserve">, </w:t>
      </w:r>
      <w:r w:rsidRPr="002552EA">
        <w:rPr>
          <w:rFonts w:cstheme="minorHAnsi"/>
          <w:smallCaps/>
          <w:sz w:val="20"/>
          <w:szCs w:val="20"/>
        </w:rPr>
        <w:t>As We Forgive Our Debtors</w:t>
      </w:r>
      <w:r w:rsidRPr="002552EA">
        <w:rPr>
          <w:rFonts w:cstheme="minorHAnsi"/>
          <w:sz w:val="20"/>
          <w:szCs w:val="20"/>
        </w:rPr>
        <w:t xml:space="preserve"> (1989) [hereinafter “</w:t>
      </w:r>
      <w:r w:rsidRPr="002552EA">
        <w:rPr>
          <w:rFonts w:cstheme="minorHAnsi"/>
          <w:smallCaps/>
          <w:sz w:val="20"/>
          <w:szCs w:val="20"/>
        </w:rPr>
        <w:t>As We Forgive</w:t>
      </w:r>
      <w:r w:rsidRPr="002552EA">
        <w:rPr>
          <w:rFonts w:cstheme="minorHAnsi"/>
          <w:sz w:val="20"/>
          <w:szCs w:val="20"/>
        </w:rPr>
        <w:t xml:space="preserve">”]; </w:t>
      </w:r>
      <w:r w:rsidRPr="002552EA">
        <w:rPr>
          <w:rFonts w:cstheme="minorHAnsi"/>
          <w:smallCaps/>
          <w:sz w:val="20"/>
          <w:szCs w:val="20"/>
        </w:rPr>
        <w:t>Teresa Sullivan, Elizabeth Warren &amp; Jay Lawrence Westbrook</w:t>
      </w:r>
      <w:r w:rsidRPr="002552EA">
        <w:rPr>
          <w:rFonts w:cstheme="minorHAnsi"/>
          <w:sz w:val="20"/>
          <w:szCs w:val="20"/>
        </w:rPr>
        <w:t xml:space="preserve">, </w:t>
      </w:r>
      <w:r w:rsidRPr="002552EA">
        <w:rPr>
          <w:rFonts w:cstheme="minorHAnsi"/>
          <w:smallCaps/>
          <w:sz w:val="20"/>
          <w:szCs w:val="20"/>
        </w:rPr>
        <w:t>The Fragile Middle Class: Americans in Debt</w:t>
      </w:r>
      <w:r w:rsidRPr="002552EA">
        <w:rPr>
          <w:rFonts w:cstheme="minorHAnsi"/>
          <w:sz w:val="20"/>
          <w:szCs w:val="20"/>
        </w:rPr>
        <w:t xml:space="preserve"> (2000) [hereinafter “</w:t>
      </w:r>
      <w:r w:rsidRPr="002552EA">
        <w:rPr>
          <w:rFonts w:cstheme="minorHAnsi"/>
          <w:smallCaps/>
          <w:sz w:val="20"/>
          <w:szCs w:val="20"/>
        </w:rPr>
        <w:t>Fragile Middle Class</w:t>
      </w:r>
      <w:r w:rsidRPr="002552EA">
        <w:rPr>
          <w:rFonts w:cstheme="minorHAnsi"/>
          <w:sz w:val="20"/>
          <w:szCs w:val="20"/>
        </w:rPr>
        <w:t xml:space="preserve">”]; Robert Lawless, et al, </w:t>
      </w:r>
      <w:r w:rsidRPr="002552EA">
        <w:rPr>
          <w:rFonts w:cstheme="minorHAnsi"/>
          <w:i/>
          <w:sz w:val="20"/>
          <w:szCs w:val="20"/>
        </w:rPr>
        <w:t>Did Bankruptcy Reform Fail?  An Empirical Study of Consumer Debtors</w:t>
      </w:r>
      <w:r w:rsidRPr="002552EA">
        <w:rPr>
          <w:rFonts w:cstheme="minorHAnsi"/>
          <w:sz w:val="20"/>
          <w:szCs w:val="20"/>
        </w:rPr>
        <w:t xml:space="preserve">, 82 </w:t>
      </w:r>
      <w:r w:rsidRPr="002552EA">
        <w:rPr>
          <w:rFonts w:cstheme="minorHAnsi"/>
          <w:smallCaps/>
          <w:sz w:val="20"/>
          <w:szCs w:val="20"/>
        </w:rPr>
        <w:t>Am. Bankr. L.J</w:t>
      </w:r>
      <w:r w:rsidRPr="002552EA">
        <w:rPr>
          <w:rFonts w:cstheme="minorHAnsi"/>
          <w:sz w:val="20"/>
          <w:szCs w:val="20"/>
        </w:rPr>
        <w:t>. 349 (2008) [hereinafter “</w:t>
      </w:r>
      <w:r w:rsidRPr="002552EA">
        <w:rPr>
          <w:rFonts w:cstheme="minorHAnsi"/>
          <w:i/>
          <w:sz w:val="20"/>
          <w:szCs w:val="20"/>
        </w:rPr>
        <w:t>Did Bankruptcy Reform Fail</w:t>
      </w:r>
      <w:r w:rsidRPr="002552EA">
        <w:rPr>
          <w:rFonts w:cstheme="minorHAnsi"/>
          <w:sz w:val="20"/>
          <w:szCs w:val="20"/>
        </w:rPr>
        <w:t xml:space="preserve">”]; Scott F. Norberg &amp; Andrew J. Velkey, </w:t>
      </w:r>
      <w:r w:rsidRPr="002552EA">
        <w:rPr>
          <w:rFonts w:cstheme="minorHAnsi"/>
          <w:i/>
          <w:sz w:val="20"/>
          <w:szCs w:val="20"/>
        </w:rPr>
        <w:t xml:space="preserve">Debtor Discharge and Creditor Repayment in Chapter 13, </w:t>
      </w:r>
      <w:r w:rsidRPr="002552EA">
        <w:rPr>
          <w:rFonts w:cstheme="minorHAnsi"/>
          <w:sz w:val="20"/>
          <w:szCs w:val="20"/>
        </w:rPr>
        <w:t xml:space="preserve">39 </w:t>
      </w:r>
      <w:r w:rsidRPr="002552EA">
        <w:rPr>
          <w:rFonts w:cstheme="minorHAnsi"/>
          <w:smallCaps/>
          <w:sz w:val="20"/>
          <w:szCs w:val="20"/>
        </w:rPr>
        <w:t>Creighton L. Rev</w:t>
      </w:r>
      <w:r w:rsidRPr="002552EA">
        <w:rPr>
          <w:rFonts w:cstheme="minorHAnsi"/>
          <w:sz w:val="20"/>
          <w:szCs w:val="20"/>
        </w:rPr>
        <w:t xml:space="preserve">. 473 (2006); Scott F. Norberg, </w:t>
      </w:r>
      <w:r w:rsidRPr="002552EA">
        <w:rPr>
          <w:rFonts w:cstheme="minorHAnsi"/>
          <w:i/>
          <w:sz w:val="20"/>
          <w:szCs w:val="20"/>
        </w:rPr>
        <w:t xml:space="preserve">Consumer Bankruptcy’s New Clothes: An Empirical Study of Discharge and Debt Collection in Chapter 13, </w:t>
      </w:r>
      <w:r w:rsidRPr="002552EA">
        <w:rPr>
          <w:rFonts w:cstheme="minorHAnsi"/>
          <w:sz w:val="20"/>
          <w:szCs w:val="20"/>
        </w:rPr>
        <w:t xml:space="preserve">7 </w:t>
      </w:r>
      <w:r w:rsidRPr="002552EA">
        <w:rPr>
          <w:rFonts w:cstheme="minorHAnsi"/>
          <w:smallCaps/>
          <w:sz w:val="20"/>
          <w:szCs w:val="20"/>
        </w:rPr>
        <w:t>Am. Bankr. Inst. L. Rev</w:t>
      </w:r>
      <w:r w:rsidRPr="002552EA">
        <w:rPr>
          <w:rFonts w:cstheme="minorHAnsi"/>
          <w:sz w:val="20"/>
          <w:szCs w:val="20"/>
        </w:rPr>
        <w:t xml:space="preserve">. 415.  </w:t>
      </w:r>
      <w:r w:rsidRPr="002552EA">
        <w:rPr>
          <w:rFonts w:cstheme="minorHAnsi"/>
          <w:i/>
          <w:sz w:val="20"/>
          <w:szCs w:val="20"/>
        </w:rPr>
        <w:t>See</w:t>
      </w:r>
      <w:r w:rsidRPr="002552EA">
        <w:rPr>
          <w:rFonts w:cstheme="minorHAnsi"/>
          <w:sz w:val="20"/>
          <w:szCs w:val="20"/>
        </w:rPr>
        <w:t xml:space="preserve"> Robert M. Lawless &amp; Elizabeth Warren, </w:t>
      </w:r>
      <w:r w:rsidRPr="002552EA">
        <w:rPr>
          <w:rFonts w:cstheme="minorHAnsi"/>
          <w:i/>
          <w:sz w:val="20"/>
          <w:szCs w:val="20"/>
        </w:rPr>
        <w:t>The Myth of the Disappearing Business Bankruptcy</w:t>
      </w:r>
      <w:r w:rsidRPr="002552EA">
        <w:rPr>
          <w:rFonts w:cstheme="minorHAnsi"/>
          <w:sz w:val="20"/>
          <w:szCs w:val="20"/>
        </w:rPr>
        <w:t xml:space="preserve">, 93 </w:t>
      </w:r>
      <w:r w:rsidRPr="002552EA">
        <w:rPr>
          <w:rFonts w:cstheme="minorHAnsi"/>
          <w:smallCaps/>
          <w:sz w:val="20"/>
          <w:szCs w:val="20"/>
        </w:rPr>
        <w:t>Cal. L. Rev</w:t>
      </w:r>
      <w:r w:rsidRPr="002552EA">
        <w:rPr>
          <w:rFonts w:cstheme="minorHAnsi"/>
          <w:sz w:val="20"/>
          <w:szCs w:val="20"/>
        </w:rPr>
        <w:t>. 743 (2005) [hereinafter “</w:t>
      </w:r>
      <w:r w:rsidRPr="002552EA">
        <w:rPr>
          <w:rFonts w:cstheme="minorHAnsi"/>
          <w:i/>
          <w:sz w:val="20"/>
          <w:szCs w:val="20"/>
        </w:rPr>
        <w:t>Disappearing Business Bankruptcy”</w:t>
      </w:r>
      <w:r w:rsidRPr="002552EA">
        <w:rPr>
          <w:rFonts w:cstheme="minorHAnsi"/>
          <w:sz w:val="20"/>
          <w:szCs w:val="20"/>
        </w:rPr>
        <w:t>].</w:t>
      </w:r>
    </w:p>
  </w:footnote>
  <w:footnote w:id="3">
    <w:p w14:paraId="45A814A4" w14:textId="66EB7EAF"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Arturo Bris, et al., </w:t>
      </w:r>
      <w:r w:rsidRPr="002552EA">
        <w:rPr>
          <w:rFonts w:cstheme="minorHAnsi"/>
          <w:i/>
          <w:sz w:val="20"/>
          <w:szCs w:val="20"/>
        </w:rPr>
        <w:t>The Costs of Bankruptcy: Chapter 7 Liquidation versus Chapter 11 Reorganization</w:t>
      </w:r>
      <w:r w:rsidRPr="002552EA">
        <w:rPr>
          <w:rFonts w:cstheme="minorHAnsi"/>
          <w:sz w:val="20"/>
          <w:szCs w:val="20"/>
        </w:rPr>
        <w:t xml:space="preserve">, 61 </w:t>
      </w:r>
      <w:r w:rsidRPr="002552EA">
        <w:rPr>
          <w:rFonts w:cstheme="minorHAnsi"/>
          <w:smallCaps/>
          <w:sz w:val="20"/>
          <w:szCs w:val="20"/>
        </w:rPr>
        <w:t>J. Fin.</w:t>
      </w:r>
      <w:r w:rsidRPr="002552EA">
        <w:rPr>
          <w:rFonts w:cstheme="minorHAnsi"/>
          <w:sz w:val="20"/>
          <w:szCs w:val="20"/>
        </w:rPr>
        <w:t xml:space="preserve"> 1253 (2006)); </w:t>
      </w:r>
      <w:r w:rsidRPr="002552EA">
        <w:rPr>
          <w:rFonts w:cstheme="minorHAnsi"/>
          <w:smallCaps/>
          <w:sz w:val="20"/>
          <w:szCs w:val="20"/>
        </w:rPr>
        <w:t>Lynn LoPucki</w:t>
      </w:r>
      <w:r w:rsidRPr="002552EA">
        <w:rPr>
          <w:rFonts w:cstheme="minorHAnsi"/>
          <w:sz w:val="20"/>
          <w:szCs w:val="20"/>
        </w:rPr>
        <w:t xml:space="preserve">, </w:t>
      </w:r>
      <w:r w:rsidRPr="002552EA">
        <w:rPr>
          <w:rFonts w:cstheme="minorHAnsi"/>
          <w:smallCaps/>
          <w:sz w:val="20"/>
          <w:szCs w:val="20"/>
        </w:rPr>
        <w:t>Courting Failure</w:t>
      </w:r>
      <w:r w:rsidRPr="002552EA">
        <w:rPr>
          <w:rFonts w:cstheme="minorHAnsi"/>
          <w:sz w:val="20"/>
          <w:szCs w:val="20"/>
        </w:rPr>
        <w:t xml:space="preserve"> (2006). </w:t>
      </w:r>
      <w:r w:rsidRPr="002552EA">
        <w:rPr>
          <w:rFonts w:cstheme="minorHAnsi"/>
          <w:i/>
          <w:sz w:val="20"/>
          <w:szCs w:val="20"/>
        </w:rPr>
        <w:t xml:space="preserve">See, e.g., </w:t>
      </w:r>
      <w:r w:rsidRPr="002552EA">
        <w:rPr>
          <w:rFonts w:cstheme="minorHAnsi"/>
          <w:sz w:val="20"/>
          <w:szCs w:val="20"/>
        </w:rPr>
        <w:t xml:space="preserve">Edward R. Morrison, </w:t>
      </w:r>
      <w:r w:rsidRPr="002552EA">
        <w:rPr>
          <w:rFonts w:cstheme="minorHAnsi"/>
          <w:i/>
          <w:sz w:val="20"/>
          <w:szCs w:val="20"/>
        </w:rPr>
        <w:t>Bankruptcy Decision Making: An Empirical Study of Continuation Bias in Small-Business Bankruptcies</w:t>
      </w:r>
      <w:r w:rsidRPr="002552EA">
        <w:rPr>
          <w:rFonts w:cstheme="minorHAnsi"/>
          <w:sz w:val="20"/>
          <w:szCs w:val="20"/>
        </w:rPr>
        <w:t xml:space="preserve">, 50 </w:t>
      </w:r>
      <w:r w:rsidRPr="002552EA">
        <w:rPr>
          <w:rFonts w:cstheme="minorHAnsi"/>
          <w:smallCaps/>
          <w:sz w:val="20"/>
          <w:szCs w:val="20"/>
        </w:rPr>
        <w:t>J.L &amp; Econ.</w:t>
      </w:r>
      <w:r w:rsidRPr="002552EA">
        <w:rPr>
          <w:rFonts w:cstheme="minorHAnsi"/>
          <w:sz w:val="20"/>
          <w:szCs w:val="20"/>
        </w:rPr>
        <w:t xml:space="preserve"> 381 (2007) [hereinafter, “</w:t>
      </w:r>
      <w:r w:rsidRPr="002552EA">
        <w:rPr>
          <w:rFonts w:cstheme="minorHAnsi"/>
          <w:i/>
          <w:sz w:val="20"/>
          <w:szCs w:val="20"/>
        </w:rPr>
        <w:t>Bankruptcy Decision Making</w:t>
      </w:r>
      <w:r w:rsidRPr="002552EA">
        <w:rPr>
          <w:rFonts w:cstheme="minorHAnsi"/>
          <w:sz w:val="20"/>
          <w:szCs w:val="20"/>
        </w:rPr>
        <w:t xml:space="preserve">”]; Edward R. Morrison, </w:t>
      </w:r>
      <w:r w:rsidRPr="002552EA">
        <w:rPr>
          <w:rFonts w:cstheme="minorHAnsi"/>
          <w:i/>
          <w:sz w:val="20"/>
          <w:szCs w:val="20"/>
        </w:rPr>
        <w:t>Bargaining Around Bankruptcy: Small Business Workouts and State Law</w:t>
      </w:r>
      <w:r w:rsidRPr="002552EA">
        <w:rPr>
          <w:rFonts w:cstheme="minorHAnsi"/>
          <w:sz w:val="20"/>
          <w:szCs w:val="20"/>
        </w:rPr>
        <w:t xml:space="preserve">, 38 </w:t>
      </w:r>
      <w:r w:rsidRPr="002552EA">
        <w:rPr>
          <w:rFonts w:cstheme="minorHAnsi"/>
          <w:smallCaps/>
          <w:sz w:val="20"/>
          <w:szCs w:val="20"/>
        </w:rPr>
        <w:t>J. Legal Stud.</w:t>
      </w:r>
      <w:r w:rsidRPr="002552EA">
        <w:rPr>
          <w:rFonts w:cstheme="minorHAnsi"/>
          <w:sz w:val="20"/>
          <w:szCs w:val="20"/>
        </w:rPr>
        <w:t xml:space="preserve"> 255 (2009) [hereinafter, “</w:t>
      </w:r>
      <w:r w:rsidRPr="002552EA">
        <w:rPr>
          <w:rFonts w:cstheme="minorHAnsi"/>
          <w:i/>
          <w:sz w:val="20"/>
          <w:szCs w:val="20"/>
        </w:rPr>
        <w:t>Small Business Workouts</w:t>
      </w:r>
      <w:r w:rsidRPr="002552EA">
        <w:rPr>
          <w:rFonts w:cstheme="minorHAnsi"/>
          <w:sz w:val="20"/>
          <w:szCs w:val="20"/>
        </w:rPr>
        <w:t xml:space="preserve">”]; Elizabeth Warren &amp; Jay Lawrence Westbrook, </w:t>
      </w:r>
      <w:r w:rsidRPr="002552EA">
        <w:rPr>
          <w:rFonts w:cstheme="minorHAnsi"/>
          <w:i/>
          <w:sz w:val="20"/>
          <w:szCs w:val="20"/>
        </w:rPr>
        <w:t>The Success of Chapter 11: A Challenge to the Critics</w:t>
      </w:r>
      <w:r w:rsidRPr="002552EA">
        <w:rPr>
          <w:rFonts w:cstheme="minorHAnsi"/>
          <w:sz w:val="20"/>
          <w:szCs w:val="20"/>
        </w:rPr>
        <w:t xml:space="preserve">, 107 </w:t>
      </w:r>
      <w:r w:rsidRPr="002552EA">
        <w:rPr>
          <w:rFonts w:cstheme="minorHAnsi"/>
          <w:smallCaps/>
          <w:sz w:val="20"/>
          <w:szCs w:val="20"/>
        </w:rPr>
        <w:t>Mich. L. Rev.</w:t>
      </w:r>
      <w:r w:rsidRPr="002552EA">
        <w:rPr>
          <w:rFonts w:cstheme="minorHAnsi"/>
          <w:sz w:val="20"/>
          <w:szCs w:val="20"/>
        </w:rPr>
        <w:t xml:space="preserve"> 603 (2009) [hereinafter “</w:t>
      </w:r>
      <w:r w:rsidRPr="002552EA">
        <w:rPr>
          <w:rFonts w:cstheme="minorHAnsi"/>
          <w:i/>
          <w:sz w:val="20"/>
          <w:szCs w:val="20"/>
        </w:rPr>
        <w:t>Success of Chapter 11</w:t>
      </w:r>
      <w:r w:rsidRPr="002552EA">
        <w:rPr>
          <w:rFonts w:cstheme="minorHAnsi"/>
          <w:sz w:val="20"/>
          <w:szCs w:val="20"/>
        </w:rPr>
        <w:t>”].</w:t>
      </w:r>
    </w:p>
  </w:footnote>
  <w:footnote w:id="4">
    <w:p w14:paraId="5C2CC186" w14:textId="13002A5D" w:rsidR="00560FBA" w:rsidRPr="002552EA" w:rsidRDefault="00560FBA" w:rsidP="00106D9A">
      <w:pPr>
        <w:rPr>
          <w:rFonts w:cstheme="minorHAnsi"/>
          <w:b/>
          <w:i/>
          <w:sz w:val="20"/>
          <w:szCs w:val="20"/>
        </w:rPr>
      </w:pPr>
      <w:r w:rsidRPr="002552EA">
        <w:rPr>
          <w:rStyle w:val="FootnoteReference"/>
          <w:rFonts w:cstheme="minorHAnsi"/>
          <w:sz w:val="20"/>
          <w:szCs w:val="20"/>
        </w:rPr>
        <w:footnoteRef/>
      </w:r>
      <w:r w:rsidRPr="002552EA">
        <w:rPr>
          <w:rFonts w:cstheme="minorHAnsi"/>
          <w:sz w:val="20"/>
          <w:szCs w:val="20"/>
        </w:rPr>
        <w:t xml:space="preserve"> Professors Warren and Westbrook had reported some facts about individuals in Chapter 11 in two of their prior studies, but their focus was on business bankruptcy more generally.  </w:t>
      </w:r>
      <w:r w:rsidRPr="002552EA">
        <w:rPr>
          <w:rFonts w:cstheme="minorHAnsi"/>
          <w:i/>
          <w:sz w:val="20"/>
          <w:szCs w:val="20"/>
        </w:rPr>
        <w:t>See Success of Chapter 11</w:t>
      </w:r>
      <w:r w:rsidRPr="002552EA">
        <w:rPr>
          <w:rFonts w:cstheme="minorHAnsi"/>
          <w:sz w:val="20"/>
          <w:szCs w:val="20"/>
        </w:rPr>
        <w:t xml:space="preserve">, </w:t>
      </w:r>
      <w:r w:rsidRPr="002552EA">
        <w:rPr>
          <w:rFonts w:cstheme="minorHAnsi"/>
          <w:i/>
          <w:sz w:val="20"/>
          <w:szCs w:val="20"/>
        </w:rPr>
        <w:t>supra</w:t>
      </w:r>
      <w:r w:rsidRPr="002552EA">
        <w:rPr>
          <w:rFonts w:cstheme="minorHAnsi"/>
          <w:sz w:val="20"/>
          <w:szCs w:val="20"/>
        </w:rPr>
        <w:t xml:space="preserve"> note </w:t>
      </w:r>
      <w:r w:rsidRPr="002552EA">
        <w:rPr>
          <w:rFonts w:cstheme="minorHAnsi"/>
          <w:sz w:val="20"/>
          <w:szCs w:val="20"/>
        </w:rPr>
        <w:fldChar w:fldCharType="begin"/>
      </w:r>
      <w:r w:rsidRPr="002552EA">
        <w:rPr>
          <w:rFonts w:cstheme="minorHAnsi"/>
          <w:sz w:val="20"/>
          <w:szCs w:val="20"/>
        </w:rPr>
        <w:instrText xml:space="preserve"> NOTEREF _Ref276229185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w:t>
      </w:r>
      <w:r w:rsidRPr="002552EA">
        <w:rPr>
          <w:rFonts w:cstheme="minorHAnsi"/>
          <w:sz w:val="20"/>
          <w:szCs w:val="20"/>
        </w:rPr>
        <w:fldChar w:fldCharType="end"/>
      </w:r>
      <w:r w:rsidRPr="002552EA">
        <w:rPr>
          <w:rFonts w:cstheme="minorHAnsi"/>
          <w:sz w:val="20"/>
          <w:szCs w:val="20"/>
        </w:rPr>
        <w:t xml:space="preserve">; Elizabeth Warren &amp; Jay Lawrence Westbrook, </w:t>
      </w:r>
      <w:r w:rsidRPr="002552EA">
        <w:rPr>
          <w:rFonts w:cstheme="minorHAnsi"/>
          <w:i/>
          <w:sz w:val="20"/>
          <w:szCs w:val="20"/>
        </w:rPr>
        <w:t xml:space="preserve">Financial Characteristics of Businesses in Bankruptcy, </w:t>
      </w:r>
      <w:r w:rsidRPr="002552EA">
        <w:rPr>
          <w:rFonts w:cstheme="minorHAnsi"/>
          <w:sz w:val="20"/>
          <w:szCs w:val="20"/>
        </w:rPr>
        <w:t xml:space="preserve">73 </w:t>
      </w:r>
      <w:r w:rsidRPr="002552EA">
        <w:rPr>
          <w:rFonts w:cstheme="minorHAnsi"/>
          <w:smallCaps/>
          <w:sz w:val="20"/>
          <w:szCs w:val="20"/>
        </w:rPr>
        <w:t>Am. Bankr. L. J</w:t>
      </w:r>
      <w:r w:rsidRPr="002552EA">
        <w:rPr>
          <w:rFonts w:cstheme="minorHAnsi"/>
          <w:sz w:val="20"/>
          <w:szCs w:val="20"/>
        </w:rPr>
        <w:t>. 499 (1999) [hereinafter “</w:t>
      </w:r>
      <w:r w:rsidRPr="002552EA">
        <w:rPr>
          <w:rFonts w:cstheme="minorHAnsi"/>
          <w:i/>
          <w:sz w:val="20"/>
          <w:szCs w:val="20"/>
        </w:rPr>
        <w:t>Financial Characteristics”</w:t>
      </w:r>
      <w:r w:rsidRPr="002552EA">
        <w:rPr>
          <w:rFonts w:cstheme="minorHAnsi"/>
          <w:sz w:val="20"/>
          <w:szCs w:val="20"/>
        </w:rPr>
        <w:t xml:space="preserve">].  After we began our project, Professor Lawton completed two studies based on random samples that she drew from all Chapter 11 cases filed in 2004 and 2007.  </w:t>
      </w:r>
      <w:r w:rsidRPr="002552EA">
        <w:rPr>
          <w:rFonts w:cstheme="minorHAnsi"/>
          <w:i/>
          <w:sz w:val="20"/>
          <w:szCs w:val="20"/>
        </w:rPr>
        <w:t xml:space="preserve">See </w:t>
      </w:r>
      <w:r w:rsidRPr="002552EA">
        <w:rPr>
          <w:rFonts w:cstheme="minorHAnsi"/>
          <w:sz w:val="20"/>
          <w:szCs w:val="20"/>
        </w:rPr>
        <w:t xml:space="preserve">Anne Lawton, </w:t>
      </w:r>
      <w:r w:rsidRPr="002552EA">
        <w:rPr>
          <w:rFonts w:cstheme="minorHAnsi"/>
          <w:i/>
          <w:sz w:val="20"/>
          <w:szCs w:val="20"/>
        </w:rPr>
        <w:t xml:space="preserve">Musings on BAPCPA and the Individual Chapter 11 Debtor, </w:t>
      </w:r>
      <w:r w:rsidRPr="002552EA">
        <w:rPr>
          <w:rFonts w:cstheme="minorHAnsi"/>
          <w:sz w:val="20"/>
          <w:szCs w:val="20"/>
        </w:rPr>
        <w:t xml:space="preserve">90 </w:t>
      </w:r>
      <w:r w:rsidRPr="002552EA">
        <w:rPr>
          <w:rFonts w:cstheme="minorHAnsi"/>
          <w:smallCaps/>
          <w:sz w:val="20"/>
          <w:szCs w:val="20"/>
        </w:rPr>
        <w:t>Am. Bankr. L.J.  307</w:t>
      </w:r>
      <w:r w:rsidRPr="002552EA">
        <w:rPr>
          <w:rFonts w:cstheme="minorHAnsi"/>
          <w:sz w:val="20"/>
          <w:szCs w:val="20"/>
        </w:rPr>
        <w:t xml:space="preserve"> (2016) [hereinafter “</w:t>
      </w:r>
      <w:r w:rsidRPr="002552EA">
        <w:rPr>
          <w:rFonts w:cstheme="minorHAnsi"/>
          <w:i/>
          <w:sz w:val="20"/>
          <w:szCs w:val="20"/>
        </w:rPr>
        <w:t>Musings”</w:t>
      </w:r>
      <w:r w:rsidRPr="002552EA">
        <w:rPr>
          <w:rFonts w:cstheme="minorHAnsi"/>
          <w:sz w:val="20"/>
          <w:szCs w:val="20"/>
        </w:rPr>
        <w:t xml:space="preserve">]; Anne Lawton, </w:t>
      </w:r>
      <w:r w:rsidRPr="002552EA">
        <w:rPr>
          <w:rFonts w:cstheme="minorHAnsi"/>
          <w:i/>
          <w:sz w:val="20"/>
          <w:szCs w:val="20"/>
        </w:rPr>
        <w:t xml:space="preserve">The Individual Chapter 11 Debtor Pre- and Post-BAPCPA, </w:t>
      </w:r>
      <w:r w:rsidRPr="002552EA">
        <w:rPr>
          <w:rFonts w:cstheme="minorHAnsi"/>
          <w:sz w:val="20"/>
          <w:szCs w:val="20"/>
        </w:rPr>
        <w:t xml:space="preserve">89 </w:t>
      </w:r>
      <w:r w:rsidRPr="002552EA">
        <w:rPr>
          <w:rFonts w:cstheme="minorHAnsi"/>
          <w:smallCaps/>
          <w:sz w:val="20"/>
          <w:szCs w:val="20"/>
        </w:rPr>
        <w:t>Am. Bankr. L.J.  455</w:t>
      </w:r>
      <w:r w:rsidRPr="002552EA">
        <w:rPr>
          <w:rFonts w:cstheme="minorHAnsi"/>
          <w:sz w:val="20"/>
          <w:szCs w:val="20"/>
        </w:rPr>
        <w:t xml:space="preserve"> (2015) [hereinafter “</w:t>
      </w:r>
      <w:r w:rsidRPr="002552EA">
        <w:rPr>
          <w:rFonts w:cstheme="minorHAnsi"/>
          <w:i/>
          <w:sz w:val="20"/>
          <w:szCs w:val="20"/>
        </w:rPr>
        <w:t>Individual Chapter 11 Debtors”</w:t>
      </w:r>
      <w:r w:rsidRPr="002552EA">
        <w:rPr>
          <w:rFonts w:cstheme="minorHAnsi"/>
          <w:sz w:val="20"/>
          <w:szCs w:val="20"/>
        </w:rPr>
        <w:t xml:space="preserve">]. </w:t>
      </w:r>
    </w:p>
  </w:footnote>
  <w:footnote w:id="5">
    <w:p w14:paraId="3E1C1273" w14:textId="6369A783" w:rsidR="00560FBA" w:rsidRPr="005D64D7" w:rsidRDefault="00560FBA">
      <w:pPr>
        <w:pStyle w:val="FootnoteText"/>
        <w:rPr>
          <w:sz w:val="20"/>
          <w:szCs w:val="20"/>
        </w:rPr>
      </w:pPr>
      <w:r w:rsidRPr="005D64D7">
        <w:rPr>
          <w:rStyle w:val="FootnoteReference"/>
          <w:sz w:val="20"/>
          <w:szCs w:val="20"/>
        </w:rPr>
        <w:footnoteRef/>
      </w:r>
      <w:r w:rsidRPr="005D64D7">
        <w:rPr>
          <w:sz w:val="20"/>
          <w:szCs w:val="20"/>
        </w:rPr>
        <w:t xml:space="preserve"> See </w:t>
      </w:r>
      <w:r w:rsidRPr="005D64D7">
        <w:rPr>
          <w:i/>
          <w:sz w:val="20"/>
          <w:szCs w:val="20"/>
        </w:rPr>
        <w:t>infra</w:t>
      </w:r>
      <w:r w:rsidRPr="005D64D7">
        <w:rPr>
          <w:sz w:val="20"/>
          <w:szCs w:val="20"/>
        </w:rPr>
        <w:t xml:space="preserve"> Table 1, and accompanying</w:t>
      </w:r>
      <w:r>
        <w:rPr>
          <w:sz w:val="20"/>
          <w:szCs w:val="20"/>
        </w:rPr>
        <w:t xml:space="preserve"> </w:t>
      </w:r>
      <w:r w:rsidRPr="005D64D7">
        <w:rPr>
          <w:sz w:val="20"/>
          <w:szCs w:val="20"/>
        </w:rPr>
        <w:t>text.</w:t>
      </w:r>
    </w:p>
  </w:footnote>
  <w:footnote w:id="6">
    <w:p w14:paraId="55FF54E1" w14:textId="77777777" w:rsidR="00560FBA" w:rsidRPr="005D64D7" w:rsidRDefault="00560FBA" w:rsidP="00316C1E">
      <w:pPr>
        <w:pStyle w:val="FootnoteText"/>
        <w:rPr>
          <w:sz w:val="20"/>
          <w:szCs w:val="20"/>
        </w:rPr>
      </w:pPr>
      <w:r w:rsidRPr="002552EA">
        <w:rPr>
          <w:rStyle w:val="FootnoteReference"/>
          <w:sz w:val="20"/>
          <w:szCs w:val="20"/>
        </w:rPr>
        <w:footnoteRef/>
      </w:r>
      <w:r w:rsidRPr="002552EA">
        <w:rPr>
          <w:sz w:val="20"/>
          <w:szCs w:val="20"/>
        </w:rPr>
        <w:t xml:space="preserve"> </w:t>
      </w:r>
      <w:r w:rsidRPr="002552EA">
        <w:rPr>
          <w:rFonts w:cstheme="minorHAnsi"/>
          <w:sz w:val="20"/>
          <w:szCs w:val="20"/>
        </w:rPr>
        <w:t>11 U.S.C. §§ 1129(a)(15), 1325(b) (2012).</w:t>
      </w:r>
    </w:p>
  </w:footnote>
  <w:footnote w:id="7">
    <w:p w14:paraId="3F6826BC" w14:textId="77777777" w:rsidR="00560FBA" w:rsidRPr="002552EA" w:rsidRDefault="00560FBA" w:rsidP="00316C1E">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Id</w:t>
      </w:r>
      <w:r w:rsidRPr="002552EA">
        <w:rPr>
          <w:rFonts w:cstheme="minorHAnsi"/>
          <w:sz w:val="20"/>
          <w:szCs w:val="20"/>
        </w:rPr>
        <w:t xml:space="preserve">. at §§ 1141(d)(5)(A), 1328(a) (2012). </w:t>
      </w:r>
    </w:p>
  </w:footnote>
  <w:footnote w:id="8">
    <w:p w14:paraId="19A2E2D3" w14:textId="00A98AC5" w:rsidR="00560FBA" w:rsidRPr="002552EA" w:rsidRDefault="00560FBA" w:rsidP="00316C1E">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Id</w:t>
      </w:r>
      <w:r w:rsidRPr="002552EA">
        <w:rPr>
          <w:rFonts w:cstheme="minorHAnsi"/>
          <w:sz w:val="20"/>
          <w:szCs w:val="20"/>
        </w:rPr>
        <w:t xml:space="preserve">. at § 1141(d)(1) (2012). </w:t>
      </w:r>
    </w:p>
  </w:footnote>
  <w:footnote w:id="9">
    <w:p w14:paraId="18E47B0B" w14:textId="77777777" w:rsidR="00560FBA" w:rsidRPr="005D64D7" w:rsidRDefault="00560FBA" w:rsidP="00316C1E">
      <w:pPr>
        <w:pStyle w:val="FootnoteText"/>
        <w:rPr>
          <w:sz w:val="20"/>
          <w:szCs w:val="20"/>
        </w:rPr>
      </w:pPr>
      <w:r w:rsidRPr="005D64D7">
        <w:rPr>
          <w:rStyle w:val="FootnoteReference"/>
          <w:sz w:val="20"/>
          <w:szCs w:val="20"/>
        </w:rPr>
        <w:footnoteRef/>
      </w:r>
      <w:r w:rsidRPr="005D64D7">
        <w:rPr>
          <w:sz w:val="20"/>
          <w:szCs w:val="20"/>
        </w:rPr>
        <w:t xml:space="preserve"> </w:t>
      </w:r>
      <w:r w:rsidRPr="002552EA">
        <w:rPr>
          <w:rFonts w:cstheme="minorHAnsi"/>
          <w:smallCaps/>
          <w:sz w:val="20"/>
          <w:szCs w:val="20"/>
        </w:rPr>
        <w:t xml:space="preserve">Fed. R. Bankr. Proc. </w:t>
      </w:r>
      <w:r w:rsidRPr="002552EA">
        <w:rPr>
          <w:rFonts w:cstheme="minorHAnsi"/>
          <w:sz w:val="20"/>
          <w:szCs w:val="20"/>
        </w:rPr>
        <w:t xml:space="preserve"> 3015(b).</w:t>
      </w:r>
    </w:p>
  </w:footnote>
  <w:footnote w:id="10">
    <w:p w14:paraId="105105ED" w14:textId="77777777" w:rsidR="00560FBA" w:rsidRPr="005D64D7" w:rsidRDefault="00560FBA" w:rsidP="00316C1E">
      <w:pPr>
        <w:pStyle w:val="FootnoteText"/>
        <w:rPr>
          <w:sz w:val="20"/>
          <w:szCs w:val="20"/>
        </w:rPr>
      </w:pPr>
      <w:r w:rsidRPr="005D64D7">
        <w:rPr>
          <w:rStyle w:val="FootnoteReference"/>
          <w:sz w:val="20"/>
          <w:szCs w:val="20"/>
        </w:rPr>
        <w:footnoteRef/>
      </w:r>
      <w:r w:rsidRPr="005D64D7">
        <w:rPr>
          <w:sz w:val="20"/>
          <w:szCs w:val="20"/>
        </w:rPr>
        <w:t xml:space="preserve"> </w:t>
      </w:r>
      <w:r w:rsidRPr="002552EA">
        <w:rPr>
          <w:rFonts w:cstheme="minorHAnsi"/>
          <w:sz w:val="20"/>
          <w:szCs w:val="20"/>
        </w:rPr>
        <w:t>11 U.S.C. § 1322(d) (2012).</w:t>
      </w:r>
    </w:p>
  </w:footnote>
  <w:footnote w:id="11">
    <w:p w14:paraId="0F5D2007" w14:textId="033D4C49" w:rsidR="00560FBA" w:rsidRPr="005D64D7" w:rsidRDefault="00560FBA" w:rsidP="00316C1E">
      <w:pPr>
        <w:pStyle w:val="FootnoteText"/>
        <w:rPr>
          <w:sz w:val="20"/>
          <w:szCs w:val="20"/>
        </w:rPr>
      </w:pPr>
      <w:r w:rsidRPr="005D64D7">
        <w:rPr>
          <w:rStyle w:val="FootnoteReference"/>
          <w:sz w:val="20"/>
          <w:szCs w:val="20"/>
        </w:rPr>
        <w:footnoteRef/>
      </w:r>
      <w:r w:rsidRPr="005D64D7">
        <w:rPr>
          <w:sz w:val="20"/>
          <w:szCs w:val="20"/>
        </w:rPr>
        <w:t xml:space="preserve"> </w:t>
      </w:r>
      <w:r w:rsidRPr="002552EA">
        <w:rPr>
          <w:rFonts w:cstheme="minorHAnsi"/>
          <w:sz w:val="20"/>
          <w:szCs w:val="20"/>
        </w:rPr>
        <w:t>The debtor must begin making payments within 30 days of filing</w:t>
      </w:r>
      <w:r>
        <w:rPr>
          <w:rFonts w:cstheme="minorHAnsi"/>
          <w:sz w:val="20"/>
          <w:szCs w:val="20"/>
        </w:rPr>
        <w:t>.</w:t>
      </w:r>
      <w:r w:rsidRPr="002552EA">
        <w:rPr>
          <w:rFonts w:cstheme="minorHAnsi"/>
          <w:sz w:val="20"/>
          <w:szCs w:val="20"/>
        </w:rPr>
        <w:t xml:space="preserve"> </w:t>
      </w:r>
      <w:r w:rsidRPr="005D64D7">
        <w:rPr>
          <w:rFonts w:cstheme="minorHAnsi"/>
          <w:i/>
          <w:sz w:val="20"/>
          <w:szCs w:val="20"/>
        </w:rPr>
        <w:t>Id</w:t>
      </w:r>
      <w:r w:rsidRPr="002552EA">
        <w:rPr>
          <w:rFonts w:cstheme="minorHAnsi"/>
          <w:sz w:val="20"/>
          <w:szCs w:val="20"/>
        </w:rPr>
        <w:t>. at § 1326.</w:t>
      </w:r>
    </w:p>
  </w:footnote>
  <w:footnote w:id="12">
    <w:p w14:paraId="02A27899" w14:textId="77777777" w:rsidR="00560FBA" w:rsidRPr="005D64D7" w:rsidRDefault="00560FBA" w:rsidP="00316C1E">
      <w:pPr>
        <w:pStyle w:val="FootnoteText"/>
        <w:rPr>
          <w:sz w:val="20"/>
          <w:szCs w:val="20"/>
        </w:rPr>
      </w:pPr>
      <w:r w:rsidRPr="005D64D7">
        <w:rPr>
          <w:rStyle w:val="FootnoteReference"/>
          <w:sz w:val="20"/>
          <w:szCs w:val="20"/>
        </w:rPr>
        <w:footnoteRef/>
      </w:r>
      <w:r w:rsidRPr="005D64D7">
        <w:rPr>
          <w:sz w:val="20"/>
          <w:szCs w:val="20"/>
        </w:rPr>
        <w:t xml:space="preserve"> </w:t>
      </w:r>
      <w:r w:rsidRPr="005D64D7">
        <w:rPr>
          <w:rFonts w:cstheme="minorHAnsi"/>
          <w:i/>
          <w:sz w:val="20"/>
          <w:szCs w:val="20"/>
        </w:rPr>
        <w:t>Id</w:t>
      </w:r>
      <w:r w:rsidRPr="002552EA">
        <w:rPr>
          <w:rFonts w:cstheme="minorHAnsi"/>
          <w:sz w:val="20"/>
          <w:szCs w:val="20"/>
        </w:rPr>
        <w:t>. at § 1302.</w:t>
      </w:r>
    </w:p>
  </w:footnote>
  <w:footnote w:id="13">
    <w:p w14:paraId="4F284DF0" w14:textId="77777777" w:rsidR="00560FBA" w:rsidRPr="002552EA" w:rsidRDefault="00560FBA" w:rsidP="00316C1E">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For a discussion of the absolute priority rule, </w:t>
      </w:r>
      <w:r w:rsidRPr="002552EA">
        <w:rPr>
          <w:rFonts w:cstheme="minorHAnsi"/>
          <w:i/>
          <w:sz w:val="20"/>
          <w:szCs w:val="20"/>
        </w:rPr>
        <w:t>see infra</w:t>
      </w:r>
      <w:r w:rsidRPr="002552EA">
        <w:rPr>
          <w:rFonts w:cstheme="minorHAnsi"/>
          <w:sz w:val="20"/>
          <w:szCs w:val="20"/>
        </w:rPr>
        <w:t xml:space="preserve"> Part IV.B.3.</w:t>
      </w:r>
    </w:p>
  </w:footnote>
  <w:footnote w:id="14">
    <w:p w14:paraId="5656B2B2" w14:textId="77777777" w:rsidR="00560FBA" w:rsidRPr="002552EA" w:rsidRDefault="00560FBA" w:rsidP="000E7E73">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w:t>
      </w:r>
      <w:r w:rsidRPr="002552EA">
        <w:rPr>
          <w:rFonts w:cstheme="minorHAnsi"/>
          <w:sz w:val="20"/>
          <w:szCs w:val="20"/>
        </w:rPr>
        <w:t>Jean Braucher &amp; Charles W. Mooney</w:t>
      </w:r>
      <w:r w:rsidRPr="002552EA">
        <w:rPr>
          <w:rFonts w:cstheme="minorHAnsi"/>
          <w:i/>
          <w:sz w:val="20"/>
          <w:szCs w:val="20"/>
        </w:rPr>
        <w:t xml:space="preserve">, Means Measurement Rather than Means Testing: Using the Tax System to Collect from Can-pay Consumer Debtors after Bankruptcy, </w:t>
      </w:r>
      <w:r w:rsidRPr="002552EA">
        <w:rPr>
          <w:rFonts w:cstheme="minorHAnsi"/>
          <w:smallCaps/>
          <w:sz w:val="20"/>
          <w:szCs w:val="20"/>
        </w:rPr>
        <w:t>Am. Bankr. Inst. J</w:t>
      </w:r>
      <w:r w:rsidRPr="002552EA">
        <w:rPr>
          <w:rFonts w:cstheme="minorHAnsi"/>
          <w:sz w:val="20"/>
          <w:szCs w:val="20"/>
        </w:rPr>
        <w:t>., Feb. 22, 2003, at 6</w:t>
      </w:r>
      <w:r w:rsidRPr="002552EA">
        <w:rPr>
          <w:rFonts w:cstheme="minorHAnsi"/>
          <w:i/>
          <w:sz w:val="20"/>
          <w:szCs w:val="20"/>
        </w:rPr>
        <w:t>.</w:t>
      </w:r>
    </w:p>
  </w:footnote>
  <w:footnote w:id="15">
    <w:p w14:paraId="71872E48" w14:textId="5E822542" w:rsidR="00560FBA" w:rsidRPr="005D64D7" w:rsidRDefault="00560FBA">
      <w:pPr>
        <w:pStyle w:val="FootnoteText"/>
        <w:rPr>
          <w:sz w:val="20"/>
          <w:szCs w:val="20"/>
        </w:rPr>
      </w:pPr>
      <w:r w:rsidRPr="005D64D7">
        <w:rPr>
          <w:rStyle w:val="FootnoteReference"/>
          <w:sz w:val="20"/>
          <w:szCs w:val="20"/>
        </w:rPr>
        <w:footnoteRef/>
      </w:r>
      <w:r w:rsidRPr="005D64D7">
        <w:rPr>
          <w:sz w:val="20"/>
          <w:szCs w:val="20"/>
        </w:rPr>
        <w:t xml:space="preserve"> </w:t>
      </w:r>
      <w:r w:rsidRPr="005D64D7">
        <w:rPr>
          <w:i/>
          <w:sz w:val="20"/>
          <w:szCs w:val="20"/>
        </w:rPr>
        <w:t xml:space="preserve">See infra </w:t>
      </w:r>
      <w:r w:rsidRPr="005D64D7">
        <w:rPr>
          <w:sz w:val="20"/>
          <w:szCs w:val="20"/>
        </w:rPr>
        <w:t>Table 11, and accompanying text.</w:t>
      </w:r>
    </w:p>
  </w:footnote>
  <w:footnote w:id="16">
    <w:p w14:paraId="480320DF" w14:textId="77777777" w:rsidR="00560FBA" w:rsidRPr="002552EA" w:rsidRDefault="00560FBA" w:rsidP="008C54B5">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infra </w:t>
      </w:r>
      <w:r w:rsidRPr="002552EA">
        <w:rPr>
          <w:rFonts w:cstheme="minorHAnsi"/>
          <w:sz w:val="20"/>
          <w:szCs w:val="20"/>
        </w:rPr>
        <w:t>Table 31, and accompanying text.</w:t>
      </w:r>
    </w:p>
  </w:footnote>
  <w:footnote w:id="17">
    <w:p w14:paraId="3B10F962" w14:textId="77777777" w:rsidR="00560FBA" w:rsidRPr="002552EA" w:rsidRDefault="00560FBA" w:rsidP="008C54B5">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infra </w:t>
      </w:r>
      <w:r w:rsidRPr="002552EA">
        <w:rPr>
          <w:rFonts w:cstheme="minorHAnsi"/>
          <w:sz w:val="20"/>
          <w:szCs w:val="20"/>
        </w:rPr>
        <w:t xml:space="preserve">Tables 25 and 26, and accompanying text. </w:t>
      </w:r>
    </w:p>
  </w:footnote>
  <w:footnote w:id="18">
    <w:p w14:paraId="2B331036" w14:textId="77777777" w:rsidR="00560FBA" w:rsidRPr="002552EA" w:rsidRDefault="00560FBA" w:rsidP="008C54B5">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infra </w:t>
      </w:r>
      <w:r w:rsidRPr="002552EA">
        <w:rPr>
          <w:rFonts w:cstheme="minorHAnsi"/>
          <w:sz w:val="20"/>
          <w:szCs w:val="20"/>
        </w:rPr>
        <w:t>Table 10, and accompanying text.</w:t>
      </w:r>
    </w:p>
  </w:footnote>
  <w:footnote w:id="19">
    <w:p w14:paraId="3EE1F968" w14:textId="77777777" w:rsidR="00560FBA" w:rsidRPr="002552EA" w:rsidRDefault="00560FBA" w:rsidP="00C353A0">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infra </w:t>
      </w:r>
      <w:r w:rsidRPr="002552EA">
        <w:rPr>
          <w:rFonts w:cstheme="minorHAnsi"/>
          <w:sz w:val="20"/>
          <w:szCs w:val="20"/>
        </w:rPr>
        <w:t>Section III.A.3.</w:t>
      </w:r>
    </w:p>
  </w:footnote>
  <w:footnote w:id="20">
    <w:p w14:paraId="226C1F44" w14:textId="1BF47945" w:rsidR="00560FBA" w:rsidRPr="002552EA" w:rsidRDefault="00560FB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infra </w:t>
      </w:r>
      <w:r w:rsidRPr="002552EA">
        <w:rPr>
          <w:rFonts w:cstheme="minorHAnsi"/>
          <w:sz w:val="20"/>
          <w:szCs w:val="20"/>
        </w:rPr>
        <w:t xml:space="preserve">Table 20, and accompanying text. </w:t>
      </w:r>
    </w:p>
  </w:footnote>
  <w:footnote w:id="21">
    <w:p w14:paraId="196BD952" w14:textId="3084D007" w:rsidR="00560FBA" w:rsidRPr="002552EA" w:rsidRDefault="00560FB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infra </w:t>
      </w:r>
      <w:r w:rsidRPr="002552EA">
        <w:rPr>
          <w:rFonts w:cstheme="minorHAnsi"/>
          <w:sz w:val="20"/>
          <w:szCs w:val="20"/>
        </w:rPr>
        <w:t xml:space="preserve">Tables 29 and 34, and accompanying text.  For the Commission’s recommendations for small and medium sized enterprises, </w:t>
      </w:r>
      <w:r w:rsidRPr="002552EA">
        <w:rPr>
          <w:rFonts w:cstheme="minorHAnsi"/>
          <w:i/>
          <w:sz w:val="20"/>
          <w:szCs w:val="20"/>
        </w:rPr>
        <w:t xml:space="preserve">see </w:t>
      </w:r>
      <w:r w:rsidRPr="002552EA">
        <w:rPr>
          <w:rFonts w:cstheme="minorHAnsi"/>
          <w:sz w:val="20"/>
          <w:szCs w:val="20"/>
        </w:rPr>
        <w:t>Final Report and Recommendations, American Bankruptcy Institute Commission to Study the Reform of Chapter 11 275-302 (2014) [her</w:t>
      </w:r>
      <w:r>
        <w:rPr>
          <w:rFonts w:cstheme="minorHAnsi"/>
          <w:sz w:val="20"/>
          <w:szCs w:val="20"/>
        </w:rPr>
        <w:t>einafter ABI Commission Report].</w:t>
      </w:r>
    </w:p>
  </w:footnote>
  <w:footnote w:id="22">
    <w:p w14:paraId="0B5D035C" w14:textId="140D228B" w:rsidR="00560FBA" w:rsidRPr="002552EA" w:rsidRDefault="00560FB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infra </w:t>
      </w:r>
      <w:r w:rsidRPr="002552EA">
        <w:rPr>
          <w:rFonts w:cstheme="minorHAnsi"/>
          <w:sz w:val="20"/>
          <w:szCs w:val="20"/>
        </w:rPr>
        <w:t xml:space="preserve">Table 12, and accompanying text. </w:t>
      </w:r>
    </w:p>
  </w:footnote>
  <w:footnote w:id="23">
    <w:p w14:paraId="5823A277" w14:textId="77777777" w:rsidR="00560FBA" w:rsidRPr="002552EA" w:rsidRDefault="00560FBA" w:rsidP="008C54B5">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infra </w:t>
      </w:r>
      <w:r w:rsidRPr="002552EA">
        <w:rPr>
          <w:rFonts w:cstheme="minorHAnsi"/>
          <w:sz w:val="20"/>
          <w:szCs w:val="20"/>
        </w:rPr>
        <w:t xml:space="preserve">Table 30, and accompanying text. </w:t>
      </w:r>
    </w:p>
  </w:footnote>
  <w:footnote w:id="24">
    <w:p w14:paraId="410E2BB3" w14:textId="77777777" w:rsidR="00560FBA" w:rsidRPr="002552EA" w:rsidRDefault="00560FBA" w:rsidP="008C54B5">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infra </w:t>
      </w:r>
      <w:r w:rsidRPr="002552EA">
        <w:rPr>
          <w:rFonts w:cstheme="minorHAnsi"/>
          <w:sz w:val="20"/>
          <w:szCs w:val="20"/>
        </w:rPr>
        <w:t>Table 28.</w:t>
      </w:r>
    </w:p>
  </w:footnote>
  <w:footnote w:id="25">
    <w:p w14:paraId="57AF5A8D" w14:textId="6FECC961" w:rsidR="00560FBA" w:rsidRPr="002552EA" w:rsidRDefault="00560FBA" w:rsidP="008C54B5">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See</w:t>
      </w:r>
      <w:r w:rsidRPr="002552EA">
        <w:rPr>
          <w:rFonts w:cstheme="minorHAnsi"/>
          <w:sz w:val="20"/>
          <w:szCs w:val="20"/>
        </w:rPr>
        <w:t xml:space="preserve"> </w:t>
      </w:r>
      <w:r w:rsidRPr="002552EA">
        <w:rPr>
          <w:rFonts w:ascii="Times New Roman" w:hAnsi="Times New Roman" w:cs="Times New Roman"/>
          <w:sz w:val="20"/>
          <w:szCs w:val="20"/>
        </w:rPr>
        <w:t xml:space="preserve">Lois R. Lupica, </w:t>
      </w:r>
      <w:r w:rsidRPr="002552EA">
        <w:rPr>
          <w:rFonts w:ascii="Times New Roman" w:hAnsi="Times New Roman" w:cs="Times New Roman"/>
          <w:i/>
          <w:sz w:val="20"/>
          <w:szCs w:val="20"/>
        </w:rPr>
        <w:t>The Consumer Bankruptcy Fee Study: Final Report</w:t>
      </w:r>
      <w:r w:rsidRPr="002552EA">
        <w:rPr>
          <w:rFonts w:ascii="Times New Roman" w:hAnsi="Times New Roman" w:cs="Times New Roman"/>
          <w:sz w:val="20"/>
          <w:szCs w:val="20"/>
        </w:rPr>
        <w:t xml:space="preserve">, 20 </w:t>
      </w:r>
      <w:r w:rsidRPr="002552EA">
        <w:rPr>
          <w:rFonts w:ascii="Times New Roman" w:hAnsi="Times New Roman" w:cs="Times New Roman"/>
          <w:smallCaps/>
          <w:sz w:val="20"/>
          <w:szCs w:val="20"/>
        </w:rPr>
        <w:t>Am. Bankr. Inst. L. Rev.</w:t>
      </w:r>
      <w:r w:rsidRPr="002552EA">
        <w:rPr>
          <w:rFonts w:ascii="Times New Roman" w:hAnsi="Times New Roman" w:cs="Times New Roman"/>
          <w:sz w:val="20"/>
          <w:szCs w:val="20"/>
        </w:rPr>
        <w:t xml:space="preserve"> 17 (2012).</w:t>
      </w:r>
    </w:p>
  </w:footnote>
  <w:footnote w:id="26">
    <w:p w14:paraId="1EBB5250" w14:textId="6839A476" w:rsidR="00560FBA" w:rsidRPr="002552EA" w:rsidRDefault="00560FBA" w:rsidP="00106D9A">
      <w:pPr>
        <w:widowControl w:val="0"/>
        <w:autoSpaceDE w:val="0"/>
        <w:autoSpaceDN w:val="0"/>
        <w:adjustRightInd w:val="0"/>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w:t>
      </w:r>
      <w:r w:rsidRPr="002552EA">
        <w:rPr>
          <w:rFonts w:cstheme="minorHAnsi"/>
          <w:sz w:val="20"/>
          <w:szCs w:val="20"/>
        </w:rPr>
        <w:t xml:space="preserve">Norberg &amp; Velkey,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_Ref275782955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w:t>
      </w:r>
      <w:r w:rsidRPr="002552EA">
        <w:rPr>
          <w:rFonts w:cstheme="minorHAnsi"/>
          <w:sz w:val="20"/>
          <w:szCs w:val="20"/>
        </w:rPr>
        <w:fldChar w:fldCharType="end"/>
      </w:r>
      <w:r w:rsidRPr="002552EA">
        <w:rPr>
          <w:rFonts w:cstheme="minorHAnsi"/>
          <w:sz w:val="20"/>
          <w:szCs w:val="20"/>
        </w:rPr>
        <w:t xml:space="preserve">; </w:t>
      </w:r>
      <w:r w:rsidRPr="002552EA">
        <w:rPr>
          <w:rFonts w:cstheme="minorHAnsi"/>
          <w:i/>
          <w:sz w:val="20"/>
          <w:szCs w:val="20"/>
        </w:rPr>
        <w:t>Success of Chapter 11</w:t>
      </w:r>
      <w:r w:rsidRPr="002552EA">
        <w:rPr>
          <w:rFonts w:cstheme="minorHAnsi"/>
          <w:sz w:val="20"/>
          <w:szCs w:val="20"/>
        </w:rPr>
        <w:t xml:space="preserve">,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_Ref276229185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w:t>
      </w:r>
      <w:r w:rsidRPr="002552EA">
        <w:rPr>
          <w:rFonts w:cstheme="minorHAnsi"/>
          <w:sz w:val="20"/>
          <w:szCs w:val="20"/>
        </w:rPr>
        <w:fldChar w:fldCharType="end"/>
      </w:r>
      <w:r w:rsidRPr="002552EA">
        <w:rPr>
          <w:rFonts w:cstheme="minorHAnsi"/>
          <w:sz w:val="20"/>
          <w:szCs w:val="20"/>
        </w:rPr>
        <w:t xml:space="preserve">. </w:t>
      </w:r>
    </w:p>
  </w:footnote>
  <w:footnote w:id="27">
    <w:p w14:paraId="5ADAA699" w14:textId="3170260F" w:rsidR="00560FBA" w:rsidRPr="002552EA" w:rsidRDefault="00560FBA" w:rsidP="009629EF">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1141(d)(5)(A) (2012).</w:t>
      </w:r>
    </w:p>
  </w:footnote>
  <w:footnote w:id="28">
    <w:p w14:paraId="11361127" w14:textId="27072715" w:rsidR="00560FBA" w:rsidRPr="002552EA" w:rsidRDefault="00560FBA" w:rsidP="009629EF">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Many of the plans that our random sample debtors proposed are scheduled to last 30 years.  </w:t>
      </w:r>
      <w:r w:rsidRPr="002552EA">
        <w:rPr>
          <w:rFonts w:cstheme="minorHAnsi"/>
          <w:i/>
          <w:sz w:val="20"/>
          <w:szCs w:val="20"/>
        </w:rPr>
        <w:t xml:space="preserve">See infra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_Ref332100934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250</w:t>
      </w:r>
      <w:r w:rsidRPr="002552EA">
        <w:rPr>
          <w:rFonts w:cstheme="minorHAnsi"/>
          <w:sz w:val="20"/>
          <w:szCs w:val="20"/>
        </w:rPr>
        <w:fldChar w:fldCharType="end"/>
      </w:r>
      <w:r w:rsidRPr="002552EA">
        <w:rPr>
          <w:rFonts w:cstheme="minorHAnsi"/>
          <w:sz w:val="20"/>
          <w:szCs w:val="20"/>
        </w:rPr>
        <w:t xml:space="preserve"> and accompanying text. </w:t>
      </w:r>
    </w:p>
  </w:footnote>
  <w:footnote w:id="29">
    <w:p w14:paraId="623CC947" w14:textId="6842C54E" w:rsidR="00560FBA" w:rsidRPr="002552EA" w:rsidRDefault="00560FBA" w:rsidP="009629EF">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w:t>
      </w:r>
      <w:r w:rsidRPr="002552EA">
        <w:rPr>
          <w:rFonts w:cstheme="minorHAnsi"/>
          <w:smallCaps/>
          <w:sz w:val="20"/>
          <w:szCs w:val="20"/>
        </w:rPr>
        <w:t>As We Forgive</w:t>
      </w:r>
      <w:r w:rsidRPr="002552EA">
        <w:rPr>
          <w:rFonts w:cstheme="minorHAnsi"/>
          <w:sz w:val="20"/>
          <w:szCs w:val="20"/>
        </w:rPr>
        <w:t xml:space="preserve">, </w:t>
      </w:r>
      <w:r w:rsidRPr="002552EA">
        <w:rPr>
          <w:rFonts w:cstheme="minorHAnsi"/>
          <w:i/>
          <w:iCs/>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_Ref275782955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w:t>
      </w:r>
      <w:r w:rsidRPr="002552EA">
        <w:rPr>
          <w:rFonts w:cstheme="minorHAnsi"/>
          <w:sz w:val="20"/>
          <w:szCs w:val="20"/>
        </w:rPr>
        <w:fldChar w:fldCharType="end"/>
      </w:r>
      <w:r w:rsidRPr="002552EA">
        <w:rPr>
          <w:rFonts w:cstheme="minorHAnsi"/>
          <w:b/>
          <w:bCs/>
          <w:sz w:val="20"/>
          <w:szCs w:val="20"/>
        </w:rPr>
        <w:t xml:space="preserve">, </w:t>
      </w:r>
      <w:r w:rsidRPr="002552EA">
        <w:rPr>
          <w:rFonts w:cstheme="minorHAnsi"/>
          <w:sz w:val="20"/>
          <w:szCs w:val="20"/>
        </w:rPr>
        <w:t xml:space="preserve">at </w:t>
      </w:r>
      <w:r w:rsidRPr="002552EA">
        <w:rPr>
          <w:rFonts w:cstheme="minorHAnsi"/>
          <w:bCs/>
          <w:sz w:val="20"/>
          <w:szCs w:val="20"/>
        </w:rPr>
        <w:t>339</w:t>
      </w:r>
      <w:r w:rsidRPr="002552EA">
        <w:rPr>
          <w:rFonts w:cstheme="minorHAnsi"/>
          <w:b/>
          <w:bCs/>
          <w:sz w:val="20"/>
          <w:szCs w:val="20"/>
        </w:rPr>
        <w:t xml:space="preserve">; </w:t>
      </w:r>
      <w:r w:rsidRPr="002552EA">
        <w:rPr>
          <w:rFonts w:cstheme="minorHAnsi"/>
          <w:bCs/>
          <w:sz w:val="20"/>
          <w:szCs w:val="20"/>
        </w:rPr>
        <w:t xml:space="preserve">Michael Bork &amp; Susan D. Tuck, </w:t>
      </w:r>
      <w:r w:rsidRPr="002552EA">
        <w:rPr>
          <w:rFonts w:cstheme="minorHAnsi"/>
          <w:bCs/>
          <w:i/>
          <w:iCs/>
          <w:sz w:val="20"/>
          <w:szCs w:val="20"/>
        </w:rPr>
        <w:t xml:space="preserve">Bankruptcy Statistical Trends: Chapter 13 Dispositions4 </w:t>
      </w:r>
      <w:r w:rsidRPr="002552EA">
        <w:rPr>
          <w:rFonts w:cstheme="minorHAnsi"/>
          <w:bCs/>
          <w:sz w:val="20"/>
          <w:szCs w:val="20"/>
        </w:rPr>
        <w:t xml:space="preserve">graph 1 (Admin. Office of the U.S. Courts, Working Paper No. 2, 1994); Gordon Bermant &amp; Ed Flynn, </w:t>
      </w:r>
      <w:r w:rsidRPr="002552EA">
        <w:rPr>
          <w:rFonts w:cstheme="minorHAnsi"/>
          <w:bCs/>
          <w:i/>
          <w:sz w:val="20"/>
          <w:szCs w:val="20"/>
        </w:rPr>
        <w:t>M</w:t>
      </w:r>
      <w:r w:rsidRPr="002552EA">
        <w:rPr>
          <w:rFonts w:cstheme="minorHAnsi"/>
          <w:bCs/>
          <w:i/>
          <w:iCs/>
          <w:sz w:val="20"/>
          <w:szCs w:val="20"/>
        </w:rPr>
        <w:t xml:space="preserve">easuring Projected Performance in Chapter13: Comparisons Across the States, </w:t>
      </w:r>
      <w:r w:rsidRPr="002552EA">
        <w:rPr>
          <w:rFonts w:cstheme="minorHAnsi"/>
          <w:bCs/>
          <w:smallCaps/>
          <w:sz w:val="20"/>
          <w:szCs w:val="20"/>
        </w:rPr>
        <w:t>Am. Bankr. Inst. J.</w:t>
      </w:r>
      <w:r w:rsidRPr="002552EA">
        <w:rPr>
          <w:rFonts w:cstheme="minorHAnsi"/>
          <w:bCs/>
          <w:sz w:val="20"/>
          <w:szCs w:val="20"/>
        </w:rPr>
        <w:t xml:space="preserve">, July-Aug. 2000, at 22, 22; Henry E. Hildebrand III, </w:t>
      </w:r>
      <w:r w:rsidRPr="002552EA">
        <w:rPr>
          <w:rFonts w:cstheme="minorHAnsi"/>
          <w:bCs/>
          <w:i/>
          <w:iCs/>
          <w:sz w:val="20"/>
          <w:szCs w:val="20"/>
        </w:rPr>
        <w:t xml:space="preserve">Administering Chapter13-At What Price?, </w:t>
      </w:r>
      <w:r w:rsidRPr="002552EA">
        <w:rPr>
          <w:rFonts w:cstheme="minorHAnsi"/>
          <w:bCs/>
          <w:smallCaps/>
          <w:sz w:val="20"/>
          <w:szCs w:val="20"/>
        </w:rPr>
        <w:t>Am. Bankr. Inst. J.</w:t>
      </w:r>
      <w:r w:rsidRPr="002552EA">
        <w:rPr>
          <w:rFonts w:cstheme="minorHAnsi"/>
          <w:bCs/>
          <w:sz w:val="20"/>
          <w:szCs w:val="20"/>
        </w:rPr>
        <w:t xml:space="preserve">, July-Aug. 1994, at 16; Norberg &amp; Velkey, </w:t>
      </w:r>
      <w:r w:rsidRPr="002552EA">
        <w:rPr>
          <w:rFonts w:cstheme="minorHAnsi"/>
          <w:bCs/>
          <w:i/>
          <w:iCs/>
          <w:sz w:val="20"/>
          <w:szCs w:val="20"/>
        </w:rPr>
        <w:t xml:space="preserve">supra </w:t>
      </w:r>
      <w:r w:rsidRPr="002552EA">
        <w:rPr>
          <w:rFonts w:cstheme="minorHAnsi"/>
          <w:bCs/>
          <w:iCs/>
          <w:sz w:val="20"/>
          <w:szCs w:val="20"/>
        </w:rPr>
        <w:t xml:space="preserve">note </w:t>
      </w:r>
      <w:r w:rsidRPr="002552EA">
        <w:rPr>
          <w:rFonts w:cstheme="minorHAnsi"/>
          <w:bCs/>
          <w:iCs/>
          <w:sz w:val="20"/>
          <w:szCs w:val="20"/>
        </w:rPr>
        <w:fldChar w:fldCharType="begin"/>
      </w:r>
      <w:r w:rsidRPr="002552EA">
        <w:rPr>
          <w:rFonts w:cstheme="minorHAnsi"/>
          <w:bCs/>
          <w:iCs/>
          <w:sz w:val="20"/>
          <w:szCs w:val="20"/>
        </w:rPr>
        <w:instrText xml:space="preserve"> NOTEREF _Ref275782955 \h  \* MERGEFORMAT </w:instrText>
      </w:r>
      <w:r w:rsidRPr="002552EA">
        <w:rPr>
          <w:rFonts w:cstheme="minorHAnsi"/>
          <w:bCs/>
          <w:iCs/>
          <w:sz w:val="20"/>
          <w:szCs w:val="20"/>
        </w:rPr>
      </w:r>
      <w:r w:rsidRPr="002552EA">
        <w:rPr>
          <w:rFonts w:cstheme="minorHAnsi"/>
          <w:bCs/>
          <w:iCs/>
          <w:sz w:val="20"/>
          <w:szCs w:val="20"/>
        </w:rPr>
        <w:fldChar w:fldCharType="separate"/>
      </w:r>
      <w:r>
        <w:rPr>
          <w:rFonts w:cstheme="minorHAnsi"/>
          <w:bCs/>
          <w:iCs/>
          <w:sz w:val="20"/>
          <w:szCs w:val="20"/>
        </w:rPr>
        <w:t>2</w:t>
      </w:r>
      <w:r w:rsidRPr="002552EA">
        <w:rPr>
          <w:rFonts w:cstheme="minorHAnsi"/>
          <w:bCs/>
          <w:iCs/>
          <w:sz w:val="20"/>
          <w:szCs w:val="20"/>
        </w:rPr>
        <w:fldChar w:fldCharType="end"/>
      </w:r>
      <w:r w:rsidRPr="002552EA">
        <w:rPr>
          <w:rFonts w:cstheme="minorHAnsi"/>
          <w:bCs/>
          <w:iCs/>
          <w:sz w:val="20"/>
          <w:szCs w:val="20"/>
        </w:rPr>
        <w:t>, at 505</w:t>
      </w:r>
      <w:r w:rsidRPr="002552EA">
        <w:rPr>
          <w:rFonts w:cstheme="minorHAnsi"/>
          <w:bCs/>
          <w:sz w:val="20"/>
          <w:szCs w:val="20"/>
        </w:rPr>
        <w:t xml:space="preserve">; </w:t>
      </w:r>
      <w:r w:rsidRPr="002552EA">
        <w:rPr>
          <w:rFonts w:ascii="Times New Roman" w:hAnsi="Times New Roman" w:cs="Times New Roman"/>
          <w:sz w:val="20"/>
          <w:szCs w:val="20"/>
        </w:rPr>
        <w:t xml:space="preserve">Hulya Eraslan, </w:t>
      </w:r>
      <w:r w:rsidRPr="002552EA">
        <w:rPr>
          <w:rFonts w:ascii="Times New Roman" w:hAnsi="Times New Roman" w:cs="Times New Roman"/>
          <w:i/>
          <w:sz w:val="20"/>
          <w:szCs w:val="20"/>
        </w:rPr>
        <w:t>et al.</w:t>
      </w:r>
      <w:r w:rsidRPr="002552EA">
        <w:rPr>
          <w:rFonts w:ascii="Times New Roman" w:hAnsi="Times New Roman" w:cs="Times New Roman"/>
          <w:sz w:val="20"/>
          <w:szCs w:val="20"/>
        </w:rPr>
        <w:t>, The Anatomy of U.S. Personal Bankruptcy Under Chapter 13, Working Paper 07-31 (September 2007)</w:t>
      </w:r>
      <w:r w:rsidRPr="002552EA">
        <w:rPr>
          <w:rFonts w:cstheme="minorHAnsi"/>
          <w:bCs/>
          <w:sz w:val="20"/>
          <w:szCs w:val="20"/>
        </w:rPr>
        <w:t>.</w:t>
      </w:r>
      <w:r w:rsidRPr="002552EA">
        <w:rPr>
          <w:rFonts w:cstheme="minorHAnsi"/>
          <w:b/>
          <w:bCs/>
          <w:sz w:val="20"/>
          <w:szCs w:val="20"/>
        </w:rPr>
        <w:t xml:space="preserve"> </w:t>
      </w:r>
    </w:p>
  </w:footnote>
  <w:footnote w:id="30">
    <w:p w14:paraId="35518CA3" w14:textId="387858A1" w:rsidR="00560FBA" w:rsidRPr="002552EA" w:rsidRDefault="00560FBA" w:rsidP="009629EF">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infra </w:t>
      </w:r>
      <w:r w:rsidRPr="002552EA">
        <w:rPr>
          <w:rFonts w:cstheme="minorHAnsi"/>
          <w:sz w:val="20"/>
          <w:szCs w:val="20"/>
        </w:rPr>
        <w:t xml:space="preserve">Table 46, and accompanying text. </w:t>
      </w:r>
    </w:p>
  </w:footnote>
  <w:footnote w:id="31">
    <w:p w14:paraId="4BAEF6F9" w14:textId="49C36752" w:rsidR="00560FBA" w:rsidRPr="002552EA" w:rsidRDefault="00560FBA" w:rsidP="009629EF">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 xml:space="preserve">Ed Flynn, </w:t>
      </w:r>
      <w:r w:rsidRPr="002552EA">
        <w:rPr>
          <w:rFonts w:cstheme="minorHAnsi"/>
          <w:i/>
          <w:sz w:val="20"/>
          <w:szCs w:val="20"/>
        </w:rPr>
        <w:t xml:space="preserve">Chapter 13 Case Outcomes by State, </w:t>
      </w:r>
      <w:r w:rsidRPr="002552EA">
        <w:rPr>
          <w:rFonts w:cstheme="minorHAnsi"/>
          <w:sz w:val="20"/>
          <w:szCs w:val="20"/>
        </w:rPr>
        <w:t>ABI Journal, Aug. 2014, at 41.</w:t>
      </w:r>
    </w:p>
  </w:footnote>
  <w:footnote w:id="32">
    <w:p w14:paraId="28EADF0D" w14:textId="6B3F9A9E" w:rsidR="00560FBA" w:rsidRPr="005D64D7" w:rsidRDefault="00560FBA" w:rsidP="009629EF">
      <w:pPr>
        <w:pStyle w:val="FootnoteText"/>
        <w:rPr>
          <w:sz w:val="20"/>
          <w:szCs w:val="20"/>
        </w:rPr>
      </w:pPr>
      <w:r w:rsidRPr="005D64D7">
        <w:rPr>
          <w:rStyle w:val="FootnoteReference"/>
          <w:sz w:val="20"/>
          <w:szCs w:val="20"/>
        </w:rPr>
        <w:footnoteRef/>
      </w:r>
      <w:r w:rsidRPr="005D64D7">
        <w:rPr>
          <w:sz w:val="20"/>
          <w:szCs w:val="20"/>
        </w:rPr>
        <w:t xml:space="preserve"> See </w:t>
      </w:r>
      <w:r w:rsidRPr="005D64D7">
        <w:rPr>
          <w:i/>
          <w:sz w:val="20"/>
          <w:szCs w:val="20"/>
        </w:rPr>
        <w:t>infra</w:t>
      </w:r>
      <w:r w:rsidRPr="005D64D7">
        <w:rPr>
          <w:sz w:val="20"/>
          <w:szCs w:val="20"/>
        </w:rPr>
        <w:t xml:space="preserve"> Tables 42, 43, 45-48 and 50 and accompanying text.</w:t>
      </w:r>
    </w:p>
  </w:footnote>
  <w:footnote w:id="33">
    <w:p w14:paraId="425A1532" w14:textId="74E9D52D" w:rsidR="00560FBA" w:rsidRPr="005D64D7" w:rsidRDefault="00560FBA" w:rsidP="00C46892">
      <w:pPr>
        <w:pStyle w:val="FootnoteText"/>
        <w:rPr>
          <w:sz w:val="20"/>
          <w:szCs w:val="20"/>
        </w:rPr>
      </w:pPr>
      <w:r w:rsidRPr="005D64D7">
        <w:rPr>
          <w:rStyle w:val="FootnoteReference"/>
          <w:sz w:val="20"/>
          <w:szCs w:val="20"/>
        </w:rPr>
        <w:footnoteRef/>
      </w:r>
      <w:r w:rsidRPr="005D64D7">
        <w:rPr>
          <w:sz w:val="20"/>
          <w:szCs w:val="20"/>
        </w:rPr>
        <w:t xml:space="preserve"> See </w:t>
      </w:r>
      <w:r w:rsidRPr="005D64D7">
        <w:rPr>
          <w:i/>
          <w:sz w:val="20"/>
          <w:szCs w:val="20"/>
        </w:rPr>
        <w:t>infra</w:t>
      </w:r>
      <w:r w:rsidRPr="005D64D7">
        <w:rPr>
          <w:sz w:val="20"/>
          <w:szCs w:val="20"/>
        </w:rPr>
        <w:t xml:space="preserve"> Tables 44 and 49 and accompanying text.</w:t>
      </w:r>
    </w:p>
  </w:footnote>
  <w:footnote w:id="34">
    <w:p w14:paraId="11EC2FF1" w14:textId="24317106"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Bankruptcy Decision Making,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_Ref276229185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w:t>
      </w:r>
      <w:r w:rsidRPr="002552EA">
        <w:rPr>
          <w:rFonts w:cstheme="minorHAnsi"/>
          <w:sz w:val="20"/>
          <w:szCs w:val="20"/>
        </w:rPr>
        <w:fldChar w:fldCharType="end"/>
      </w:r>
      <w:r w:rsidRPr="002552EA">
        <w:rPr>
          <w:rFonts w:cstheme="minorHAnsi"/>
          <w:sz w:val="20"/>
          <w:szCs w:val="20"/>
        </w:rPr>
        <w:t xml:space="preserve">; </w:t>
      </w:r>
      <w:r w:rsidRPr="002552EA">
        <w:rPr>
          <w:rFonts w:cstheme="minorHAnsi"/>
          <w:i/>
          <w:sz w:val="20"/>
          <w:szCs w:val="20"/>
        </w:rPr>
        <w:t xml:space="preserve">Small Business Workouts,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_Ref276229185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w:t>
      </w:r>
      <w:r w:rsidRPr="002552EA">
        <w:rPr>
          <w:rFonts w:cstheme="minorHAnsi"/>
          <w:sz w:val="20"/>
          <w:szCs w:val="20"/>
        </w:rPr>
        <w:fldChar w:fldCharType="end"/>
      </w:r>
      <w:r w:rsidRPr="002552EA">
        <w:rPr>
          <w:rFonts w:cstheme="minorHAnsi"/>
          <w:sz w:val="20"/>
          <w:szCs w:val="20"/>
        </w:rPr>
        <w:t xml:space="preserve">; </w:t>
      </w:r>
      <w:r w:rsidRPr="002552EA">
        <w:rPr>
          <w:rFonts w:cstheme="minorHAnsi"/>
          <w:i/>
          <w:sz w:val="20"/>
          <w:szCs w:val="20"/>
        </w:rPr>
        <w:t xml:space="preserve">Success of Chapter 11,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_Ref276229185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w:t>
      </w:r>
      <w:r w:rsidRPr="002552EA">
        <w:rPr>
          <w:rFonts w:cstheme="minorHAnsi"/>
          <w:sz w:val="20"/>
          <w:szCs w:val="20"/>
        </w:rPr>
        <w:fldChar w:fldCharType="end"/>
      </w:r>
      <w:r w:rsidRPr="002552EA">
        <w:rPr>
          <w:rFonts w:cstheme="minorHAnsi"/>
          <w:sz w:val="20"/>
          <w:szCs w:val="20"/>
        </w:rPr>
        <w:t>.</w:t>
      </w:r>
    </w:p>
  </w:footnote>
  <w:footnote w:id="35">
    <w:p w14:paraId="0C03120E" w14:textId="38084ABC"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Bankruptcy Decision Making,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_Ref276229185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w:t>
      </w:r>
      <w:r w:rsidRPr="002552EA">
        <w:rPr>
          <w:rFonts w:cstheme="minorHAnsi"/>
          <w:sz w:val="20"/>
          <w:szCs w:val="20"/>
        </w:rPr>
        <w:fldChar w:fldCharType="end"/>
      </w:r>
      <w:r w:rsidRPr="002552EA">
        <w:rPr>
          <w:rFonts w:cstheme="minorHAnsi"/>
          <w:sz w:val="20"/>
          <w:szCs w:val="20"/>
        </w:rPr>
        <w:t xml:space="preserve">; </w:t>
      </w:r>
      <w:r w:rsidRPr="002552EA">
        <w:rPr>
          <w:rFonts w:cstheme="minorHAnsi"/>
          <w:i/>
          <w:sz w:val="20"/>
          <w:szCs w:val="20"/>
        </w:rPr>
        <w:t xml:space="preserve">Success of Chapter 11,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_Ref276229185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w:t>
      </w:r>
      <w:r w:rsidRPr="002552EA">
        <w:rPr>
          <w:rFonts w:cstheme="minorHAnsi"/>
          <w:sz w:val="20"/>
          <w:szCs w:val="20"/>
        </w:rPr>
        <w:fldChar w:fldCharType="end"/>
      </w:r>
      <w:r w:rsidRPr="002552EA">
        <w:rPr>
          <w:rFonts w:cstheme="minorHAnsi"/>
          <w:sz w:val="20"/>
          <w:szCs w:val="20"/>
        </w:rPr>
        <w:t xml:space="preserve">. </w:t>
      </w:r>
    </w:p>
  </w:footnote>
  <w:footnote w:id="36">
    <w:p w14:paraId="41A6445E" w14:textId="1003060F"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infra </w:t>
      </w:r>
      <w:r w:rsidRPr="002552EA">
        <w:rPr>
          <w:rFonts w:cstheme="minorHAnsi"/>
          <w:sz w:val="20"/>
          <w:szCs w:val="20"/>
        </w:rPr>
        <w:t xml:space="preserve">Table 52, and notes </w:t>
      </w:r>
      <w:r w:rsidRPr="002552EA">
        <w:rPr>
          <w:rFonts w:cstheme="minorHAnsi"/>
          <w:sz w:val="20"/>
          <w:szCs w:val="20"/>
        </w:rPr>
        <w:fldChar w:fldCharType="begin"/>
      </w:r>
      <w:r w:rsidRPr="002552EA">
        <w:rPr>
          <w:rFonts w:cstheme="minorHAnsi"/>
          <w:sz w:val="20"/>
          <w:szCs w:val="20"/>
        </w:rPr>
        <w:instrText xml:space="preserve"> NOTEREF _Ref333733571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308</w:t>
      </w:r>
      <w:r w:rsidRPr="002552EA">
        <w:rPr>
          <w:rFonts w:cstheme="minorHAnsi"/>
          <w:sz w:val="20"/>
          <w:szCs w:val="20"/>
        </w:rPr>
        <w:fldChar w:fldCharType="end"/>
      </w:r>
      <w:r w:rsidRPr="002552EA">
        <w:rPr>
          <w:rFonts w:cstheme="minorHAnsi"/>
          <w:sz w:val="20"/>
          <w:szCs w:val="20"/>
        </w:rPr>
        <w:t>-</w:t>
      </w:r>
      <w:r w:rsidRPr="002552EA">
        <w:rPr>
          <w:rFonts w:cstheme="minorHAnsi"/>
          <w:sz w:val="20"/>
          <w:szCs w:val="20"/>
        </w:rPr>
        <w:fldChar w:fldCharType="begin"/>
      </w:r>
      <w:r w:rsidRPr="002552EA">
        <w:rPr>
          <w:rFonts w:cstheme="minorHAnsi"/>
          <w:sz w:val="20"/>
          <w:szCs w:val="20"/>
        </w:rPr>
        <w:instrText xml:space="preserve"> NOTEREF _Ref333733573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310</w:t>
      </w:r>
      <w:r w:rsidRPr="002552EA">
        <w:rPr>
          <w:rFonts w:cstheme="minorHAnsi"/>
          <w:sz w:val="20"/>
          <w:szCs w:val="20"/>
        </w:rPr>
        <w:fldChar w:fldCharType="end"/>
      </w:r>
      <w:r w:rsidRPr="002552EA">
        <w:rPr>
          <w:rFonts w:cstheme="minorHAnsi"/>
          <w:sz w:val="20"/>
          <w:szCs w:val="20"/>
        </w:rPr>
        <w:t xml:space="preserve"> and accompanying text. </w:t>
      </w:r>
    </w:p>
  </w:footnote>
  <w:footnote w:id="37">
    <w:p w14:paraId="4DDBC560" w14:textId="569E68F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PACER provides a link to present reports in spreadsheet form.  We began by downloading all bankruptcy cases filed in each jurisdiction of our study during 2010 and 2013.  Because this data set was so massive, we dropped cases in which neither the current nor previous chapter was chapter 11 or 13.</w:t>
      </w:r>
    </w:p>
  </w:footnote>
  <w:footnote w:id="38">
    <w:p w14:paraId="032FD49D" w14:textId="1B7A248C"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We did not receive waivers from the following jurisdictions: (1) Southern District of Alabama; (2) Connecticut (waiver for only 2010); (3) District of Columbia; (4) Guam; (5) Hawaii; (6) Southern District of Illinois; (7) Northern District of Indiana; (8) Maine; (9) Eastern District or Missouri; (10) Western District of New York; (11) Northern Mariana Islands; (12) Western District of Oklahoma; (13) Southern District of Texas; (14) the Virgin Islands; (15) Southern District of West Virginia; and (16) Eastern District of Wisconsin. </w:t>
      </w:r>
    </w:p>
  </w:footnote>
  <w:footnote w:id="39">
    <w:p w14:paraId="5CFC2B41" w14:textId="5DAE0C33"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Pr>
          <w:rFonts w:cstheme="minorHAnsi"/>
          <w:sz w:val="20"/>
          <w:szCs w:val="20"/>
        </w:rPr>
        <w:t xml:space="preserve">Table F-2, December 31, 2010, </w:t>
      </w:r>
      <w:r>
        <w:rPr>
          <w:rFonts w:cstheme="minorHAnsi"/>
          <w:i/>
          <w:sz w:val="20"/>
          <w:szCs w:val="20"/>
        </w:rPr>
        <w:t xml:space="preserve">available at </w:t>
      </w:r>
      <w:hyperlink r:id="rId1" w:history="1">
        <w:r w:rsidRPr="005D64D7">
          <w:rPr>
            <w:rStyle w:val="Hyperlink"/>
            <w:rFonts w:cstheme="minorHAnsi"/>
            <w:sz w:val="20"/>
            <w:szCs w:val="20"/>
          </w:rPr>
          <w:t>http://www.uscourts.gov/statistics/table/f-2/statistical-tables-federal-judiciary/2010/12/31</w:t>
        </w:r>
      </w:hyperlink>
      <w:r>
        <w:rPr>
          <w:rFonts w:cstheme="minorHAnsi"/>
          <w:i/>
          <w:sz w:val="20"/>
          <w:szCs w:val="20"/>
        </w:rPr>
        <w:t xml:space="preserve">; </w:t>
      </w:r>
      <w:r>
        <w:rPr>
          <w:rFonts w:cstheme="minorHAnsi"/>
          <w:sz w:val="20"/>
          <w:szCs w:val="20"/>
        </w:rPr>
        <w:t xml:space="preserve">Table F-2, December 31, 2013, </w:t>
      </w:r>
      <w:r w:rsidRPr="005D64D7">
        <w:rPr>
          <w:rFonts w:cstheme="minorHAnsi"/>
          <w:sz w:val="20"/>
          <w:szCs w:val="20"/>
        </w:rPr>
        <w:t>available at http://www.uscourts.gov/statistics/table/f-2/bankruptcy-filings/2013/12/31</w:t>
      </w:r>
      <w:r w:rsidRPr="002552EA">
        <w:rPr>
          <w:rFonts w:cstheme="minorHAnsi"/>
          <w:sz w:val="20"/>
          <w:szCs w:val="20"/>
        </w:rPr>
        <w:t>.</w:t>
      </w:r>
    </w:p>
  </w:footnote>
  <w:footnote w:id="40">
    <w:p w14:paraId="7C621AB0" w14:textId="38C4496D" w:rsidR="00560FBA" w:rsidRPr="002552EA" w:rsidRDefault="00560FBA" w:rsidP="00106D9A">
      <w:pPr>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Harvard’s Bankruptcy Data Project provided an independent estimate of the number of individual chapter 11s, and these jurisdictions collectively accounted for less than 5% of the total in 2010.  The Harvard Bankruptcy Data Project never had data available for 2013; the 2010 data source is now archived: https://web.archive.org/web/20150905052318/http://bdp.law.harvard.edu/.  </w:t>
      </w:r>
    </w:p>
  </w:footnote>
  <w:footnote w:id="41">
    <w:p w14:paraId="51143A80" w14:textId="19F7553C"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1322(d) (2012).</w:t>
      </w:r>
    </w:p>
  </w:footnote>
  <w:footnote w:id="42">
    <w:p w14:paraId="590FA141" w14:textId="003F31BC"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See infra</w:t>
      </w:r>
      <w:r w:rsidRPr="002552EA">
        <w:rPr>
          <w:rFonts w:cstheme="minorHAnsi"/>
          <w:sz w:val="20"/>
          <w:szCs w:val="20"/>
        </w:rPr>
        <w:t xml:space="preserve"> note </w:t>
      </w:r>
      <w:r w:rsidRPr="002552EA">
        <w:rPr>
          <w:rFonts w:cstheme="minorHAnsi"/>
          <w:sz w:val="20"/>
          <w:szCs w:val="20"/>
        </w:rPr>
        <w:fldChar w:fldCharType="begin"/>
      </w:r>
      <w:r w:rsidRPr="002552EA">
        <w:rPr>
          <w:rFonts w:cstheme="minorHAnsi"/>
          <w:sz w:val="20"/>
          <w:szCs w:val="20"/>
        </w:rPr>
        <w:instrText xml:space="preserve"> NOTEREF _Ref332100934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250</w:t>
      </w:r>
      <w:r w:rsidRPr="002552EA">
        <w:rPr>
          <w:rFonts w:cstheme="minorHAnsi"/>
          <w:sz w:val="20"/>
          <w:szCs w:val="20"/>
        </w:rPr>
        <w:fldChar w:fldCharType="end"/>
      </w:r>
      <w:r w:rsidRPr="002552EA">
        <w:rPr>
          <w:rFonts w:cstheme="minorHAnsi"/>
          <w:sz w:val="20"/>
          <w:szCs w:val="20"/>
        </w:rPr>
        <w:t>, and accompanying text.</w:t>
      </w:r>
    </w:p>
  </w:footnote>
  <w:footnote w:id="43">
    <w:p w14:paraId="45AF8444" w14:textId="66A4EA1E"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Bankruptcy Abuse Prevention and Consumer Protection Act of 2005 (BAPCPA), Pub. L. No. 109-8, 119 Stat. 23 (2005).</w:t>
      </w:r>
    </w:p>
  </w:footnote>
  <w:footnote w:id="44">
    <w:p w14:paraId="52C2FDE9" w14:textId="5792C01D"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This approach may miss some cases that were once in chapter 11, if they were later converted to two other chapters. For example, we would miss a case that was filed in chapter 11, converted to chapter 13 and then converted to chapter 7.  We suspect that such cases are extremely rare.  </w:t>
      </w:r>
    </w:p>
  </w:footnote>
  <w:footnote w:id="45">
    <w:p w14:paraId="250D1263" w14:textId="701C0E4B"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Coincidentally, Sullivan, Warren and Westbook also found that 31% of the chapter 11 cases in their 1994 sample were filed by individuals.  </w:t>
      </w:r>
      <w:r w:rsidRPr="002552EA">
        <w:rPr>
          <w:rFonts w:cstheme="minorHAnsi"/>
          <w:i/>
          <w:sz w:val="20"/>
          <w:szCs w:val="20"/>
        </w:rPr>
        <w:t xml:space="preserve">See Financial Characteristics,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_Ref333734144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4</w:t>
      </w:r>
      <w:r w:rsidRPr="002552EA">
        <w:rPr>
          <w:rFonts w:cstheme="minorHAnsi"/>
          <w:sz w:val="20"/>
          <w:szCs w:val="20"/>
        </w:rPr>
        <w:fldChar w:fldCharType="end"/>
      </w:r>
      <w:r w:rsidRPr="002552EA">
        <w:rPr>
          <w:rFonts w:cstheme="minorHAnsi"/>
          <w:sz w:val="20"/>
          <w:szCs w:val="20"/>
        </w:rPr>
        <w:t xml:space="preserve">, at 534.  Lawton found a smaller percentage in her study of individual chapter 11s in 2004 (23%) and 2007 (27%).  </w:t>
      </w:r>
      <w:r w:rsidRPr="002552EA">
        <w:rPr>
          <w:rFonts w:cstheme="minorHAnsi"/>
          <w:i/>
          <w:sz w:val="20"/>
          <w:szCs w:val="20"/>
        </w:rPr>
        <w:t xml:space="preserve">See Individual Chapter 11 Debtors,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_Ref333734144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4</w:t>
      </w:r>
      <w:r w:rsidRPr="002552EA">
        <w:rPr>
          <w:rFonts w:cstheme="minorHAnsi"/>
          <w:sz w:val="20"/>
          <w:szCs w:val="20"/>
        </w:rPr>
        <w:fldChar w:fldCharType="end"/>
      </w:r>
      <w:r w:rsidRPr="002552EA">
        <w:rPr>
          <w:rFonts w:cstheme="minorHAnsi"/>
          <w:sz w:val="20"/>
          <w:szCs w:val="20"/>
        </w:rPr>
        <w:t xml:space="preserve">, at 466, Table 1.  </w:t>
      </w:r>
    </w:p>
  </w:footnote>
  <w:footnote w:id="46">
    <w:p w14:paraId="7B5342CA" w14:textId="6D9934CC"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 Code requires that the debtor be eligible under the destination chapter. </w:t>
      </w:r>
      <w:r w:rsidRPr="002552EA">
        <w:rPr>
          <w:rFonts w:cstheme="minorHAnsi"/>
          <w:i/>
          <w:sz w:val="20"/>
          <w:szCs w:val="20"/>
        </w:rPr>
        <w:t xml:space="preserve">See </w:t>
      </w:r>
      <w:r w:rsidRPr="002552EA">
        <w:rPr>
          <w:rFonts w:cstheme="minorHAnsi"/>
          <w:sz w:val="20"/>
          <w:szCs w:val="20"/>
        </w:rPr>
        <w:t>11 U.S.C. §§ 706(d), 1112(f), 1307(g) (2012).</w:t>
      </w:r>
    </w:p>
  </w:footnote>
  <w:footnote w:id="47">
    <w:p w14:paraId="443639E4" w14:textId="37C1BB9E"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706(a) (2012). Although this right appears to be absolute, it is subject to two exceptions, one statutory and the other judicial. The statutory exception is that conversion is unavailable if the case was previously converted into chapter 7.  The judicially-created exception, applicable when bad faith is involved, derives from the Supreme Court’s decision in </w:t>
      </w:r>
      <w:r w:rsidRPr="002552EA">
        <w:rPr>
          <w:rFonts w:cstheme="minorHAnsi"/>
          <w:i/>
          <w:sz w:val="20"/>
          <w:szCs w:val="20"/>
        </w:rPr>
        <w:t>Marrama v. Citizens Bank of Massachusetts</w:t>
      </w:r>
      <w:r w:rsidRPr="002552EA">
        <w:rPr>
          <w:rFonts w:cstheme="minorHAnsi"/>
          <w:sz w:val="20"/>
          <w:szCs w:val="20"/>
        </w:rPr>
        <w:t xml:space="preserve">, 549 U.S. 365 (2007).  In </w:t>
      </w:r>
      <w:r w:rsidRPr="002552EA">
        <w:rPr>
          <w:rFonts w:cstheme="minorHAnsi"/>
          <w:i/>
          <w:sz w:val="20"/>
          <w:szCs w:val="20"/>
        </w:rPr>
        <w:t>Marrama</w:t>
      </w:r>
      <w:r w:rsidRPr="002552EA">
        <w:rPr>
          <w:rFonts w:cstheme="minorHAnsi"/>
          <w:sz w:val="20"/>
          <w:szCs w:val="20"/>
        </w:rPr>
        <w:t>, the chapter 7 debtor attempted to hide assets from the trustee. When the trustee discovered those assets, the debtor sought to prevent their loss by converting from chapter 7 to chapter 13. The Court denied conversion on the basis of the debtor’s bad faith.</w:t>
      </w:r>
    </w:p>
  </w:footnote>
  <w:footnote w:id="48">
    <w:p w14:paraId="6F57B911" w14:textId="434DAE08"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Section 1307(d) provides that before confirmation of a plan a party in interest or the United States Trustee may request and the court may convert the case. 11 U.S.C. § 1307(d) (2012). Thus, involuntary conversions are possible, but subsection (d) is subject to subsection (f). It, in turn, requires that a chapter 13 case may not be converted to any other chapter, in the absence of a request by the debtor, if the debtor is a farmer. </w:t>
      </w:r>
      <w:r w:rsidRPr="002552EA">
        <w:rPr>
          <w:rFonts w:cstheme="minorHAnsi"/>
          <w:i/>
          <w:sz w:val="20"/>
          <w:szCs w:val="20"/>
        </w:rPr>
        <w:t xml:space="preserve">Id. </w:t>
      </w:r>
      <w:r w:rsidRPr="002552EA">
        <w:rPr>
          <w:rFonts w:cstheme="minorHAnsi"/>
          <w:sz w:val="20"/>
          <w:szCs w:val="20"/>
        </w:rPr>
        <w:t>§ 1307(f).</w:t>
      </w:r>
    </w:p>
  </w:footnote>
  <w:footnote w:id="49">
    <w:p w14:paraId="1363A7D5" w14:textId="161A4393"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Section 1208(a) permits conversion from chapter 12 to chapter 7 upon the debtor’s request and subsection (d) permits conversion to chapter 7, at the request of a party in interest, upon a showing that the debtor “committed fraud in connection with the case.” 11 U.S.C. § 1208(d) (2012).</w:t>
      </w:r>
    </w:p>
  </w:footnote>
  <w:footnote w:id="50">
    <w:p w14:paraId="712A4428" w14:textId="2B2DABB2" w:rsidR="00560FBA" w:rsidRPr="002552EA" w:rsidRDefault="00560FBA" w:rsidP="00106D9A">
      <w:pPr>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ascii="Times New Roman" w:hAnsi="Times New Roman" w:cs="Times New Roman"/>
          <w:i/>
          <w:sz w:val="20"/>
          <w:szCs w:val="20"/>
        </w:rPr>
        <w:t>In re</w:t>
      </w:r>
      <w:r w:rsidRPr="002552EA">
        <w:rPr>
          <w:rFonts w:ascii="Times New Roman" w:hAnsi="Times New Roman" w:cs="Times New Roman"/>
          <w:sz w:val="20"/>
          <w:szCs w:val="20"/>
        </w:rPr>
        <w:t xml:space="preserve"> Lawless, </w:t>
      </w:r>
      <w:r w:rsidRPr="002552EA">
        <w:rPr>
          <w:rFonts w:ascii="Times New Roman" w:hAnsi="Times New Roman" w:cs="Times New Roman"/>
          <w:bCs/>
          <w:sz w:val="20"/>
          <w:szCs w:val="20"/>
        </w:rPr>
        <w:t>79 B.R. 850</w:t>
      </w:r>
      <w:r w:rsidRPr="002552EA">
        <w:rPr>
          <w:rFonts w:ascii="Times New Roman" w:hAnsi="Times New Roman" w:cs="Times New Roman"/>
          <w:sz w:val="20"/>
          <w:szCs w:val="20"/>
        </w:rPr>
        <w:t xml:space="preserve"> (W.D. Mo. 1987) (holding that whether to permit conversion of chapter 12 case to chapter 11 is within sound discretion of bankruptcy court; affirming bankruptcy judge’s denial of motion to convert when debtors failed to meet deadline for filing chapter 12 plan and did not meet statutory qualifications for chapter 12)</w:t>
      </w:r>
      <w:r w:rsidRPr="002552EA">
        <w:rPr>
          <w:rFonts w:ascii="Times New Roman" w:hAnsi="Times New Roman" w:cs="Times New Roman"/>
          <w:color w:val="333333"/>
          <w:sz w:val="20"/>
          <w:szCs w:val="20"/>
        </w:rPr>
        <w:t xml:space="preserve">; </w:t>
      </w:r>
      <w:r w:rsidRPr="002552EA">
        <w:rPr>
          <w:rFonts w:ascii="Times New Roman" w:hAnsi="Times New Roman" w:cs="Times New Roman"/>
          <w:i/>
          <w:color w:val="000000"/>
          <w:sz w:val="20"/>
          <w:szCs w:val="20"/>
        </w:rPr>
        <w:t>In re</w:t>
      </w:r>
      <w:r w:rsidRPr="002552EA">
        <w:rPr>
          <w:rFonts w:ascii="Times New Roman" w:hAnsi="Times New Roman" w:cs="Times New Roman"/>
          <w:color w:val="000000"/>
          <w:sz w:val="20"/>
          <w:szCs w:val="20"/>
        </w:rPr>
        <w:t xml:space="preserve"> Miller, </w:t>
      </w:r>
      <w:r w:rsidRPr="002552EA">
        <w:rPr>
          <w:rFonts w:ascii="Times New Roman" w:hAnsi="Times New Roman" w:cs="Times New Roman"/>
          <w:bCs/>
          <w:sz w:val="20"/>
          <w:szCs w:val="20"/>
        </w:rPr>
        <w:t>177 B.R. 551</w:t>
      </w:r>
      <w:r w:rsidRPr="002552EA">
        <w:rPr>
          <w:rFonts w:ascii="Times New Roman" w:hAnsi="Times New Roman" w:cs="Times New Roman"/>
          <w:sz w:val="20"/>
          <w:szCs w:val="20"/>
        </w:rPr>
        <w:t xml:space="preserve"> (Bankr. N.D. Ohio 1994) </w:t>
      </w:r>
      <w:r w:rsidRPr="002552EA">
        <w:rPr>
          <w:rFonts w:ascii="Times New Roman" w:hAnsi="Times New Roman" w:cs="Times New Roman"/>
          <w:color w:val="333333"/>
          <w:sz w:val="20"/>
          <w:szCs w:val="20"/>
        </w:rPr>
        <w:t>(permitting conversion because debtor filed chapter 12 in good faith, creditors were not prejudiced, and conversion was equitable; to dismiss instead and force debtor to refile would change the petition date to prejudice of pre- and post-petition creditors)</w:t>
      </w:r>
      <w:r w:rsidRPr="002552EA">
        <w:rPr>
          <w:rFonts w:ascii="Times New Roman" w:hAnsi="Times New Roman" w:cs="Times New Roman"/>
          <w:sz w:val="20"/>
          <w:szCs w:val="20"/>
        </w:rPr>
        <w:t xml:space="preserve">; </w:t>
      </w:r>
      <w:r w:rsidRPr="002552EA">
        <w:rPr>
          <w:rFonts w:ascii="Times New Roman" w:hAnsi="Times New Roman" w:cs="Times New Roman"/>
          <w:i/>
          <w:sz w:val="20"/>
          <w:szCs w:val="20"/>
        </w:rPr>
        <w:t>In re</w:t>
      </w:r>
      <w:r w:rsidRPr="002552EA">
        <w:rPr>
          <w:rFonts w:ascii="Times New Roman" w:hAnsi="Times New Roman" w:cs="Times New Roman"/>
          <w:sz w:val="20"/>
          <w:szCs w:val="20"/>
        </w:rPr>
        <w:t xml:space="preserve"> Bird, </w:t>
      </w:r>
      <w:r w:rsidRPr="002552EA">
        <w:rPr>
          <w:rFonts w:ascii="Times New Roman" w:hAnsi="Times New Roman" w:cs="Times New Roman"/>
          <w:bCs/>
          <w:sz w:val="20"/>
          <w:szCs w:val="20"/>
        </w:rPr>
        <w:t>80 B.R. 861</w:t>
      </w:r>
      <w:r w:rsidRPr="002552EA">
        <w:rPr>
          <w:rFonts w:ascii="Times New Roman" w:hAnsi="Times New Roman" w:cs="Times New Roman"/>
          <w:sz w:val="20"/>
          <w:szCs w:val="20"/>
        </w:rPr>
        <w:t xml:space="preserve"> (Bankr. W.D. Mich.1987) (holding conversion from chapter 12 to chapter 11 permissible, within sound discretion of court; permitting conversion despite debtors’ failure to follow court orders, given reasons to support good faith); </w:t>
      </w:r>
      <w:r w:rsidRPr="002552EA">
        <w:rPr>
          <w:rFonts w:ascii="Times New Roman" w:hAnsi="Times New Roman" w:cs="Times New Roman"/>
          <w:i/>
          <w:sz w:val="20"/>
          <w:szCs w:val="20"/>
        </w:rPr>
        <w:t>In re</w:t>
      </w:r>
      <w:r w:rsidRPr="002552EA">
        <w:rPr>
          <w:rFonts w:ascii="Times New Roman" w:hAnsi="Times New Roman" w:cs="Times New Roman"/>
          <w:sz w:val="20"/>
          <w:szCs w:val="20"/>
        </w:rPr>
        <w:t xml:space="preserve"> Orr, </w:t>
      </w:r>
      <w:r w:rsidRPr="002552EA">
        <w:rPr>
          <w:rFonts w:ascii="Times New Roman" w:hAnsi="Times New Roman" w:cs="Times New Roman"/>
          <w:bCs/>
          <w:sz w:val="20"/>
          <w:szCs w:val="20"/>
        </w:rPr>
        <w:t>71 B.R. 639</w:t>
      </w:r>
      <w:r w:rsidRPr="002552EA">
        <w:rPr>
          <w:rFonts w:ascii="Times New Roman" w:hAnsi="Times New Roman" w:cs="Times New Roman"/>
          <w:sz w:val="20"/>
          <w:szCs w:val="20"/>
        </w:rPr>
        <w:t xml:space="preserve"> (</w:t>
      </w:r>
      <w:r w:rsidRPr="002552EA">
        <w:rPr>
          <w:rFonts w:ascii="Times New Roman" w:hAnsi="Times New Roman" w:cs="Times New Roman"/>
          <w:color w:val="000000"/>
          <w:sz w:val="20"/>
          <w:szCs w:val="20"/>
        </w:rPr>
        <w:t xml:space="preserve">Bankr. E.D.N.C. 1987) </w:t>
      </w:r>
      <w:r w:rsidRPr="002552EA">
        <w:rPr>
          <w:rFonts w:ascii="Times New Roman" w:hAnsi="Times New Roman" w:cs="Times New Roman"/>
          <w:color w:val="333333"/>
          <w:sz w:val="20"/>
          <w:szCs w:val="20"/>
        </w:rPr>
        <w:t>(permitting conversion because debtors filed chapter 12 in good faith, unaware that they exceeded its debt limits, creditors would not be prejudiced, and conversion would not be inequitable).</w:t>
      </w:r>
    </w:p>
  </w:footnote>
  <w:footnote w:id="51">
    <w:p w14:paraId="7D85B20E" w14:textId="68CAF8B9"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1112(a) &amp; (d) (2012).</w:t>
      </w:r>
    </w:p>
  </w:footnote>
  <w:footnote w:id="52">
    <w:p w14:paraId="238D7346" w14:textId="3D77837C"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Id. </w:t>
      </w:r>
      <w:r w:rsidRPr="002552EA">
        <w:rPr>
          <w:rFonts w:cstheme="minorHAnsi"/>
          <w:sz w:val="20"/>
          <w:szCs w:val="20"/>
        </w:rPr>
        <w:t xml:space="preserve">§ 1112(a). </w:t>
      </w:r>
    </w:p>
  </w:footnote>
  <w:footnote w:id="53">
    <w:p w14:paraId="0D0CC949" w14:textId="397841C1"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Id. </w:t>
      </w:r>
      <w:r w:rsidRPr="002552EA">
        <w:rPr>
          <w:rFonts w:cstheme="minorHAnsi"/>
          <w:sz w:val="20"/>
          <w:szCs w:val="20"/>
        </w:rPr>
        <w:t xml:space="preserve"> § 1112(b)(1).</w:t>
      </w:r>
    </w:p>
  </w:footnote>
  <w:footnote w:id="54">
    <w:p w14:paraId="3E92B549" w14:textId="12FB5CB4"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Id. </w:t>
      </w:r>
      <w:r w:rsidRPr="002552EA">
        <w:rPr>
          <w:rFonts w:cstheme="minorHAnsi"/>
          <w:sz w:val="20"/>
          <w:szCs w:val="20"/>
        </w:rPr>
        <w:t xml:space="preserve"> § 1112(b)(2).</w:t>
      </w:r>
    </w:p>
  </w:footnote>
  <w:footnote w:id="55">
    <w:p w14:paraId="1D417B1A" w14:textId="2CFC0091"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Id. </w:t>
      </w:r>
      <w:r w:rsidRPr="002552EA">
        <w:rPr>
          <w:rFonts w:cstheme="minorHAnsi"/>
          <w:sz w:val="20"/>
          <w:szCs w:val="20"/>
        </w:rPr>
        <w:t xml:space="preserve"> § 1112(d).</w:t>
      </w:r>
    </w:p>
  </w:footnote>
  <w:footnote w:id="56">
    <w:p w14:paraId="741C5628" w14:textId="275E3452" w:rsidR="00560FBA" w:rsidRPr="002552EA" w:rsidRDefault="00560FBA" w:rsidP="00106D9A">
      <w:pPr>
        <w:pStyle w:val="FootnoteText"/>
        <w:tabs>
          <w:tab w:val="left" w:pos="5940"/>
        </w:tabs>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For a more complete discussion of the timing of discharge, </w:t>
      </w:r>
      <w:r w:rsidRPr="002552EA">
        <w:rPr>
          <w:rFonts w:cstheme="minorHAnsi"/>
          <w:i/>
          <w:sz w:val="20"/>
          <w:szCs w:val="20"/>
        </w:rPr>
        <w:t>see</w:t>
      </w:r>
      <w:r w:rsidRPr="002552EA">
        <w:rPr>
          <w:rFonts w:cstheme="minorHAnsi"/>
          <w:sz w:val="20"/>
          <w:szCs w:val="20"/>
        </w:rPr>
        <w:t xml:space="preserve"> </w:t>
      </w:r>
      <w:r w:rsidRPr="002552EA">
        <w:rPr>
          <w:rFonts w:cstheme="minorHAnsi"/>
          <w:i/>
          <w:sz w:val="20"/>
          <w:szCs w:val="20"/>
        </w:rPr>
        <w:t xml:space="preserve">infra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_Ref332101640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254</w:t>
      </w:r>
      <w:r w:rsidRPr="002552EA">
        <w:rPr>
          <w:rFonts w:cstheme="minorHAnsi"/>
          <w:sz w:val="20"/>
          <w:szCs w:val="20"/>
        </w:rPr>
        <w:fldChar w:fldCharType="end"/>
      </w:r>
      <w:r w:rsidRPr="002552EA">
        <w:rPr>
          <w:rFonts w:cstheme="minorHAnsi"/>
          <w:sz w:val="20"/>
          <w:szCs w:val="20"/>
        </w:rPr>
        <w:t>, and accompanying text.</w:t>
      </w:r>
    </w:p>
  </w:footnote>
  <w:footnote w:id="57">
    <w:p w14:paraId="77DB2246" w14:textId="49B2A283" w:rsidR="00560FBA" w:rsidRPr="002552EA" w:rsidRDefault="00560FBA" w:rsidP="00106D9A">
      <w:pPr>
        <w:pStyle w:val="FootnoteText"/>
        <w:tabs>
          <w:tab w:val="left" w:pos="5940"/>
        </w:tabs>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We frequently compare chapter 11 to chapter 13, and so we constructed a similar set of all cases that are currently or have been in chapter 13</w:t>
      </w:r>
      <w:r w:rsidRPr="002552EA">
        <w:rPr>
          <w:rFonts w:cstheme="minorHAnsi"/>
          <w:i/>
          <w:sz w:val="20"/>
          <w:szCs w:val="20"/>
        </w:rPr>
        <w:t>.</w:t>
      </w:r>
    </w:p>
  </w:footnote>
  <w:footnote w:id="58">
    <w:p w14:paraId="0541D350" w14:textId="57AAD58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We counted a case as initially filed in chapter 11 if the previous chapter was listed as chapter 11 or if the previous chapter was blank and the chapter was listed as chapter 11. For 2010, we had 3,642 cases “initiated” in chapter 11.  If we add the 407 cases converted into chapter 11 (90 from chapter 7, 7 from chapter 12, and 310 from chapter 13), this gives us the 4,049 cases disclosed in (A)(1) of Table 1. </w:t>
      </w:r>
    </w:p>
  </w:footnote>
  <w:footnote w:id="59">
    <w:p w14:paraId="792ED967" w14:textId="7B87633A"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 existence of substantial variation is consistent with the findings of </w:t>
      </w:r>
      <w:r w:rsidRPr="002552EA">
        <w:rPr>
          <w:rFonts w:cstheme="minorHAnsi"/>
          <w:i/>
          <w:sz w:val="20"/>
          <w:szCs w:val="20"/>
        </w:rPr>
        <w:t xml:space="preserve">Success of Chapter 11,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_Ref276229185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w:t>
      </w:r>
      <w:r w:rsidRPr="002552EA">
        <w:rPr>
          <w:rFonts w:cstheme="minorHAnsi"/>
          <w:sz w:val="20"/>
          <w:szCs w:val="20"/>
        </w:rPr>
        <w:fldChar w:fldCharType="end"/>
      </w:r>
      <w:r w:rsidRPr="002552EA">
        <w:rPr>
          <w:rFonts w:cstheme="minorHAnsi"/>
          <w:sz w:val="20"/>
          <w:szCs w:val="20"/>
        </w:rPr>
        <w:t>, at 573.</w:t>
      </w:r>
    </w:p>
  </w:footnote>
  <w:footnote w:id="60">
    <w:p w14:paraId="416A74EE" w14:textId="48CCCC90"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Pr>
          <w:rFonts w:cstheme="minorHAnsi"/>
          <w:sz w:val="20"/>
          <w:szCs w:val="20"/>
        </w:rPr>
        <w:t xml:space="preserve">Table F-2, December 31, 2010, </w:t>
      </w:r>
      <w:r>
        <w:rPr>
          <w:rFonts w:cstheme="minorHAnsi"/>
          <w:i/>
          <w:sz w:val="20"/>
          <w:szCs w:val="20"/>
        </w:rPr>
        <w:t xml:space="preserve">available at </w:t>
      </w:r>
      <w:r w:rsidRPr="002F13CF">
        <w:rPr>
          <w:rFonts w:cstheme="minorHAnsi"/>
          <w:sz w:val="20"/>
          <w:szCs w:val="20"/>
        </w:rPr>
        <w:t>http://www.uscourts.gov/statistics/table/f-2/statistical-tables-federal-judiciary/2010/12/31</w:t>
      </w:r>
      <w:r w:rsidRPr="002552EA">
        <w:rPr>
          <w:rFonts w:cstheme="minorHAnsi"/>
          <w:sz w:val="20"/>
          <w:szCs w:val="20"/>
        </w:rPr>
        <w:t>.</w:t>
      </w:r>
    </w:p>
  </w:footnote>
  <w:footnote w:id="61">
    <w:p w14:paraId="294AF64B" w14:textId="53ED0924" w:rsidR="00560FBA" w:rsidRPr="002552EA" w:rsidRDefault="00560FBA" w:rsidP="008B47DC">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Although the official statistics substantially understate the importance of business debt in personal bankruptcy, </w:t>
      </w:r>
      <w:r w:rsidRPr="002552EA">
        <w:rPr>
          <w:rFonts w:cstheme="minorHAnsi"/>
          <w:i/>
          <w:sz w:val="20"/>
          <w:szCs w:val="20"/>
        </w:rPr>
        <w:t>see</w:t>
      </w:r>
      <w:r w:rsidRPr="002552EA">
        <w:rPr>
          <w:rFonts w:cstheme="minorHAnsi"/>
          <w:sz w:val="20"/>
          <w:szCs w:val="20"/>
        </w:rPr>
        <w:t xml:space="preserve"> </w:t>
      </w:r>
      <w:r w:rsidRPr="002552EA">
        <w:rPr>
          <w:rFonts w:cstheme="minorHAnsi"/>
          <w:i/>
          <w:sz w:val="20"/>
          <w:szCs w:val="20"/>
        </w:rPr>
        <w:t xml:space="preserve">Disappearing Business Bankruptcy,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_Ref275782955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w:t>
      </w:r>
      <w:r w:rsidRPr="002552EA">
        <w:rPr>
          <w:rFonts w:cstheme="minorHAnsi"/>
          <w:sz w:val="20"/>
          <w:szCs w:val="20"/>
        </w:rPr>
        <w:fldChar w:fldCharType="end"/>
      </w:r>
      <w:r w:rsidRPr="002552EA">
        <w:rPr>
          <w:rFonts w:cstheme="minorHAnsi"/>
          <w:sz w:val="20"/>
          <w:szCs w:val="20"/>
        </w:rPr>
        <w:t>, most of the debt in personal bankruptcy was incurred for personal or household purposes.</w:t>
      </w:r>
    </w:p>
  </w:footnote>
  <w:footnote w:id="62">
    <w:p w14:paraId="0A4BE247" w14:textId="6F2DB618"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 difference is not statistically significant (p-value of 0.40). The business/non-business divide may not have always been so stable. In her prior study, Lawton found 41.8% business individual chapter 11s in 2004 and 55.9% in 2007. </w:t>
      </w:r>
      <w:r w:rsidRPr="002552EA">
        <w:rPr>
          <w:rFonts w:cstheme="minorHAnsi"/>
          <w:i/>
          <w:sz w:val="20"/>
          <w:szCs w:val="20"/>
        </w:rPr>
        <w:t>See Individual Chapter 11 Debtors</w:t>
      </w:r>
      <w:r w:rsidRPr="002552EA">
        <w:rPr>
          <w:rFonts w:cstheme="minorHAnsi"/>
          <w:sz w:val="20"/>
          <w:szCs w:val="20"/>
        </w:rPr>
        <w:t xml:space="preserve">,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_Ref333734144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4</w:t>
      </w:r>
      <w:r w:rsidRPr="002552EA">
        <w:rPr>
          <w:rFonts w:cstheme="minorHAnsi"/>
          <w:sz w:val="20"/>
          <w:szCs w:val="20"/>
        </w:rPr>
        <w:fldChar w:fldCharType="end"/>
      </w:r>
      <w:r w:rsidRPr="002552EA">
        <w:rPr>
          <w:rFonts w:cstheme="minorHAnsi"/>
          <w:sz w:val="20"/>
          <w:szCs w:val="20"/>
        </w:rPr>
        <w:t>.  Her data, however, is drawn from a period of massive disruption in bankruptcy law caused by BAPCPA.</w:t>
      </w:r>
    </w:p>
  </w:footnote>
  <w:footnote w:id="63">
    <w:p w14:paraId="2C149C50" w14:textId="250B4C6A"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Disappearing Business Bankruptcy,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_Ref275782955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w:t>
      </w:r>
      <w:r w:rsidRPr="002552EA">
        <w:rPr>
          <w:rFonts w:cstheme="minorHAnsi"/>
          <w:sz w:val="20"/>
          <w:szCs w:val="20"/>
        </w:rPr>
        <w:fldChar w:fldCharType="end"/>
      </w:r>
      <w:r w:rsidRPr="002552EA">
        <w:rPr>
          <w:rFonts w:cstheme="minorHAnsi"/>
          <w:sz w:val="20"/>
          <w:szCs w:val="20"/>
        </w:rPr>
        <w:t xml:space="preserve">. </w:t>
      </w:r>
    </w:p>
  </w:footnote>
  <w:footnote w:id="64">
    <w:p w14:paraId="06A1744A" w14:textId="47AFA53D" w:rsidR="00560FBA" w:rsidRPr="002552EA" w:rsidRDefault="00560FBA" w:rsidP="00F174F0">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Although most individual chapter 11 debtors checked the petition box indicating that their debts were primarily consumer in nature, the overwhelming majority operated a business. </w:t>
      </w:r>
      <w:r w:rsidRPr="002552EA">
        <w:rPr>
          <w:rFonts w:cstheme="minorHAnsi"/>
          <w:i/>
          <w:sz w:val="20"/>
          <w:szCs w:val="20"/>
        </w:rPr>
        <w:t xml:space="preserve">See infra </w:t>
      </w:r>
      <w:r w:rsidRPr="002552EA">
        <w:rPr>
          <w:rFonts w:cstheme="minorHAnsi"/>
          <w:sz w:val="20"/>
          <w:szCs w:val="20"/>
        </w:rPr>
        <w:t>Section III.A.2.</w:t>
      </w:r>
    </w:p>
  </w:footnote>
  <w:footnote w:id="65">
    <w:p w14:paraId="2DBD7857" w14:textId="2066E767" w:rsidR="00560FBA" w:rsidRPr="002552EA" w:rsidRDefault="00560FBA" w:rsidP="00720A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See, e.g.,</w:t>
      </w:r>
      <w:r w:rsidRPr="002552EA">
        <w:rPr>
          <w:rFonts w:cstheme="minorHAnsi"/>
          <w:sz w:val="20"/>
          <w:szCs w:val="20"/>
        </w:rPr>
        <w:t xml:space="preserve"> 11 U.S.C. § 362(n) (2012) (curtailing serial filings by small business debtors by preventing automatic stay from taking effect when, for example, debtor is involved in a pending small business bankruptcy case, unless second filing was involuntary or debtor shows it resulted from unforeseeable circumstances and it is more likely than not that the court will confirm a plan of reorganization within a reasonable time period); </w:t>
      </w:r>
      <w:r w:rsidRPr="002552EA">
        <w:rPr>
          <w:rFonts w:cstheme="minorHAnsi"/>
          <w:i/>
          <w:sz w:val="20"/>
          <w:szCs w:val="20"/>
        </w:rPr>
        <w:t>id</w:t>
      </w:r>
      <w:r w:rsidRPr="002552EA">
        <w:rPr>
          <w:rFonts w:cstheme="minorHAnsi"/>
          <w:sz w:val="20"/>
          <w:szCs w:val="20"/>
        </w:rPr>
        <w:t>. § 1121(e) (2012) (providing exclusivity period and filing deadlines for small business cases).</w:t>
      </w:r>
    </w:p>
  </w:footnote>
  <w:footnote w:id="66">
    <w:p w14:paraId="58BE5BD3" w14:textId="7F6E5910"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101(51D) (2012). The current dollar limit, which re-set on April 1, 2016, is $2,566,050. </w:t>
      </w:r>
      <w:r w:rsidRPr="002552EA">
        <w:rPr>
          <w:rFonts w:cstheme="minorHAnsi"/>
          <w:i/>
          <w:sz w:val="20"/>
          <w:szCs w:val="20"/>
        </w:rPr>
        <w:t xml:space="preserve">See infra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_Ref333839199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120</w:t>
      </w:r>
      <w:r w:rsidRPr="002552EA">
        <w:rPr>
          <w:rFonts w:cstheme="minorHAnsi"/>
          <w:sz w:val="20"/>
          <w:szCs w:val="20"/>
        </w:rPr>
        <w:fldChar w:fldCharType="end"/>
      </w:r>
      <w:r w:rsidRPr="002552EA">
        <w:rPr>
          <w:rFonts w:cstheme="minorHAnsi"/>
          <w:sz w:val="20"/>
          <w:szCs w:val="20"/>
        </w:rPr>
        <w:t xml:space="preserve">.   </w:t>
      </w:r>
    </w:p>
  </w:footnote>
  <w:footnote w:id="67">
    <w:p w14:paraId="5FE0BCA7" w14:textId="61EE75CD"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See</w:t>
      </w:r>
      <w:r w:rsidRPr="002552EA">
        <w:rPr>
          <w:rFonts w:cstheme="minorHAnsi"/>
          <w:sz w:val="20"/>
          <w:szCs w:val="20"/>
        </w:rPr>
        <w:t xml:space="preserve"> 28 U.S.C. §§ 586(a)(3)(H) &amp; 1116 (2012).</w:t>
      </w:r>
    </w:p>
  </w:footnote>
  <w:footnote w:id="68">
    <w:p w14:paraId="4BB24C0D" w14:textId="0105DAFC"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1125(f) (2012).</w:t>
      </w:r>
    </w:p>
  </w:footnote>
  <w:footnote w:id="69">
    <w:p w14:paraId="429B5556" w14:textId="6E72EC8A"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5304F0">
        <w:rPr>
          <w:rFonts w:cstheme="minorHAnsi"/>
          <w:i/>
          <w:sz w:val="20"/>
          <w:szCs w:val="20"/>
        </w:rPr>
        <w:t>id</w:t>
      </w:r>
      <w:r>
        <w:rPr>
          <w:rFonts w:cstheme="minorHAnsi"/>
          <w:sz w:val="20"/>
          <w:szCs w:val="20"/>
        </w:rPr>
        <w:t>. at</w:t>
      </w:r>
      <w:r w:rsidRPr="002552EA">
        <w:rPr>
          <w:rFonts w:cstheme="minorHAnsi"/>
          <w:sz w:val="20"/>
          <w:szCs w:val="20"/>
        </w:rPr>
        <w:t xml:space="preserve"> § 1121(e)(2), 1129(e) (2012); </w:t>
      </w:r>
      <w:r w:rsidRPr="002552EA">
        <w:rPr>
          <w:rFonts w:cstheme="minorHAnsi"/>
          <w:i/>
          <w:sz w:val="20"/>
          <w:szCs w:val="20"/>
        </w:rPr>
        <w:t xml:space="preserve">see also infra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_Ref333749470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322</w:t>
      </w:r>
      <w:r w:rsidRPr="002552EA">
        <w:rPr>
          <w:rFonts w:cstheme="minorHAnsi"/>
          <w:sz w:val="20"/>
          <w:szCs w:val="20"/>
        </w:rPr>
        <w:fldChar w:fldCharType="end"/>
      </w:r>
      <w:r w:rsidRPr="002552EA">
        <w:rPr>
          <w:rFonts w:cstheme="minorHAnsi"/>
          <w:sz w:val="20"/>
          <w:szCs w:val="20"/>
        </w:rPr>
        <w:t xml:space="preserve"> and accompanying text. </w:t>
      </w:r>
    </w:p>
  </w:footnote>
  <w:footnote w:id="70">
    <w:p w14:paraId="19D58CAA" w14:textId="26C80FC5"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 voluntary petition requires chapter 11 debtors to check that they either are or are not a small business debtor as defined at § 101(51D) of the Code.  </w:t>
      </w:r>
    </w:p>
  </w:footnote>
  <w:footnote w:id="71">
    <w:p w14:paraId="1B57B5C2" w14:textId="3A9AB6D0"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Given the number of blank entries in the PACER sample, we will spend more time discussing small business filings in Section III.A.2 of this Report, which addresses the very different results in the small random sample.  </w:t>
      </w:r>
      <w:r w:rsidRPr="002552EA">
        <w:rPr>
          <w:rFonts w:cstheme="minorHAnsi"/>
          <w:i/>
          <w:sz w:val="20"/>
          <w:szCs w:val="20"/>
        </w:rPr>
        <w:t xml:space="preserve">See infra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_Ref332102122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115</w:t>
      </w:r>
      <w:r w:rsidRPr="002552EA">
        <w:rPr>
          <w:rFonts w:cstheme="minorHAnsi"/>
          <w:sz w:val="20"/>
          <w:szCs w:val="20"/>
        </w:rPr>
        <w:fldChar w:fldCharType="end"/>
      </w:r>
      <w:r w:rsidRPr="002552EA">
        <w:rPr>
          <w:rFonts w:cstheme="minorHAnsi"/>
          <w:sz w:val="20"/>
          <w:szCs w:val="20"/>
        </w:rPr>
        <w:t>, and accompanying text.</w:t>
      </w:r>
    </w:p>
  </w:footnote>
  <w:footnote w:id="72">
    <w:p w14:paraId="0E442A65" w14:textId="70F27D86" w:rsidR="00560FBA" w:rsidRPr="00DD0F08"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Voluntary Petition for Individuals Filing for Bankruptcy, Official Form 101 </w:t>
      </w:r>
      <w:r w:rsidRPr="002552EA">
        <w:rPr>
          <w:rFonts w:cstheme="minorHAnsi"/>
          <w:i/>
          <w:sz w:val="20"/>
          <w:szCs w:val="20"/>
        </w:rPr>
        <w:t xml:space="preserve">available at </w:t>
      </w:r>
      <w:hyperlink r:id="rId2" w:history="1">
        <w:r w:rsidRPr="002F13CF">
          <w:rPr>
            <w:rStyle w:val="Hyperlink"/>
            <w:rFonts w:cstheme="minorHAnsi"/>
            <w:sz w:val="20"/>
            <w:szCs w:val="20"/>
          </w:rPr>
          <w:t>http://www.uscourts.gov/forms/individual-debtors/voluntary-petition-individuals-filing-bankruptcy</w:t>
        </w:r>
      </w:hyperlink>
    </w:p>
  </w:footnote>
  <w:footnote w:id="73">
    <w:p w14:paraId="30821586" w14:textId="5E11EC39"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Ed Flynn, </w:t>
      </w:r>
      <w:r w:rsidRPr="002552EA">
        <w:rPr>
          <w:rFonts w:cstheme="minorHAnsi"/>
          <w:i/>
          <w:sz w:val="20"/>
          <w:szCs w:val="20"/>
        </w:rPr>
        <w:t>Chapter 7 Asset Cases and Trustee Compensation</w:t>
      </w:r>
      <w:r w:rsidRPr="002552EA">
        <w:rPr>
          <w:rFonts w:cstheme="minorHAnsi"/>
          <w:sz w:val="20"/>
          <w:szCs w:val="20"/>
        </w:rPr>
        <w:t>, ABI Journal, June 2014.</w:t>
      </w:r>
    </w:p>
  </w:footnote>
  <w:footnote w:id="74">
    <w:p w14:paraId="2B45E39C" w14:textId="6409F57E"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We found a lower estimate in our </w:t>
      </w:r>
      <w:r>
        <w:rPr>
          <w:rFonts w:cstheme="minorHAnsi"/>
          <w:sz w:val="20"/>
          <w:szCs w:val="20"/>
        </w:rPr>
        <w:t>random</w:t>
      </w:r>
      <w:r w:rsidRPr="002552EA">
        <w:rPr>
          <w:rFonts w:cstheme="minorHAnsi"/>
          <w:sz w:val="20"/>
          <w:szCs w:val="20"/>
        </w:rPr>
        <w:t xml:space="preserve"> sample, which is likely due to differences in coding. Nonetheless, we still found a fairly high percentage of cases in which debtors expected that assets would be available for general unsecured creditors. </w:t>
      </w:r>
      <w:r w:rsidRPr="002552EA">
        <w:rPr>
          <w:rFonts w:cstheme="minorHAnsi"/>
          <w:i/>
          <w:sz w:val="20"/>
          <w:szCs w:val="20"/>
        </w:rPr>
        <w:t xml:space="preserve">See infra </w:t>
      </w:r>
      <w:r w:rsidRPr="002552EA">
        <w:rPr>
          <w:rFonts w:cstheme="minorHAnsi"/>
          <w:sz w:val="20"/>
          <w:szCs w:val="20"/>
        </w:rPr>
        <w:t xml:space="preserve">Table 22, and accompanying text. </w:t>
      </w:r>
    </w:p>
  </w:footnote>
  <w:footnote w:id="75">
    <w:p w14:paraId="09807F43" w14:textId="33969947" w:rsidR="00560FBA" w:rsidRPr="002552EA" w:rsidRDefault="00560FBA" w:rsidP="00106D9A">
      <w:pPr>
        <w:pStyle w:val="FootnoteText"/>
        <w:rPr>
          <w:rFonts w:cstheme="minorHAnsi"/>
          <w:sz w:val="20"/>
          <w:szCs w:val="20"/>
          <w:u w:val="single"/>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See</w:t>
      </w:r>
      <w:r w:rsidRPr="002552EA">
        <w:rPr>
          <w:rFonts w:cstheme="minorHAnsi"/>
          <w:sz w:val="20"/>
          <w:szCs w:val="20"/>
        </w:rPr>
        <w:t xml:space="preserve"> Eraslan,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_Ref276305975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30</w:t>
      </w:r>
      <w:r w:rsidRPr="002552EA">
        <w:rPr>
          <w:rFonts w:cstheme="minorHAnsi"/>
          <w:sz w:val="20"/>
          <w:szCs w:val="20"/>
        </w:rPr>
        <w:fldChar w:fldCharType="end"/>
      </w:r>
      <w:r w:rsidRPr="002552EA">
        <w:rPr>
          <w:rFonts w:cstheme="minorHAnsi"/>
          <w:sz w:val="20"/>
          <w:szCs w:val="20"/>
        </w:rPr>
        <w:t xml:space="preserve"> (studying chapter 13 cases filed in Delaware); Norberg &amp; Velkey,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_Ref275782955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w:t>
      </w:r>
      <w:r w:rsidRPr="002552EA">
        <w:rPr>
          <w:rFonts w:cstheme="minorHAnsi"/>
          <w:sz w:val="20"/>
          <w:szCs w:val="20"/>
        </w:rPr>
        <w:fldChar w:fldCharType="end"/>
      </w:r>
      <w:r w:rsidRPr="002552EA">
        <w:rPr>
          <w:rFonts w:cstheme="minorHAnsi"/>
          <w:sz w:val="20"/>
          <w:szCs w:val="20"/>
        </w:rPr>
        <w:t>, at 543.</w:t>
      </w:r>
    </w:p>
  </w:footnote>
  <w:footnote w:id="76">
    <w:p w14:paraId="0D1F306B" w14:textId="35AD69F6" w:rsidR="00560FBA" w:rsidRPr="00DD0F08"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 xml:space="preserve">Anne Lawton, </w:t>
      </w:r>
      <w:r w:rsidRPr="002552EA">
        <w:rPr>
          <w:rFonts w:cstheme="minorHAnsi"/>
          <w:i/>
          <w:sz w:val="20"/>
          <w:szCs w:val="20"/>
        </w:rPr>
        <w:t xml:space="preserve">An Argument for Simplifying the Code’s “Small Business Debtor” Definition, </w:t>
      </w:r>
      <w:r w:rsidRPr="002552EA">
        <w:rPr>
          <w:rFonts w:cstheme="minorHAnsi"/>
          <w:sz w:val="20"/>
          <w:szCs w:val="20"/>
        </w:rPr>
        <w:t xml:space="preserve">21 </w:t>
      </w:r>
      <w:r w:rsidRPr="002552EA">
        <w:rPr>
          <w:rFonts w:cstheme="minorHAnsi"/>
          <w:smallCaps/>
          <w:sz w:val="20"/>
          <w:szCs w:val="20"/>
        </w:rPr>
        <w:t>ABI L. Rev. 55, 89 (2013) [</w:t>
      </w:r>
      <w:r w:rsidRPr="002552EA">
        <w:rPr>
          <w:rFonts w:cstheme="minorHAnsi"/>
          <w:sz w:val="20"/>
          <w:szCs w:val="20"/>
        </w:rPr>
        <w:t xml:space="preserve">hereinafter </w:t>
      </w:r>
      <w:r w:rsidRPr="002552EA">
        <w:rPr>
          <w:rFonts w:cstheme="minorHAnsi"/>
          <w:i/>
          <w:sz w:val="20"/>
          <w:szCs w:val="20"/>
        </w:rPr>
        <w:t>Simple Definition</w:t>
      </w:r>
      <w:r>
        <w:rPr>
          <w:rFonts w:cstheme="minorHAnsi"/>
          <w:sz w:val="20"/>
          <w:szCs w:val="20"/>
        </w:rPr>
        <w:t>]</w:t>
      </w:r>
      <w:r w:rsidRPr="002552EA">
        <w:rPr>
          <w:rFonts w:cstheme="minorHAnsi"/>
          <w:sz w:val="20"/>
          <w:szCs w:val="20"/>
        </w:rPr>
        <w:t xml:space="preserve"> (stating that “the United States Trustee does not operate in the six federal judicial districts in Alabama and North Carolina” and that “the Bankruptcy Administrator handles cases in those districts”). </w:t>
      </w:r>
      <w:r w:rsidRPr="002552EA">
        <w:rPr>
          <w:rFonts w:cstheme="minorHAnsi"/>
          <w:i/>
          <w:sz w:val="20"/>
          <w:szCs w:val="20"/>
        </w:rPr>
        <w:t xml:space="preserve">See also </w:t>
      </w:r>
      <w:r>
        <w:rPr>
          <w:rFonts w:cstheme="minorHAnsi"/>
          <w:sz w:val="20"/>
          <w:szCs w:val="20"/>
        </w:rPr>
        <w:t xml:space="preserve">Trustees and Administrators, </w:t>
      </w:r>
      <w:r>
        <w:rPr>
          <w:rFonts w:cstheme="minorHAnsi"/>
          <w:i/>
          <w:sz w:val="20"/>
          <w:szCs w:val="20"/>
        </w:rPr>
        <w:t xml:space="preserve">available at </w:t>
      </w:r>
      <w:r w:rsidRPr="002F13CF">
        <w:rPr>
          <w:rFonts w:cstheme="minorHAnsi"/>
          <w:sz w:val="20"/>
          <w:szCs w:val="20"/>
        </w:rPr>
        <w:t>http://www.uscourts.gov/services-forms/bankruptcy/trustees-and-administrators</w:t>
      </w:r>
    </w:p>
    <w:p w14:paraId="352D3FB3" w14:textId="010738EB" w:rsidR="00560FBA" w:rsidRPr="002552EA" w:rsidRDefault="00560FBA" w:rsidP="00106D9A">
      <w:pPr>
        <w:pStyle w:val="FootnoteText"/>
        <w:rPr>
          <w:rFonts w:cstheme="minorHAnsi"/>
          <w:sz w:val="20"/>
          <w:szCs w:val="20"/>
        </w:rPr>
      </w:pPr>
    </w:p>
  </w:footnote>
  <w:footnote w:id="77">
    <w:p w14:paraId="5E1D81AD" w14:textId="0E433799"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Section 303(a) provides that involuntary cases “may be commenced only under chapter 7 or 11.” 11 U.S.C. § 303(a) (2012).</w:t>
      </w:r>
    </w:p>
  </w:footnote>
  <w:footnote w:id="78">
    <w:p w14:paraId="499F06FA" w14:textId="3FDF26ED"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Id.</w:t>
      </w:r>
      <w:r w:rsidRPr="002552EA">
        <w:rPr>
          <w:rFonts w:cstheme="minorHAnsi"/>
          <w:sz w:val="20"/>
          <w:szCs w:val="20"/>
        </w:rPr>
        <w:t xml:space="preserve"> Congress considered the possibility of permitting involuntary chapter 13 cases while the current statute was under consideration, but the Report of the House Judiciary Committee foresaw constitutional problems under the thirteenth amendment:</w:t>
      </w:r>
    </w:p>
    <w:p w14:paraId="742F7258" w14:textId="6478AA52" w:rsidR="00560FBA" w:rsidRPr="002552EA" w:rsidRDefault="00560FBA" w:rsidP="00106D9A">
      <w:pPr>
        <w:ind w:left="720" w:firstLine="720"/>
        <w:rPr>
          <w:rFonts w:cstheme="minorHAnsi"/>
          <w:sz w:val="20"/>
          <w:szCs w:val="20"/>
        </w:rPr>
      </w:pPr>
      <w:r w:rsidRPr="002552EA">
        <w:rPr>
          <w:rFonts w:cstheme="minorHAnsi"/>
          <w:sz w:val="20"/>
          <w:szCs w:val="20"/>
        </w:rPr>
        <w:t xml:space="preserve">As under current law, chapter 13 is completely voluntary. This Committee firmly rejected the idea of mandatory or involuntary chapter XIII in the 90th Congress. The </w:t>
      </w:r>
      <w:r w:rsidRPr="002552EA">
        <w:rPr>
          <w:rStyle w:val="term1"/>
          <w:rFonts w:cstheme="minorHAnsi"/>
          <w:b w:val="0"/>
          <w:sz w:val="20"/>
          <w:szCs w:val="20"/>
        </w:rPr>
        <w:t>thirteenth amendment</w:t>
      </w:r>
      <w:r w:rsidRPr="002552EA">
        <w:rPr>
          <w:rFonts w:cstheme="minorHAnsi"/>
          <w:b/>
          <w:sz w:val="20"/>
          <w:szCs w:val="20"/>
        </w:rPr>
        <w:t xml:space="preserve"> </w:t>
      </w:r>
      <w:r w:rsidRPr="002552EA">
        <w:rPr>
          <w:rFonts w:cstheme="minorHAnsi"/>
          <w:sz w:val="20"/>
          <w:szCs w:val="20"/>
        </w:rPr>
        <w:t xml:space="preserve">prohibits </w:t>
      </w:r>
      <w:r w:rsidRPr="002552EA">
        <w:rPr>
          <w:rStyle w:val="term1"/>
          <w:rFonts w:cstheme="minorHAnsi"/>
          <w:b w:val="0"/>
          <w:sz w:val="20"/>
          <w:szCs w:val="20"/>
        </w:rPr>
        <w:t>involuntary servitude</w:t>
      </w:r>
      <w:r w:rsidRPr="002552EA">
        <w:rPr>
          <w:rStyle w:val="term1"/>
          <w:rFonts w:cstheme="minorHAnsi"/>
          <w:sz w:val="20"/>
          <w:szCs w:val="20"/>
        </w:rPr>
        <w:t>.</w:t>
      </w:r>
      <w:r w:rsidRPr="002552EA">
        <w:rPr>
          <w:rFonts w:cstheme="minorHAnsi"/>
          <w:sz w:val="20"/>
          <w:szCs w:val="20"/>
        </w:rPr>
        <w:t xml:space="preserve">  Though it has never been tested in the wage earner plan context, it has been suggested that a mandatory chapter 13, by forcing an individual to work for creditors would violate this prohibition.</w:t>
      </w:r>
    </w:p>
    <w:p w14:paraId="5DDC57DB" w14:textId="0385BB7E" w:rsidR="00560FBA" w:rsidRPr="002552EA" w:rsidRDefault="00560FBA" w:rsidP="00106D9A">
      <w:pPr>
        <w:rPr>
          <w:rFonts w:cstheme="minorHAnsi"/>
          <w:sz w:val="20"/>
          <w:szCs w:val="20"/>
        </w:rPr>
      </w:pPr>
      <w:r w:rsidRPr="002552EA">
        <w:rPr>
          <w:rFonts w:cstheme="minorHAnsi"/>
          <w:sz w:val="20"/>
          <w:szCs w:val="20"/>
        </w:rPr>
        <w:t xml:space="preserve">H.R. REP. No. 95-595, at 120 (1977) (footnotes omitted), </w:t>
      </w:r>
      <w:r w:rsidRPr="002552EA">
        <w:rPr>
          <w:rFonts w:cstheme="minorHAnsi"/>
          <w:i/>
          <w:iCs/>
          <w:sz w:val="20"/>
          <w:szCs w:val="20"/>
        </w:rPr>
        <w:t>reprinted in</w:t>
      </w:r>
      <w:r w:rsidRPr="002552EA">
        <w:rPr>
          <w:rFonts w:cstheme="minorHAnsi"/>
          <w:sz w:val="20"/>
          <w:szCs w:val="20"/>
        </w:rPr>
        <w:t xml:space="preserve"> 1978 U.S.C.C.A.N. 5963, 6080-81 (1977). Since that time, courts have been divided on the issue. Some have voiced similar constitutional concerns. </w:t>
      </w:r>
      <w:r w:rsidRPr="002552EA">
        <w:rPr>
          <w:rFonts w:cstheme="minorHAnsi"/>
          <w:i/>
          <w:sz w:val="20"/>
          <w:szCs w:val="20"/>
        </w:rPr>
        <w:t>See, e.g</w:t>
      </w:r>
      <w:r w:rsidRPr="002552EA">
        <w:rPr>
          <w:rFonts w:cstheme="minorHAnsi"/>
          <w:sz w:val="20"/>
          <w:szCs w:val="20"/>
        </w:rPr>
        <w:t xml:space="preserve">., </w:t>
      </w:r>
      <w:r w:rsidRPr="002552EA">
        <w:rPr>
          <w:rFonts w:cstheme="minorHAnsi"/>
          <w:i/>
          <w:iCs/>
          <w:sz w:val="20"/>
          <w:szCs w:val="20"/>
        </w:rPr>
        <w:t>In re</w:t>
      </w:r>
      <w:r w:rsidRPr="002552EA">
        <w:rPr>
          <w:rFonts w:cstheme="minorHAnsi"/>
          <w:sz w:val="20"/>
          <w:szCs w:val="20"/>
        </w:rPr>
        <w:t xml:space="preserve"> Nahat, 315 B.R. 368 (Bankr. N.D. Tex. 2004); </w:t>
      </w:r>
      <w:r w:rsidRPr="002552EA">
        <w:rPr>
          <w:rFonts w:cstheme="minorHAnsi"/>
          <w:i/>
          <w:sz w:val="20"/>
          <w:szCs w:val="20"/>
        </w:rPr>
        <w:t>In re</w:t>
      </w:r>
      <w:r w:rsidRPr="002552EA">
        <w:rPr>
          <w:rFonts w:cstheme="minorHAnsi"/>
          <w:sz w:val="20"/>
          <w:szCs w:val="20"/>
        </w:rPr>
        <w:t xml:space="preserve"> Noonan, 17 B.R. 793 (Bankr. S.D.N.Y. 1982). Other courts have found no constitutional issue.  In </w:t>
      </w:r>
      <w:r w:rsidRPr="002552EA">
        <w:rPr>
          <w:rFonts w:cstheme="minorHAnsi"/>
          <w:i/>
          <w:sz w:val="20"/>
          <w:szCs w:val="20"/>
        </w:rPr>
        <w:t>In re</w:t>
      </w:r>
      <w:r w:rsidRPr="002552EA">
        <w:rPr>
          <w:rFonts w:cstheme="minorHAnsi"/>
          <w:sz w:val="20"/>
          <w:szCs w:val="20"/>
        </w:rPr>
        <w:t xml:space="preserve"> </w:t>
      </w:r>
      <w:r w:rsidRPr="002552EA">
        <w:rPr>
          <w:rFonts w:cstheme="minorHAnsi"/>
          <w:i/>
          <w:sz w:val="20"/>
          <w:szCs w:val="20"/>
        </w:rPr>
        <w:t>Graham</w:t>
      </w:r>
      <w:r w:rsidRPr="002552EA">
        <w:rPr>
          <w:rFonts w:cstheme="minorHAnsi"/>
          <w:sz w:val="20"/>
          <w:szCs w:val="20"/>
        </w:rPr>
        <w:t xml:space="preserve">, 21 B.R. 235 (Bankr. N.D. Iowa 1982), for example, the debtor’s ex-wife moved to convert his chapter 7 case to a chapter 11, thereby enabling unsecured creditors (including herself) to impose a repayment plan that would reach his substantial post-petition income. The court noted that converting the case would divert the fruits of the debtor’s labors to his prepetition creditors, much like a mandatory chapter 13, but thought the constitutional concerns clearly overblown: “Such a mandatory repayment scheme is so radically different in character from the slavery that the thirteenth amendment was meant to abolish . . . that the Court questions whether the framers of that amendment had the prohibition of mandatory repayment plans in mind when they drafted it.  </w:t>
      </w:r>
      <w:r w:rsidRPr="002552EA">
        <w:rPr>
          <w:rFonts w:cstheme="minorHAnsi"/>
          <w:i/>
          <w:sz w:val="20"/>
          <w:szCs w:val="20"/>
        </w:rPr>
        <w:t>Id</w:t>
      </w:r>
      <w:r w:rsidRPr="002552EA">
        <w:rPr>
          <w:rFonts w:cstheme="minorHAnsi"/>
          <w:sz w:val="20"/>
          <w:szCs w:val="20"/>
        </w:rPr>
        <w:t>. at 238 n.3.</w:t>
      </w:r>
    </w:p>
  </w:footnote>
  <w:footnote w:id="79">
    <w:p w14:paraId="6945AB06" w14:textId="482C4BEF"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 xml:space="preserve">Margaret Howard, </w:t>
      </w:r>
      <w:r w:rsidRPr="002552EA">
        <w:rPr>
          <w:rFonts w:cstheme="minorHAnsi"/>
          <w:i/>
          <w:sz w:val="20"/>
          <w:szCs w:val="20"/>
        </w:rPr>
        <w:t xml:space="preserve">Bankruptcy Bondage, </w:t>
      </w:r>
      <w:r w:rsidRPr="002552EA">
        <w:rPr>
          <w:rFonts w:cstheme="minorHAnsi"/>
          <w:sz w:val="20"/>
          <w:szCs w:val="20"/>
        </w:rPr>
        <w:t xml:space="preserve">2009 </w:t>
      </w:r>
      <w:r w:rsidRPr="002552EA">
        <w:rPr>
          <w:rFonts w:cstheme="minorHAnsi"/>
          <w:smallCaps/>
          <w:sz w:val="20"/>
          <w:szCs w:val="20"/>
        </w:rPr>
        <w:t>U. Ill. L. Rev.</w:t>
      </w:r>
      <w:r w:rsidRPr="002552EA">
        <w:rPr>
          <w:rFonts w:cstheme="minorHAnsi"/>
          <w:sz w:val="20"/>
          <w:szCs w:val="20"/>
        </w:rPr>
        <w:t xml:space="preserve"> 191 (2009).</w:t>
      </w:r>
    </w:p>
  </w:footnote>
  <w:footnote w:id="80">
    <w:p w14:paraId="63E7029F" w14:textId="5C9CF8D8"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1129(a)(15) (2012). Post-petition earnings are part of the Chapter 13 estate under § 1306(a).</w:t>
      </w:r>
    </w:p>
  </w:footnote>
  <w:footnote w:id="81">
    <w:p w14:paraId="46CB448A" w14:textId="6ACA8498"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Id. </w:t>
      </w:r>
      <w:r w:rsidRPr="002552EA">
        <w:rPr>
          <w:rFonts w:cstheme="minorHAnsi"/>
          <w:sz w:val="20"/>
          <w:szCs w:val="20"/>
        </w:rPr>
        <w:t xml:space="preserve"> § 1123(a)(8).  </w:t>
      </w:r>
    </w:p>
  </w:footnote>
  <w:footnote w:id="82">
    <w:p w14:paraId="5708E688" w14:textId="43E7DF9F"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Id. </w:t>
      </w:r>
      <w:r w:rsidRPr="002552EA">
        <w:rPr>
          <w:rFonts w:cstheme="minorHAnsi"/>
          <w:sz w:val="20"/>
          <w:szCs w:val="20"/>
        </w:rPr>
        <w:t xml:space="preserve"> § 1129(a)(15), added by </w:t>
      </w:r>
      <w:r w:rsidRPr="002552EA">
        <w:rPr>
          <w:rFonts w:cstheme="minorHAnsi"/>
          <w:bCs/>
          <w:sz w:val="20"/>
          <w:szCs w:val="20"/>
        </w:rPr>
        <w:t>Pub. L. No. 109-8, § 321(c)(1)</w:t>
      </w:r>
      <w:r w:rsidRPr="002552EA">
        <w:rPr>
          <w:rFonts w:cstheme="minorHAnsi"/>
          <w:sz w:val="20"/>
          <w:szCs w:val="20"/>
        </w:rPr>
        <w:t xml:space="preserve">.  </w:t>
      </w:r>
      <w:r w:rsidRPr="002552EA">
        <w:rPr>
          <w:rFonts w:cstheme="minorHAnsi"/>
          <w:i/>
          <w:sz w:val="20"/>
          <w:szCs w:val="20"/>
        </w:rPr>
        <w:t xml:space="preserve">See infra </w:t>
      </w:r>
      <w:r w:rsidRPr="002552EA">
        <w:rPr>
          <w:rFonts w:cstheme="minorHAnsi"/>
          <w:sz w:val="20"/>
          <w:szCs w:val="20"/>
        </w:rPr>
        <w:t xml:space="preserve">notes </w:t>
      </w:r>
      <w:r w:rsidRPr="002552EA">
        <w:rPr>
          <w:rFonts w:cstheme="minorHAnsi"/>
          <w:sz w:val="20"/>
          <w:szCs w:val="20"/>
          <w:highlight w:val="yellow"/>
        </w:rPr>
        <w:fldChar w:fldCharType="begin"/>
      </w:r>
      <w:r w:rsidRPr="002552EA">
        <w:rPr>
          <w:rFonts w:cstheme="minorHAnsi"/>
          <w:sz w:val="20"/>
          <w:szCs w:val="20"/>
        </w:rPr>
        <w:instrText xml:space="preserve"> NOTEREF _Ref333767898 \h </w:instrText>
      </w:r>
      <w:r w:rsidRPr="002552EA">
        <w:rPr>
          <w:rFonts w:cstheme="minorHAnsi"/>
          <w:sz w:val="20"/>
          <w:szCs w:val="20"/>
          <w:highlight w:val="yellow"/>
        </w:rPr>
      </w:r>
      <w:r w:rsidRPr="002552EA">
        <w:rPr>
          <w:rFonts w:cstheme="minorHAnsi"/>
          <w:sz w:val="20"/>
          <w:szCs w:val="20"/>
          <w:highlight w:val="yellow"/>
        </w:rPr>
        <w:fldChar w:fldCharType="separate"/>
      </w:r>
      <w:r>
        <w:rPr>
          <w:rFonts w:cstheme="minorHAnsi"/>
          <w:sz w:val="20"/>
          <w:szCs w:val="20"/>
        </w:rPr>
        <w:t>249</w:t>
      </w:r>
      <w:r w:rsidRPr="002552EA">
        <w:rPr>
          <w:rFonts w:cstheme="minorHAnsi"/>
          <w:sz w:val="20"/>
          <w:szCs w:val="20"/>
          <w:highlight w:val="yellow"/>
        </w:rPr>
        <w:fldChar w:fldCharType="end"/>
      </w:r>
      <w:r w:rsidRPr="002552EA">
        <w:rPr>
          <w:rFonts w:cstheme="minorHAnsi"/>
          <w:sz w:val="20"/>
          <w:szCs w:val="20"/>
        </w:rPr>
        <w:t>-</w:t>
      </w:r>
      <w:r w:rsidRPr="002552EA">
        <w:rPr>
          <w:rFonts w:cstheme="minorHAnsi"/>
          <w:sz w:val="20"/>
          <w:szCs w:val="20"/>
          <w:highlight w:val="yellow"/>
        </w:rPr>
        <w:fldChar w:fldCharType="begin"/>
      </w:r>
      <w:r w:rsidRPr="002552EA">
        <w:rPr>
          <w:rFonts w:cstheme="minorHAnsi"/>
          <w:sz w:val="20"/>
          <w:szCs w:val="20"/>
        </w:rPr>
        <w:instrText xml:space="preserve"> NOTEREF _Ref333839298 \h </w:instrText>
      </w:r>
      <w:r w:rsidRPr="002552EA">
        <w:rPr>
          <w:rFonts w:cstheme="minorHAnsi"/>
          <w:sz w:val="20"/>
          <w:szCs w:val="20"/>
          <w:highlight w:val="yellow"/>
        </w:rPr>
      </w:r>
      <w:r w:rsidRPr="002552EA">
        <w:rPr>
          <w:rFonts w:cstheme="minorHAnsi"/>
          <w:sz w:val="20"/>
          <w:szCs w:val="20"/>
          <w:highlight w:val="yellow"/>
        </w:rPr>
        <w:fldChar w:fldCharType="separate"/>
      </w:r>
      <w:r>
        <w:rPr>
          <w:rFonts w:cstheme="minorHAnsi"/>
          <w:sz w:val="20"/>
          <w:szCs w:val="20"/>
        </w:rPr>
        <w:t>252</w:t>
      </w:r>
      <w:r w:rsidRPr="002552EA">
        <w:rPr>
          <w:rFonts w:cstheme="minorHAnsi"/>
          <w:sz w:val="20"/>
          <w:szCs w:val="20"/>
          <w:highlight w:val="yellow"/>
        </w:rPr>
        <w:fldChar w:fldCharType="end"/>
      </w:r>
      <w:r w:rsidRPr="002552EA">
        <w:rPr>
          <w:rFonts w:cstheme="minorHAnsi"/>
          <w:sz w:val="20"/>
          <w:szCs w:val="20"/>
        </w:rPr>
        <w:t xml:space="preserve">and accompanying text for discussion of how bankruptcy courts interpret the language of § 1129(a)(15).  </w:t>
      </w:r>
    </w:p>
  </w:footnote>
  <w:footnote w:id="83">
    <w:p w14:paraId="1A87D62E" w14:textId="4637573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Id. </w:t>
      </w:r>
      <w:r w:rsidRPr="002552EA">
        <w:rPr>
          <w:rFonts w:cstheme="minorHAnsi"/>
          <w:sz w:val="20"/>
          <w:szCs w:val="20"/>
        </w:rPr>
        <w:t xml:space="preserve">§ 1112(a)(2) (2012).  A chapter 13 debtor, in contrast, may convert to chapter 7 “at any time.”  </w:t>
      </w:r>
      <w:r w:rsidRPr="002552EA">
        <w:rPr>
          <w:rFonts w:cstheme="minorHAnsi"/>
          <w:i/>
          <w:sz w:val="20"/>
          <w:szCs w:val="20"/>
        </w:rPr>
        <w:t xml:space="preserve">Id. </w:t>
      </w:r>
      <w:r w:rsidRPr="002552EA">
        <w:rPr>
          <w:rFonts w:cstheme="minorHAnsi"/>
          <w:sz w:val="20"/>
          <w:szCs w:val="20"/>
        </w:rPr>
        <w:t xml:space="preserve"> § 1307(a).</w:t>
      </w:r>
    </w:p>
  </w:footnote>
  <w:footnote w:id="84">
    <w:p w14:paraId="68307428" w14:textId="57FB24F1"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Id. </w:t>
      </w:r>
      <w:r w:rsidRPr="002552EA">
        <w:rPr>
          <w:rFonts w:cstheme="minorHAnsi"/>
          <w:sz w:val="20"/>
          <w:szCs w:val="20"/>
        </w:rPr>
        <w:t xml:space="preserve"> § 1129(a)(15)(B). A chapter 13 plan may be no longer than five years.  </w:t>
      </w:r>
      <w:r w:rsidRPr="002552EA">
        <w:rPr>
          <w:rFonts w:cstheme="minorHAnsi"/>
          <w:i/>
          <w:sz w:val="20"/>
          <w:szCs w:val="20"/>
        </w:rPr>
        <w:t xml:space="preserve">Id. </w:t>
      </w:r>
      <w:r w:rsidRPr="002552EA">
        <w:rPr>
          <w:rFonts w:cstheme="minorHAnsi"/>
          <w:sz w:val="20"/>
          <w:szCs w:val="20"/>
        </w:rPr>
        <w:t xml:space="preserve"> § 1322(d)(1).</w:t>
      </w:r>
    </w:p>
  </w:footnote>
  <w:footnote w:id="85">
    <w:p w14:paraId="25E50D62" w14:textId="0EF45BC9"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Id. </w:t>
      </w:r>
      <w:r w:rsidRPr="002552EA">
        <w:rPr>
          <w:rFonts w:cstheme="minorHAnsi"/>
          <w:sz w:val="20"/>
          <w:szCs w:val="20"/>
        </w:rPr>
        <w:t xml:space="preserve"> § 1127(e)(2).  </w:t>
      </w:r>
    </w:p>
  </w:footnote>
  <w:footnote w:id="86">
    <w:p w14:paraId="4B861494" w14:textId="2718794E"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Section 1321 states that “[t]he debtor shall file a plan.” </w:t>
      </w:r>
      <w:r w:rsidRPr="002552EA">
        <w:rPr>
          <w:rFonts w:cstheme="minorHAnsi"/>
          <w:i/>
          <w:sz w:val="20"/>
          <w:szCs w:val="20"/>
        </w:rPr>
        <w:t xml:space="preserve">Id. </w:t>
      </w:r>
      <w:r w:rsidRPr="002552EA">
        <w:rPr>
          <w:rFonts w:cstheme="minorHAnsi"/>
          <w:sz w:val="20"/>
          <w:szCs w:val="20"/>
        </w:rPr>
        <w:t xml:space="preserve">§ 1321. </w:t>
      </w:r>
    </w:p>
  </w:footnote>
  <w:footnote w:id="87">
    <w:p w14:paraId="1341BBA6" w14:textId="326A3052"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Chapter 11 permits others, besides the debtor, to propose a plan once the exclusivity period expires in </w:t>
      </w:r>
      <w:r>
        <w:rPr>
          <w:rFonts w:cstheme="minorHAnsi"/>
          <w:sz w:val="20"/>
          <w:szCs w:val="20"/>
        </w:rPr>
        <w:t>four to six</w:t>
      </w:r>
      <w:r w:rsidRPr="002552EA">
        <w:rPr>
          <w:rFonts w:cstheme="minorHAnsi"/>
          <w:sz w:val="20"/>
          <w:szCs w:val="20"/>
        </w:rPr>
        <w:t xml:space="preserve"> months after the date of filing. 11 U.S.C. § 1121(c) (2012) (terminating the exclusivity period, for a debtor who is not a small business, 120 days after the order for relief, or 180 days after such order if the plan has not been accepted by all impaired classes); </w:t>
      </w:r>
      <w:r w:rsidRPr="002552EA">
        <w:rPr>
          <w:rFonts w:cstheme="minorHAnsi"/>
          <w:i/>
          <w:sz w:val="20"/>
          <w:szCs w:val="20"/>
        </w:rPr>
        <w:t xml:space="preserve">id. </w:t>
      </w:r>
      <w:r w:rsidRPr="002552EA">
        <w:rPr>
          <w:rFonts w:cstheme="minorHAnsi"/>
          <w:sz w:val="20"/>
          <w:szCs w:val="20"/>
        </w:rPr>
        <w:t xml:space="preserve"> § 1121(e) (providing a 180-day exclusivity period for small business cases, subject to extension for cause).  </w:t>
      </w:r>
    </w:p>
  </w:footnote>
  <w:footnote w:id="88">
    <w:p w14:paraId="5BC87F7B" w14:textId="5E7978D1"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Id. </w:t>
      </w:r>
      <w:r w:rsidRPr="002552EA">
        <w:rPr>
          <w:rFonts w:cstheme="minorHAnsi"/>
          <w:sz w:val="20"/>
          <w:szCs w:val="20"/>
        </w:rPr>
        <w:t xml:space="preserve"> § 1112(b) (2012) (requiring a showing of cause). Under § 1307(b), the bankruptcy court “shall” grant dismissal of a chapter 13 case upon the debtor’s request, unless the case has been previously converted into chapter 13.</w:t>
      </w:r>
    </w:p>
  </w:footnote>
  <w:footnote w:id="89">
    <w:p w14:paraId="37C5E092" w14:textId="4AF46D25"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See, e.g</w:t>
      </w:r>
      <w:r w:rsidRPr="002552EA">
        <w:rPr>
          <w:rFonts w:cstheme="minorHAnsi"/>
          <w:sz w:val="20"/>
          <w:szCs w:val="20"/>
        </w:rPr>
        <w:t>., Robert J. Keach, </w:t>
      </w:r>
      <w:r w:rsidRPr="002552EA">
        <w:rPr>
          <w:rFonts w:cstheme="minorHAnsi"/>
          <w:i/>
          <w:sz w:val="20"/>
          <w:szCs w:val="20"/>
        </w:rPr>
        <w:t>Dead Man Filing Redux:  Is the New Individual Chapter Eleven Unconstitutional?</w:t>
      </w:r>
      <w:r w:rsidRPr="002552EA">
        <w:rPr>
          <w:rFonts w:cstheme="minorHAnsi"/>
          <w:sz w:val="20"/>
          <w:szCs w:val="20"/>
        </w:rPr>
        <w:t xml:space="preserve">, 13 </w:t>
      </w:r>
      <w:r w:rsidRPr="002552EA">
        <w:rPr>
          <w:rFonts w:cstheme="minorHAnsi"/>
          <w:smallCaps/>
          <w:sz w:val="20"/>
          <w:szCs w:val="20"/>
        </w:rPr>
        <w:t>Am. Bankr. Inst. L. Rev</w:t>
      </w:r>
      <w:r w:rsidRPr="002552EA">
        <w:rPr>
          <w:rFonts w:cstheme="minorHAnsi"/>
          <w:sz w:val="20"/>
          <w:szCs w:val="20"/>
        </w:rPr>
        <w:t xml:space="preserve">. 483 (2005); G. Eric Brunstad Jr., </w:t>
      </w:r>
      <w:r w:rsidRPr="002552EA">
        <w:rPr>
          <w:rFonts w:cstheme="minorHAnsi"/>
          <w:i/>
          <w:sz w:val="20"/>
          <w:szCs w:val="20"/>
        </w:rPr>
        <w:t>The Inapplicability of “Means Testing” to Cases Converted to Chapter 7</w:t>
      </w:r>
      <w:r w:rsidRPr="002552EA">
        <w:rPr>
          <w:rFonts w:cstheme="minorHAnsi"/>
          <w:sz w:val="20"/>
          <w:szCs w:val="20"/>
        </w:rPr>
        <w:t xml:space="preserve">, </w:t>
      </w:r>
      <w:r w:rsidRPr="002552EA">
        <w:rPr>
          <w:rFonts w:cstheme="minorHAnsi"/>
          <w:smallCaps/>
          <w:sz w:val="20"/>
          <w:szCs w:val="20"/>
        </w:rPr>
        <w:t>Am. Bankr. Inst. J</w:t>
      </w:r>
      <w:r w:rsidRPr="002552EA">
        <w:rPr>
          <w:rFonts w:cstheme="minorHAnsi"/>
          <w:sz w:val="20"/>
          <w:szCs w:val="20"/>
        </w:rPr>
        <w:t>., 1, 60 (Nov. 2005).</w:t>
      </w:r>
    </w:p>
  </w:footnote>
  <w:footnote w:id="90">
    <w:p w14:paraId="0AF52850" w14:textId="4BBEAB24" w:rsidR="00560FBA" w:rsidRPr="002552EA" w:rsidRDefault="00560FB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 xml:space="preserve">Howard,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_Ref276019938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80</w:t>
      </w:r>
      <w:r w:rsidRPr="002552EA">
        <w:rPr>
          <w:rFonts w:cstheme="minorHAnsi"/>
          <w:sz w:val="20"/>
          <w:szCs w:val="20"/>
        </w:rPr>
        <w:fldChar w:fldCharType="end"/>
      </w:r>
      <w:r w:rsidRPr="002552EA">
        <w:rPr>
          <w:rFonts w:cstheme="minorHAnsi"/>
          <w:sz w:val="20"/>
          <w:szCs w:val="20"/>
        </w:rPr>
        <w:t>.</w:t>
      </w:r>
    </w:p>
  </w:footnote>
  <w:footnote w:id="91">
    <w:p w14:paraId="35E9627C" w14:textId="6C7EBAC5" w:rsidR="00560FBA" w:rsidRPr="002552EA" w:rsidRDefault="00560FBA" w:rsidP="003A2CA1">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 total number of filings in our sample varies from question to question due to some cases with omitted fields. </w:t>
      </w:r>
    </w:p>
  </w:footnote>
  <w:footnote w:id="92">
    <w:p w14:paraId="13FEFD9F" w14:textId="6CB868EE"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 xml:space="preserve">Ex Parte Motion to Dismiss for Filing by Mistake, </w:t>
      </w:r>
      <w:r w:rsidRPr="002552EA">
        <w:rPr>
          <w:rFonts w:cstheme="minorHAnsi"/>
          <w:i/>
          <w:sz w:val="20"/>
          <w:szCs w:val="20"/>
        </w:rPr>
        <w:t xml:space="preserve">In re </w:t>
      </w:r>
      <w:r w:rsidRPr="005304F0">
        <w:rPr>
          <w:rFonts w:cstheme="minorHAnsi"/>
          <w:sz w:val="20"/>
          <w:szCs w:val="20"/>
        </w:rPr>
        <w:t>Jimenez</w:t>
      </w:r>
      <w:r w:rsidRPr="002552EA">
        <w:rPr>
          <w:rFonts w:cstheme="minorHAnsi"/>
          <w:i/>
          <w:sz w:val="20"/>
          <w:szCs w:val="20"/>
        </w:rPr>
        <w:t xml:space="preserve">, </w:t>
      </w:r>
      <w:r w:rsidRPr="002552EA">
        <w:rPr>
          <w:rFonts w:cstheme="minorHAnsi"/>
          <w:sz w:val="20"/>
          <w:szCs w:val="20"/>
        </w:rPr>
        <w:t>No. 10-18064, at ¶</w:t>
      </w:r>
      <w:r>
        <w:rPr>
          <w:rFonts w:cstheme="minorHAnsi"/>
          <w:sz w:val="20"/>
          <w:szCs w:val="20"/>
        </w:rPr>
        <w:t> </w:t>
      </w:r>
      <w:r w:rsidRPr="002552EA">
        <w:rPr>
          <w:rFonts w:cstheme="minorHAnsi"/>
          <w:sz w:val="20"/>
          <w:szCs w:val="20"/>
        </w:rPr>
        <w:t xml:space="preserve">1 (Bankr. Cal. S.D. Oct. 14, 2010) (Dkt. #3) (stating that involuntary petition was filed by mistake and that debtor “intended to file a Voluntary Petition”); Sua Sponte Order Dismissing Petition, </w:t>
      </w:r>
      <w:r w:rsidRPr="002552EA">
        <w:rPr>
          <w:rFonts w:cstheme="minorHAnsi"/>
          <w:i/>
          <w:sz w:val="20"/>
          <w:szCs w:val="20"/>
        </w:rPr>
        <w:t xml:space="preserve">In re </w:t>
      </w:r>
      <w:r w:rsidRPr="002F13CF">
        <w:rPr>
          <w:rFonts w:cstheme="minorHAnsi"/>
          <w:sz w:val="20"/>
          <w:szCs w:val="20"/>
        </w:rPr>
        <w:t>Pease</w:t>
      </w:r>
      <w:r w:rsidRPr="002552EA">
        <w:rPr>
          <w:rFonts w:cstheme="minorHAnsi"/>
          <w:i/>
          <w:sz w:val="20"/>
          <w:szCs w:val="20"/>
        </w:rPr>
        <w:t xml:space="preserve">, </w:t>
      </w:r>
      <w:r w:rsidRPr="002552EA">
        <w:rPr>
          <w:rFonts w:cstheme="minorHAnsi"/>
          <w:sz w:val="20"/>
          <w:szCs w:val="20"/>
        </w:rPr>
        <w:t>No. 10-50799, at 2-3 (Bankr. W.D. Tex. March 2, 2010) (Dkt. #2) (explaining that case was “not truly an involuntary case at all” with debtor as the “‘only petitioning creditor’”).</w:t>
      </w:r>
    </w:p>
  </w:footnote>
  <w:footnote w:id="93">
    <w:p w14:paraId="614BC614" w14:textId="0FD9677F"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 re </w:t>
      </w:r>
      <w:r w:rsidRPr="002F13CF">
        <w:rPr>
          <w:rFonts w:cstheme="minorHAnsi"/>
          <w:sz w:val="20"/>
          <w:szCs w:val="20"/>
        </w:rPr>
        <w:t>Weinberg</w:t>
      </w:r>
      <w:r w:rsidRPr="002552EA">
        <w:rPr>
          <w:rFonts w:cstheme="minorHAnsi"/>
          <w:i/>
          <w:sz w:val="20"/>
          <w:szCs w:val="20"/>
        </w:rPr>
        <w:t xml:space="preserve">, </w:t>
      </w:r>
      <w:r w:rsidRPr="002552EA">
        <w:rPr>
          <w:rFonts w:cstheme="minorHAnsi"/>
          <w:sz w:val="20"/>
          <w:szCs w:val="20"/>
        </w:rPr>
        <w:t>No. 10-12836 (Bankr. C.D. Cal. Feb. 22, 2010) (this case transferred intra-district; original case number 10-16229 filed in the Los Angeles division).</w:t>
      </w:r>
    </w:p>
  </w:footnote>
  <w:footnote w:id="94">
    <w:p w14:paraId="6CF0A533" w14:textId="799E5F07" w:rsidR="00560FBA" w:rsidRPr="002552EA" w:rsidRDefault="00560FBA" w:rsidP="00106D9A">
      <w:pPr>
        <w:pStyle w:val="FootnoteText"/>
        <w:rPr>
          <w:rFonts w:cstheme="minorHAnsi"/>
          <w:i/>
          <w:sz w:val="20"/>
          <w:szCs w:val="20"/>
        </w:rPr>
      </w:pPr>
      <w:r w:rsidRPr="002552EA">
        <w:rPr>
          <w:rStyle w:val="FootnoteReference"/>
          <w:rFonts w:cstheme="minorHAnsi"/>
          <w:sz w:val="20"/>
          <w:szCs w:val="20"/>
        </w:rPr>
        <w:footnoteRef/>
      </w:r>
      <w:r w:rsidRPr="002552EA">
        <w:rPr>
          <w:rFonts w:cstheme="minorHAnsi"/>
          <w:sz w:val="20"/>
          <w:szCs w:val="20"/>
        </w:rPr>
        <w:t xml:space="preserve"> Five of the six involuntary individual chapter 7 cases filed in 2010 and 2013 were converted to chapter 11 on the debtor’s motion.  In the sixth, the bankruptcy court ordered substantive consolidation with the individual debtor’s voluntary chapter 11 case and, on its own motion, converted the case to chapter 11. </w:t>
      </w:r>
      <w:r w:rsidRPr="002552EA">
        <w:rPr>
          <w:rFonts w:cstheme="minorHAnsi"/>
          <w:i/>
          <w:sz w:val="20"/>
          <w:szCs w:val="20"/>
        </w:rPr>
        <w:t xml:space="preserve">See </w:t>
      </w:r>
      <w:r w:rsidRPr="002552EA">
        <w:rPr>
          <w:rFonts w:cstheme="minorHAnsi"/>
          <w:sz w:val="20"/>
          <w:szCs w:val="20"/>
        </w:rPr>
        <w:t xml:space="preserve">discussion of </w:t>
      </w:r>
      <w:r w:rsidRPr="002552EA">
        <w:rPr>
          <w:rFonts w:cstheme="minorHAnsi"/>
          <w:i/>
          <w:sz w:val="20"/>
          <w:szCs w:val="20"/>
        </w:rPr>
        <w:t xml:space="preserve">In re </w:t>
      </w:r>
      <w:r w:rsidRPr="002F13CF">
        <w:rPr>
          <w:rFonts w:cstheme="minorHAnsi"/>
          <w:sz w:val="20"/>
          <w:szCs w:val="20"/>
        </w:rPr>
        <w:t>Munson</w:t>
      </w:r>
      <w:r w:rsidRPr="002552EA">
        <w:rPr>
          <w:rFonts w:cstheme="minorHAnsi"/>
          <w:i/>
          <w:sz w:val="20"/>
          <w:szCs w:val="20"/>
        </w:rPr>
        <w:t xml:space="preserve"> infra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_Ref333839339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103</w:t>
      </w:r>
      <w:r w:rsidRPr="002552EA">
        <w:rPr>
          <w:rFonts w:cstheme="minorHAnsi"/>
          <w:sz w:val="20"/>
          <w:szCs w:val="20"/>
        </w:rPr>
        <w:fldChar w:fldCharType="end"/>
      </w:r>
      <w:r w:rsidRPr="002552EA">
        <w:rPr>
          <w:rFonts w:cstheme="minorHAnsi"/>
          <w:sz w:val="20"/>
          <w:szCs w:val="20"/>
        </w:rPr>
        <w:t>.</w:t>
      </w:r>
    </w:p>
  </w:footnote>
  <w:footnote w:id="95">
    <w:p w14:paraId="66FE86D1"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 xml:space="preserve">Order Entering Relief under Chapter 11 on Involuntary Petition and Directing Filing of Required Documents, </w:t>
      </w:r>
      <w:r w:rsidRPr="002552EA">
        <w:rPr>
          <w:rFonts w:cstheme="minorHAnsi"/>
          <w:i/>
          <w:sz w:val="20"/>
          <w:szCs w:val="20"/>
        </w:rPr>
        <w:t xml:space="preserve">In re </w:t>
      </w:r>
      <w:r w:rsidRPr="002F13CF">
        <w:rPr>
          <w:rFonts w:cstheme="minorHAnsi"/>
          <w:sz w:val="20"/>
          <w:szCs w:val="20"/>
        </w:rPr>
        <w:t>Ramos</w:t>
      </w:r>
      <w:r w:rsidRPr="002552EA">
        <w:rPr>
          <w:rFonts w:cstheme="minorHAnsi"/>
          <w:i/>
          <w:sz w:val="20"/>
          <w:szCs w:val="20"/>
        </w:rPr>
        <w:t xml:space="preserve">, </w:t>
      </w:r>
      <w:r w:rsidRPr="002552EA">
        <w:rPr>
          <w:rFonts w:cstheme="minorHAnsi"/>
          <w:sz w:val="20"/>
          <w:szCs w:val="20"/>
        </w:rPr>
        <w:t xml:space="preserve">No. 10-29568 (Bankr. D. Md.  Sept. 20, 2010) (Dkt. #8); Order for Relief under Chapter 11 of the Bankruptcy Code, </w:t>
      </w:r>
      <w:r w:rsidRPr="002552EA">
        <w:rPr>
          <w:rFonts w:cstheme="minorHAnsi"/>
          <w:i/>
          <w:sz w:val="20"/>
          <w:szCs w:val="20"/>
        </w:rPr>
        <w:t xml:space="preserve">In re </w:t>
      </w:r>
      <w:r w:rsidRPr="002F13CF">
        <w:rPr>
          <w:rFonts w:cstheme="minorHAnsi"/>
          <w:sz w:val="20"/>
          <w:szCs w:val="20"/>
        </w:rPr>
        <w:t>Pettit</w:t>
      </w:r>
      <w:r w:rsidRPr="002552EA">
        <w:rPr>
          <w:rFonts w:cstheme="minorHAnsi"/>
          <w:i/>
          <w:sz w:val="20"/>
          <w:szCs w:val="20"/>
        </w:rPr>
        <w:t xml:space="preserve">, </w:t>
      </w:r>
      <w:r w:rsidRPr="002552EA">
        <w:rPr>
          <w:rFonts w:cstheme="minorHAnsi"/>
          <w:sz w:val="20"/>
          <w:szCs w:val="20"/>
        </w:rPr>
        <w:t>No. 10-20901 (Bankr. D. Utah Apr. 9, 2010) (Dkt. #9).</w:t>
      </w:r>
    </w:p>
  </w:footnote>
  <w:footnote w:id="96">
    <w:p w14:paraId="3433DBBE" w14:textId="37ABA84E"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Order Dismissing Case, </w:t>
      </w:r>
      <w:r w:rsidRPr="002552EA">
        <w:rPr>
          <w:rFonts w:cstheme="minorHAnsi"/>
          <w:i/>
          <w:sz w:val="20"/>
          <w:szCs w:val="20"/>
        </w:rPr>
        <w:t xml:space="preserve">In re </w:t>
      </w:r>
      <w:r w:rsidRPr="002F13CF">
        <w:rPr>
          <w:rFonts w:cstheme="minorHAnsi"/>
          <w:sz w:val="20"/>
          <w:szCs w:val="20"/>
        </w:rPr>
        <w:t>Pettit</w:t>
      </w:r>
      <w:r w:rsidRPr="002552EA">
        <w:rPr>
          <w:rFonts w:cstheme="minorHAnsi"/>
          <w:i/>
          <w:sz w:val="20"/>
          <w:szCs w:val="20"/>
        </w:rPr>
        <w:t xml:space="preserve">, </w:t>
      </w:r>
      <w:r w:rsidRPr="002552EA">
        <w:rPr>
          <w:rFonts w:cstheme="minorHAnsi"/>
          <w:sz w:val="20"/>
          <w:szCs w:val="20"/>
        </w:rPr>
        <w:t xml:space="preserve">No. 10-20901 (Bankr. D. Utah July 26, 2010) (Dkt. #31). </w:t>
      </w:r>
    </w:p>
  </w:footnote>
  <w:footnote w:id="97">
    <w:p w14:paraId="0715D66C" w14:textId="10CB2C22"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Order Providing for Joint Administration of Cases, No. 10-29070 (Bankr. D. Md. Oct. 14, 2010 (Dkt. #42) (order docketed in lead case).</w:t>
      </w:r>
    </w:p>
  </w:footnote>
  <w:footnote w:id="98">
    <w:p w14:paraId="2E8826F9" w14:textId="2F38F8C0"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Order Converting Case to Chapter 7, </w:t>
      </w:r>
      <w:r w:rsidRPr="002552EA">
        <w:rPr>
          <w:rFonts w:cstheme="minorHAnsi"/>
          <w:i/>
          <w:sz w:val="20"/>
          <w:szCs w:val="20"/>
        </w:rPr>
        <w:t xml:space="preserve">In re </w:t>
      </w:r>
      <w:r w:rsidRPr="002F13CF">
        <w:rPr>
          <w:rFonts w:cstheme="minorHAnsi"/>
          <w:sz w:val="20"/>
          <w:szCs w:val="20"/>
        </w:rPr>
        <w:t>Ramos</w:t>
      </w:r>
      <w:r w:rsidRPr="002552EA">
        <w:rPr>
          <w:rFonts w:cstheme="minorHAnsi"/>
          <w:i/>
          <w:sz w:val="20"/>
          <w:szCs w:val="20"/>
        </w:rPr>
        <w:t xml:space="preserve">, </w:t>
      </w:r>
      <w:r w:rsidRPr="002552EA">
        <w:rPr>
          <w:rFonts w:cstheme="minorHAnsi"/>
          <w:sz w:val="20"/>
          <w:szCs w:val="20"/>
        </w:rPr>
        <w:t>No. 10-29070 (Bankr. D. Md. Feb. 1, 2011) (Dkt. #117) (order docketed in husband’s lead case).</w:t>
      </w:r>
    </w:p>
  </w:footnote>
  <w:footnote w:id="99">
    <w:p w14:paraId="4D86F257" w14:textId="33DB272D"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 re </w:t>
      </w:r>
      <w:r w:rsidRPr="002F13CF">
        <w:rPr>
          <w:rFonts w:cstheme="minorHAnsi"/>
          <w:sz w:val="20"/>
          <w:szCs w:val="20"/>
        </w:rPr>
        <w:t>Dynatemp, Inc.,</w:t>
      </w:r>
      <w:r w:rsidRPr="002552EA">
        <w:rPr>
          <w:rFonts w:cstheme="minorHAnsi"/>
          <w:i/>
          <w:sz w:val="20"/>
          <w:szCs w:val="20"/>
        </w:rPr>
        <w:t xml:space="preserve"> </w:t>
      </w:r>
      <w:r w:rsidRPr="002552EA">
        <w:rPr>
          <w:rFonts w:cstheme="minorHAnsi"/>
          <w:sz w:val="20"/>
          <w:szCs w:val="20"/>
        </w:rPr>
        <w:t>No. 13-21960 (Bankr. D. Md. July 12, 2013) (involuntary petition filed under Chapter 7, case converted to Chapter 11, and then re-converted back to Chapter 7).</w:t>
      </w:r>
    </w:p>
  </w:footnote>
  <w:footnote w:id="100">
    <w:p w14:paraId="471CFFAB" w14:textId="779FC10E"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706(b), 1307(d) (2012).</w:t>
      </w:r>
    </w:p>
  </w:footnote>
  <w:footnote w:id="101">
    <w:p w14:paraId="19203C23" w14:textId="61C11465"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In several cases in 2010 and 2013, the debtor and the United States Trustee stipulated to conversion, typically after the United States Trustee had moved to dismiss for abuse under § 707(b)(2) and (3).  </w:t>
      </w:r>
      <w:r w:rsidRPr="002552EA">
        <w:rPr>
          <w:rFonts w:cstheme="minorHAnsi"/>
          <w:i/>
          <w:sz w:val="20"/>
          <w:szCs w:val="20"/>
        </w:rPr>
        <w:t xml:space="preserve">See, e.g., </w:t>
      </w:r>
      <w:r w:rsidRPr="002552EA">
        <w:rPr>
          <w:rFonts w:cstheme="minorHAnsi"/>
          <w:sz w:val="20"/>
          <w:szCs w:val="20"/>
        </w:rPr>
        <w:t xml:space="preserve">Stipulated Order Converting Case, </w:t>
      </w:r>
      <w:r w:rsidRPr="002552EA">
        <w:rPr>
          <w:rFonts w:cstheme="minorHAnsi"/>
          <w:i/>
          <w:sz w:val="20"/>
          <w:szCs w:val="20"/>
        </w:rPr>
        <w:t xml:space="preserve">In re </w:t>
      </w:r>
      <w:r w:rsidRPr="002F13CF">
        <w:rPr>
          <w:rFonts w:cstheme="minorHAnsi"/>
          <w:sz w:val="20"/>
          <w:szCs w:val="20"/>
        </w:rPr>
        <w:t>Sharpe</w:t>
      </w:r>
      <w:r w:rsidRPr="002552EA">
        <w:rPr>
          <w:rFonts w:cstheme="minorHAnsi"/>
          <w:i/>
          <w:sz w:val="20"/>
          <w:szCs w:val="20"/>
        </w:rPr>
        <w:t xml:space="preserve">, </w:t>
      </w:r>
      <w:r w:rsidRPr="002552EA">
        <w:rPr>
          <w:rFonts w:cstheme="minorHAnsi"/>
          <w:sz w:val="20"/>
          <w:szCs w:val="20"/>
        </w:rPr>
        <w:t xml:space="preserve">No. 13-11896 (Bankr. D. N.M. Sept. 24, 2013) (Dkt. #22) (stating that matter was before the court on the U.S. Trustee’s dismissal motion, and that the debtor and U.S. Trustee had stipulated to conversion to chapter 11); Order Approving Stipulation for Voluntary Conversion of Underlying Case to Chapter 11 under 11 U.S.C. §§ 348 and 706(a) and (c) and §707 (b)(1) In Lieu of Case Dismissal, </w:t>
      </w:r>
      <w:r w:rsidRPr="002552EA">
        <w:rPr>
          <w:rFonts w:cstheme="minorHAnsi"/>
          <w:i/>
          <w:sz w:val="20"/>
          <w:szCs w:val="20"/>
        </w:rPr>
        <w:t xml:space="preserve">In re </w:t>
      </w:r>
      <w:r w:rsidRPr="002F13CF">
        <w:rPr>
          <w:rFonts w:cstheme="minorHAnsi"/>
          <w:sz w:val="20"/>
          <w:szCs w:val="20"/>
        </w:rPr>
        <w:t>Peled</w:t>
      </w:r>
      <w:r w:rsidRPr="002552EA">
        <w:rPr>
          <w:rFonts w:cstheme="minorHAnsi"/>
          <w:i/>
          <w:sz w:val="20"/>
          <w:szCs w:val="20"/>
        </w:rPr>
        <w:t xml:space="preserve">, </w:t>
      </w:r>
      <w:r w:rsidRPr="002552EA">
        <w:rPr>
          <w:rFonts w:cstheme="minorHAnsi"/>
          <w:sz w:val="20"/>
          <w:szCs w:val="20"/>
        </w:rPr>
        <w:t>No. 10-37905 (Bankr. C.D. Cal. Nov. 17, 2010) (Dkt. #28) (stating that married debtors and United States Trustee had stipulated to a voluntary conversion to chapter 11 “in Lieu of Case Dismissal under 11 U.S.C. § 707(b)”).</w:t>
      </w:r>
    </w:p>
  </w:footnote>
  <w:footnote w:id="102">
    <w:p w14:paraId="61011A29" w14:textId="2176EECC"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 xml:space="preserve">Order on Florida Bank’s Motion to Convert to Chapter 11 Pursuant to 11 U.S.C. § 706(b), </w:t>
      </w:r>
      <w:r w:rsidRPr="002552EA">
        <w:rPr>
          <w:rFonts w:cstheme="minorHAnsi"/>
          <w:i/>
          <w:sz w:val="20"/>
          <w:szCs w:val="20"/>
        </w:rPr>
        <w:t xml:space="preserve">In re </w:t>
      </w:r>
      <w:r w:rsidRPr="002F13CF">
        <w:rPr>
          <w:rFonts w:cstheme="minorHAnsi"/>
          <w:sz w:val="20"/>
          <w:szCs w:val="20"/>
        </w:rPr>
        <w:t>Baker</w:t>
      </w:r>
      <w:r w:rsidRPr="002552EA">
        <w:rPr>
          <w:rFonts w:cstheme="minorHAnsi"/>
          <w:i/>
          <w:sz w:val="20"/>
          <w:szCs w:val="20"/>
        </w:rPr>
        <w:t xml:space="preserve">, </w:t>
      </w:r>
      <w:r w:rsidRPr="002552EA">
        <w:rPr>
          <w:rFonts w:cstheme="minorHAnsi"/>
          <w:sz w:val="20"/>
          <w:szCs w:val="20"/>
        </w:rPr>
        <w:t xml:space="preserve">No. 13-00296 (Bankr. M.D. Fla. Dec. 10, 2013) (Dkt. #83) (stating that conversion to chapter 11 would benefit both the debtor and her creditors, even though debtor opposed conversion and was eligible for relief under chapter 7); Civil Minute Order, </w:t>
      </w:r>
      <w:r w:rsidRPr="002552EA">
        <w:rPr>
          <w:rFonts w:cstheme="minorHAnsi"/>
          <w:i/>
          <w:sz w:val="20"/>
          <w:szCs w:val="20"/>
        </w:rPr>
        <w:t xml:space="preserve">In re </w:t>
      </w:r>
      <w:r w:rsidRPr="002F13CF">
        <w:rPr>
          <w:rFonts w:cstheme="minorHAnsi"/>
          <w:sz w:val="20"/>
          <w:szCs w:val="20"/>
        </w:rPr>
        <w:t>Moya</w:t>
      </w:r>
      <w:r w:rsidRPr="002552EA">
        <w:rPr>
          <w:rFonts w:cstheme="minorHAnsi"/>
          <w:i/>
          <w:sz w:val="20"/>
          <w:szCs w:val="20"/>
        </w:rPr>
        <w:t xml:space="preserve">, </w:t>
      </w:r>
      <w:r w:rsidRPr="002552EA">
        <w:rPr>
          <w:rFonts w:cstheme="minorHAnsi"/>
          <w:sz w:val="20"/>
          <w:szCs w:val="20"/>
        </w:rPr>
        <w:t xml:space="preserve">No. 10-53532 ((Bankr. E.D. Cal. May 4, 2011) (Dkt. #42) (converting case upon motion of United States Trustee to dismiss or, in the alternative, convert debtors’ chapter 7 case over debtors’ objection to dismissal). Two cases in 2010 that appeared, at first, to be involuntary conversions turned out, upon closer examination, not to be involuntary conversions at all. One case was a mistaken chapter 7 filing; the debtor had intended to file for relief under chapter 11. </w:t>
      </w:r>
      <w:r w:rsidRPr="002552EA">
        <w:rPr>
          <w:rFonts w:cstheme="minorHAnsi"/>
          <w:i/>
          <w:sz w:val="20"/>
          <w:szCs w:val="20"/>
        </w:rPr>
        <w:t xml:space="preserve">See </w:t>
      </w:r>
      <w:r w:rsidRPr="002552EA">
        <w:rPr>
          <w:rFonts w:cstheme="minorHAnsi"/>
          <w:sz w:val="20"/>
          <w:szCs w:val="20"/>
        </w:rPr>
        <w:t xml:space="preserve">Stipulation and Order Consenting to Conversion of this Chapter 7 Case to One under Chapter 11 of the Bankruptcy Code, </w:t>
      </w:r>
      <w:r w:rsidRPr="002552EA">
        <w:rPr>
          <w:rFonts w:cstheme="minorHAnsi"/>
          <w:i/>
          <w:sz w:val="20"/>
          <w:szCs w:val="20"/>
        </w:rPr>
        <w:t xml:space="preserve">In re </w:t>
      </w:r>
      <w:r w:rsidRPr="002F13CF">
        <w:rPr>
          <w:rFonts w:cstheme="minorHAnsi"/>
          <w:sz w:val="20"/>
          <w:szCs w:val="20"/>
        </w:rPr>
        <w:t>Cresci</w:t>
      </w:r>
      <w:r w:rsidRPr="002552EA">
        <w:rPr>
          <w:rFonts w:cstheme="minorHAnsi"/>
          <w:i/>
          <w:sz w:val="20"/>
          <w:szCs w:val="20"/>
        </w:rPr>
        <w:t xml:space="preserve">, </w:t>
      </w:r>
      <w:r w:rsidRPr="002552EA">
        <w:rPr>
          <w:rFonts w:cstheme="minorHAnsi"/>
          <w:sz w:val="20"/>
          <w:szCs w:val="20"/>
        </w:rPr>
        <w:t xml:space="preserve">No. 10-15107 (Bankr. S.D. N.Y.  Oct. 1, 2010) (Dkt. #6) (stating that debtor had “intended to file a voluntary individual Chapter 11 petition”). In the other case, the debtor’s creditors filed an involuntary chapter 7 petition against him in October of 2010.  </w:t>
      </w:r>
      <w:r w:rsidRPr="002552EA">
        <w:rPr>
          <w:rFonts w:cstheme="minorHAnsi"/>
          <w:i/>
          <w:sz w:val="20"/>
          <w:szCs w:val="20"/>
        </w:rPr>
        <w:t xml:space="preserve">See </w:t>
      </w:r>
      <w:r w:rsidRPr="002552EA">
        <w:rPr>
          <w:rFonts w:cstheme="minorHAnsi"/>
          <w:sz w:val="20"/>
          <w:szCs w:val="20"/>
        </w:rPr>
        <w:t xml:space="preserve">Involuntary Chapter 7 Petition, </w:t>
      </w:r>
      <w:r w:rsidRPr="002552EA">
        <w:rPr>
          <w:rFonts w:cstheme="minorHAnsi"/>
          <w:i/>
          <w:sz w:val="20"/>
          <w:szCs w:val="20"/>
        </w:rPr>
        <w:t xml:space="preserve">In re </w:t>
      </w:r>
      <w:r w:rsidRPr="002F13CF">
        <w:rPr>
          <w:rFonts w:cstheme="minorHAnsi"/>
          <w:sz w:val="20"/>
          <w:szCs w:val="20"/>
        </w:rPr>
        <w:t>Munson</w:t>
      </w:r>
      <w:r w:rsidRPr="002552EA">
        <w:rPr>
          <w:rFonts w:cstheme="minorHAnsi"/>
          <w:i/>
          <w:sz w:val="20"/>
          <w:szCs w:val="20"/>
        </w:rPr>
        <w:t xml:space="preserve">, </w:t>
      </w:r>
      <w:r w:rsidRPr="002552EA">
        <w:rPr>
          <w:rFonts w:cstheme="minorHAnsi"/>
          <w:sz w:val="20"/>
          <w:szCs w:val="20"/>
        </w:rPr>
        <w:t xml:space="preserve">No. 10-39795 (Bankr. D. Ore. Oct. 14, 2010) (Dkt. #1).  In early January of 2011, the debtor filed his own voluntary chapter 11 petition. </w:t>
      </w:r>
      <w:r w:rsidRPr="002552EA">
        <w:rPr>
          <w:rFonts w:cstheme="minorHAnsi"/>
          <w:i/>
          <w:sz w:val="20"/>
          <w:szCs w:val="20"/>
        </w:rPr>
        <w:t xml:space="preserve">See </w:t>
      </w:r>
      <w:r w:rsidRPr="002552EA">
        <w:rPr>
          <w:rFonts w:cstheme="minorHAnsi"/>
          <w:sz w:val="20"/>
          <w:szCs w:val="20"/>
        </w:rPr>
        <w:t xml:space="preserve">Chapter 11 Voluntary Petition, </w:t>
      </w:r>
      <w:r w:rsidRPr="002552EA">
        <w:rPr>
          <w:rFonts w:cstheme="minorHAnsi"/>
          <w:i/>
          <w:sz w:val="20"/>
          <w:szCs w:val="20"/>
        </w:rPr>
        <w:t xml:space="preserve">In re </w:t>
      </w:r>
      <w:r w:rsidRPr="002F13CF">
        <w:rPr>
          <w:rFonts w:cstheme="minorHAnsi"/>
          <w:sz w:val="20"/>
          <w:szCs w:val="20"/>
        </w:rPr>
        <w:t>Munson</w:t>
      </w:r>
      <w:r w:rsidRPr="002552EA">
        <w:rPr>
          <w:rFonts w:cstheme="minorHAnsi"/>
          <w:i/>
          <w:sz w:val="20"/>
          <w:szCs w:val="20"/>
        </w:rPr>
        <w:t xml:space="preserve">, </w:t>
      </w:r>
      <w:r w:rsidRPr="002552EA">
        <w:rPr>
          <w:rFonts w:cstheme="minorHAnsi"/>
          <w:sz w:val="20"/>
          <w:szCs w:val="20"/>
        </w:rPr>
        <w:t xml:space="preserve">No. 11-30811 (Bankr. D. Ore. Jan. 20, 2011) (Dkt. #1).  On January 26, 2011, the bankruptcy court (1) granted an order for relief in the involuntary chapter 7 case; (2) substantively consolidated the two cases, deeming the involuntary chapter 7 petition date as the start of the bankruptcy case; and (3) appointed an examiner. </w:t>
      </w:r>
      <w:r w:rsidRPr="002552EA">
        <w:rPr>
          <w:rFonts w:cstheme="minorHAnsi"/>
          <w:i/>
          <w:sz w:val="20"/>
          <w:szCs w:val="20"/>
        </w:rPr>
        <w:t xml:space="preserve">See </w:t>
      </w:r>
      <w:r w:rsidRPr="002552EA">
        <w:rPr>
          <w:rFonts w:cstheme="minorHAnsi"/>
          <w:sz w:val="20"/>
          <w:szCs w:val="20"/>
        </w:rPr>
        <w:t xml:space="preserve">Order for Relief; Order Consolidating Cases; Order Directing Appointment of Examiner, </w:t>
      </w:r>
      <w:r w:rsidRPr="002552EA">
        <w:rPr>
          <w:rFonts w:cstheme="minorHAnsi"/>
          <w:i/>
          <w:sz w:val="20"/>
          <w:szCs w:val="20"/>
        </w:rPr>
        <w:t xml:space="preserve">In re </w:t>
      </w:r>
      <w:r w:rsidRPr="00A42155">
        <w:rPr>
          <w:rFonts w:cstheme="minorHAnsi"/>
          <w:sz w:val="20"/>
          <w:szCs w:val="20"/>
        </w:rPr>
        <w:t>Munson</w:t>
      </w:r>
      <w:r w:rsidRPr="002552EA">
        <w:rPr>
          <w:rFonts w:cstheme="minorHAnsi"/>
          <w:i/>
          <w:sz w:val="20"/>
          <w:szCs w:val="20"/>
        </w:rPr>
        <w:t xml:space="preserve">, </w:t>
      </w:r>
      <w:r w:rsidRPr="002552EA">
        <w:rPr>
          <w:rFonts w:cstheme="minorHAnsi"/>
          <w:sz w:val="20"/>
          <w:szCs w:val="20"/>
        </w:rPr>
        <w:t>No. 10-39795 (Bankr. D. Ore. Jan. 26, 2011) (Dkt. #85).</w:t>
      </w:r>
    </w:p>
  </w:footnote>
  <w:footnote w:id="103">
    <w:p w14:paraId="7BC2FB3F" w14:textId="079F31FC"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 xml:space="preserve">Civil Minute Order, </w:t>
      </w:r>
      <w:r w:rsidRPr="002552EA">
        <w:rPr>
          <w:rFonts w:cstheme="minorHAnsi"/>
          <w:i/>
          <w:sz w:val="20"/>
          <w:szCs w:val="20"/>
        </w:rPr>
        <w:t xml:space="preserve">In re Moya, </w:t>
      </w:r>
      <w:r w:rsidRPr="002552EA">
        <w:rPr>
          <w:rFonts w:cstheme="minorHAnsi"/>
          <w:sz w:val="20"/>
          <w:szCs w:val="20"/>
        </w:rPr>
        <w:t>No. 10-53532 (Bankr. E.D. Cal. July 6, 2011) (Dkt. #57) (entered two months after order converting case from Chapter 7 to 11).</w:t>
      </w:r>
    </w:p>
  </w:footnote>
  <w:footnote w:id="104">
    <w:p w14:paraId="36144CBD" w14:textId="08A80EB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 xml:space="preserve">Debtor’s Plan of Reorganization, </w:t>
      </w:r>
      <w:r w:rsidRPr="002552EA">
        <w:rPr>
          <w:rFonts w:cstheme="minorHAnsi"/>
          <w:i/>
          <w:sz w:val="20"/>
          <w:szCs w:val="20"/>
        </w:rPr>
        <w:t xml:space="preserve">In re </w:t>
      </w:r>
      <w:r w:rsidRPr="00A42155">
        <w:rPr>
          <w:rFonts w:cstheme="minorHAnsi"/>
          <w:sz w:val="20"/>
          <w:szCs w:val="20"/>
        </w:rPr>
        <w:t>Baker</w:t>
      </w:r>
      <w:r w:rsidRPr="002552EA">
        <w:rPr>
          <w:rFonts w:cstheme="minorHAnsi"/>
          <w:i/>
          <w:sz w:val="20"/>
          <w:szCs w:val="20"/>
        </w:rPr>
        <w:t xml:space="preserve">, </w:t>
      </w:r>
      <w:r w:rsidRPr="002552EA">
        <w:rPr>
          <w:rFonts w:cstheme="minorHAnsi"/>
          <w:sz w:val="20"/>
          <w:szCs w:val="20"/>
        </w:rPr>
        <w:t>No. 13-00296 (Bankr. M.D. Fla. June 24, 2016) (Dkt. #252).</w:t>
      </w:r>
    </w:p>
  </w:footnote>
  <w:footnote w:id="105">
    <w:p w14:paraId="70A8D588" w14:textId="4B3A79A6"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One individual debtor shows up twice in our 2013 sample, because two of his 2013 chapter 11 filings were pulled as part of the random sample. </w:t>
      </w:r>
      <w:r w:rsidRPr="002552EA">
        <w:rPr>
          <w:rFonts w:cstheme="minorHAnsi"/>
          <w:i/>
          <w:sz w:val="20"/>
          <w:szCs w:val="20"/>
        </w:rPr>
        <w:t xml:space="preserve">See In re </w:t>
      </w:r>
      <w:r w:rsidRPr="00A42155">
        <w:rPr>
          <w:rFonts w:cstheme="minorHAnsi"/>
          <w:sz w:val="20"/>
          <w:szCs w:val="20"/>
        </w:rPr>
        <w:t>Burr</w:t>
      </w:r>
      <w:r w:rsidRPr="002552EA">
        <w:rPr>
          <w:rFonts w:cstheme="minorHAnsi"/>
          <w:i/>
          <w:sz w:val="20"/>
          <w:szCs w:val="20"/>
        </w:rPr>
        <w:t xml:space="preserve">, </w:t>
      </w:r>
      <w:r w:rsidRPr="002552EA">
        <w:rPr>
          <w:rFonts w:cstheme="minorHAnsi"/>
          <w:sz w:val="20"/>
          <w:szCs w:val="20"/>
        </w:rPr>
        <w:t xml:space="preserve">No. 13-21050 (Bankr. E.D. Penn. Dec. 27, 2013); </w:t>
      </w:r>
      <w:r w:rsidRPr="002552EA">
        <w:rPr>
          <w:rFonts w:cstheme="minorHAnsi"/>
          <w:i/>
          <w:sz w:val="20"/>
          <w:szCs w:val="20"/>
        </w:rPr>
        <w:t xml:space="preserve">In re </w:t>
      </w:r>
      <w:r w:rsidRPr="00A42155">
        <w:rPr>
          <w:rFonts w:cstheme="minorHAnsi"/>
          <w:sz w:val="20"/>
          <w:szCs w:val="20"/>
        </w:rPr>
        <w:t>Burr</w:t>
      </w:r>
      <w:r w:rsidRPr="002552EA">
        <w:rPr>
          <w:rFonts w:cstheme="minorHAnsi"/>
          <w:i/>
          <w:sz w:val="20"/>
          <w:szCs w:val="20"/>
        </w:rPr>
        <w:t xml:space="preserve">, </w:t>
      </w:r>
      <w:r w:rsidRPr="002552EA">
        <w:rPr>
          <w:rFonts w:cstheme="minorHAnsi"/>
          <w:sz w:val="20"/>
          <w:szCs w:val="20"/>
        </w:rPr>
        <w:t xml:space="preserve">No. 13-20330 (Bankr. E.D. Penn. Nov. 27, 2013). The debtor had filed a chapter 13 case earlier in 2013, but the bankruptcy court dismissed that case in late October, because debtor’s unsecured liabilities exceeded the chapter 13 debt limits. </w:t>
      </w:r>
      <w:r w:rsidRPr="002552EA">
        <w:rPr>
          <w:rFonts w:cstheme="minorHAnsi"/>
          <w:i/>
          <w:sz w:val="20"/>
          <w:szCs w:val="20"/>
        </w:rPr>
        <w:t xml:space="preserve">See </w:t>
      </w:r>
      <w:r w:rsidRPr="002552EA">
        <w:rPr>
          <w:rFonts w:cstheme="minorHAnsi"/>
          <w:sz w:val="20"/>
          <w:szCs w:val="20"/>
        </w:rPr>
        <w:t xml:space="preserve">Order Dismissing Case, </w:t>
      </w:r>
      <w:r w:rsidRPr="002552EA">
        <w:rPr>
          <w:rFonts w:cstheme="minorHAnsi"/>
          <w:i/>
          <w:sz w:val="20"/>
          <w:szCs w:val="20"/>
        </w:rPr>
        <w:t xml:space="preserve">In re </w:t>
      </w:r>
      <w:r w:rsidRPr="00A42155">
        <w:rPr>
          <w:rFonts w:cstheme="minorHAnsi"/>
          <w:sz w:val="20"/>
          <w:szCs w:val="20"/>
        </w:rPr>
        <w:t>Burr</w:t>
      </w:r>
      <w:r w:rsidRPr="002552EA">
        <w:rPr>
          <w:rFonts w:cstheme="minorHAnsi"/>
          <w:i/>
          <w:sz w:val="20"/>
          <w:szCs w:val="20"/>
        </w:rPr>
        <w:t xml:space="preserve">, </w:t>
      </w:r>
      <w:r w:rsidRPr="002552EA">
        <w:rPr>
          <w:rFonts w:cstheme="minorHAnsi"/>
          <w:sz w:val="20"/>
          <w:szCs w:val="20"/>
        </w:rPr>
        <w:t xml:space="preserve">No. 13-10992 (Bankr. E.D. Penn. Oct. 24, 2013) (Docket No. 66) (granting creditor motion to dismiss, which was based on chapter 13 debt limits). The debtor filed the first of his two chapter 11 cases approximately one month later.  </w:t>
      </w:r>
    </w:p>
  </w:footnote>
  <w:footnote w:id="106">
    <w:p w14:paraId="1DED5500" w14:textId="0EB2E6CA"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There were some cases in which the debtor converted into or out of chapter 11 without ever filing schedules during the course of the chapter 11 case. In these instances, we used the schedules filed closest in time to the beginning or end of the chapter 11 case. For example, if the debtor initially filed for relief under chapter 7 and filed schedules during the pendency of the chapter 7 case, but did not re-file schedules when the case converted to chapter 11, we coded the case using the last schedules filed in the chapter 7 case prior to conversion to chapter 11. If the debtor initially filed for relief under chapter 11 and the case converted to chapter 7 without the debtor filing schedules during the chapter 11 case, we used the first schedules filed after conversion to chapter 7.</w:t>
      </w:r>
    </w:p>
  </w:footnote>
  <w:footnote w:id="107">
    <w:p w14:paraId="63C9C4CD" w14:textId="0CB4CF4F"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 American Bankruptcy Institute Commission to Study the Reform of Chapter 11 recommended a number of amendments to chapter 11 for cases involving debtors that qualify as small and medium-sized enterprises (“SME”). </w:t>
      </w:r>
      <w:r w:rsidRPr="002552EA">
        <w:rPr>
          <w:rFonts w:cstheme="minorHAnsi"/>
          <w:i/>
          <w:sz w:val="20"/>
          <w:szCs w:val="20"/>
        </w:rPr>
        <w:t xml:space="preserve">See </w:t>
      </w:r>
      <w:r w:rsidRPr="002552EA">
        <w:rPr>
          <w:rFonts w:cstheme="minorHAnsi"/>
          <w:sz w:val="20"/>
          <w:szCs w:val="20"/>
        </w:rPr>
        <w:t xml:space="preserve">ABI Commission Report,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_Ref333750360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22</w:t>
      </w:r>
      <w:r w:rsidRPr="002552EA">
        <w:rPr>
          <w:rFonts w:cstheme="minorHAnsi"/>
          <w:sz w:val="20"/>
          <w:szCs w:val="20"/>
        </w:rPr>
        <w:fldChar w:fldCharType="end"/>
      </w:r>
      <w:r w:rsidRPr="002552EA">
        <w:rPr>
          <w:rFonts w:cstheme="minorHAnsi"/>
          <w:sz w:val="20"/>
          <w:szCs w:val="20"/>
        </w:rPr>
        <w:t>, at  275-302.</w:t>
      </w:r>
    </w:p>
  </w:footnote>
  <w:footnote w:id="108">
    <w:p w14:paraId="094B75C5" w14:textId="1E5E4BE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infra </w:t>
      </w:r>
      <w:r w:rsidRPr="002552EA">
        <w:rPr>
          <w:rFonts w:cstheme="minorHAnsi"/>
          <w:sz w:val="20"/>
          <w:szCs w:val="20"/>
        </w:rPr>
        <w:t xml:space="preserve">Table 47, Row (8) (showing 73 of 154 married debtors filing singly, not jointly). Spouses may file joint bankruptcy cases. Under § 302(a), “[a] joint case under a chapter of this title is commenced by the filing . . . of a single petition . . . by an individual that may be a debtor under such chapter and such individual’s spouse.” 11 U.S.C. § 302(a) (2012). Official Form 1, used for the filing of a voluntary petition, provides two boxes—one for the name of the debtor and the other for the debtor’s spouse. Other cases, if sufficiently related, may be administratively consolidated </w:t>
      </w:r>
      <w:r w:rsidRPr="002552EA">
        <w:rPr>
          <w:rFonts w:cstheme="minorHAnsi"/>
          <w:i/>
          <w:sz w:val="20"/>
          <w:szCs w:val="20"/>
        </w:rPr>
        <w:t xml:space="preserve">See </w:t>
      </w:r>
      <w:r w:rsidRPr="002552EA">
        <w:rPr>
          <w:rFonts w:cstheme="minorHAnsi"/>
          <w:smallCaps/>
          <w:sz w:val="20"/>
          <w:szCs w:val="20"/>
        </w:rPr>
        <w:t>Fed. R. Bankr. P. 1015(</w:t>
      </w:r>
      <w:r w:rsidRPr="002552EA">
        <w:rPr>
          <w:rFonts w:cstheme="minorHAnsi"/>
          <w:sz w:val="20"/>
          <w:szCs w:val="20"/>
        </w:rPr>
        <w:t>b).</w:t>
      </w:r>
    </w:p>
    <w:p w14:paraId="7DACCD10" w14:textId="3A0C287F" w:rsidR="00560FBA" w:rsidRPr="002552EA" w:rsidRDefault="00560FBA" w:rsidP="00106D9A">
      <w:pPr>
        <w:pStyle w:val="FootnoteText"/>
        <w:ind w:firstLine="720"/>
        <w:rPr>
          <w:rFonts w:cstheme="minorHAnsi"/>
          <w:sz w:val="20"/>
          <w:szCs w:val="20"/>
        </w:rPr>
      </w:pPr>
      <w:r w:rsidRPr="002552EA">
        <w:rPr>
          <w:rFonts w:cstheme="minorHAnsi"/>
          <w:sz w:val="20"/>
          <w:szCs w:val="20"/>
        </w:rPr>
        <w:t xml:space="preserve">In the recent past, courts often held same-sex couples ineligible to file jointly, even when the parties were legally married in another jurisdiction. </w:t>
      </w:r>
      <w:r w:rsidRPr="00E07673">
        <w:rPr>
          <w:rFonts w:cstheme="minorHAnsi"/>
          <w:i/>
          <w:sz w:val="20"/>
          <w:szCs w:val="20"/>
        </w:rPr>
        <w:t>See, e.g</w:t>
      </w:r>
      <w:r w:rsidRPr="002552EA">
        <w:rPr>
          <w:rFonts w:cstheme="minorHAnsi"/>
          <w:sz w:val="20"/>
          <w:szCs w:val="20"/>
        </w:rPr>
        <w:t xml:space="preserve">., </w:t>
      </w:r>
      <w:r w:rsidRPr="002552EA">
        <w:rPr>
          <w:rFonts w:cstheme="minorHAnsi"/>
          <w:i/>
          <w:sz w:val="20"/>
          <w:szCs w:val="20"/>
        </w:rPr>
        <w:t>In re</w:t>
      </w:r>
      <w:r w:rsidRPr="002552EA">
        <w:rPr>
          <w:rFonts w:cstheme="minorHAnsi"/>
          <w:sz w:val="20"/>
          <w:szCs w:val="20"/>
        </w:rPr>
        <w:t xml:space="preserve"> Kandu, 315 B.R. 123 (Bankr. W.D. Wash. 2004) (holding debtors, legally married in Canada, ineligible for joint bankruptcy petition); </w:t>
      </w:r>
      <w:r w:rsidRPr="002552EA">
        <w:rPr>
          <w:rFonts w:cstheme="minorHAnsi"/>
          <w:iCs/>
          <w:sz w:val="20"/>
          <w:szCs w:val="20"/>
        </w:rPr>
        <w:t>Bone v. Allen (</w:t>
      </w:r>
      <w:r w:rsidRPr="002552EA">
        <w:rPr>
          <w:rFonts w:cstheme="minorHAnsi"/>
          <w:i/>
          <w:iCs/>
          <w:sz w:val="20"/>
          <w:szCs w:val="20"/>
        </w:rPr>
        <w:t>In re</w:t>
      </w:r>
      <w:r w:rsidRPr="002552EA">
        <w:rPr>
          <w:rFonts w:cstheme="minorHAnsi"/>
          <w:iCs/>
          <w:sz w:val="20"/>
          <w:szCs w:val="20"/>
        </w:rPr>
        <w:t xml:space="preserve"> Allen)</w:t>
      </w:r>
      <w:r w:rsidRPr="002552EA">
        <w:rPr>
          <w:rFonts w:cstheme="minorHAnsi"/>
          <w:sz w:val="20"/>
          <w:szCs w:val="20"/>
        </w:rPr>
        <w:t xml:space="preserve">, 186 B.R. 769 (Bankr. N.D. Ga. 1995) (holding that term “spouse” as used in Bankruptcy Code does not apply to homosexual couple, but only to those legally married—a status determined under state law;  allowing 20 days to dismiss one joint debtor or suffer dismissal of entire case). </w:t>
      </w:r>
      <w:r w:rsidRPr="002552EA">
        <w:rPr>
          <w:rFonts w:cstheme="minorHAnsi"/>
          <w:i/>
          <w:sz w:val="20"/>
          <w:szCs w:val="20"/>
        </w:rPr>
        <w:t>But see</w:t>
      </w:r>
      <w:r w:rsidRPr="002552EA">
        <w:rPr>
          <w:rFonts w:cstheme="minorHAnsi"/>
          <w:sz w:val="20"/>
          <w:szCs w:val="20"/>
        </w:rPr>
        <w:t xml:space="preserve"> Rabin v. Schoenmann (</w:t>
      </w:r>
      <w:r w:rsidRPr="002552EA">
        <w:rPr>
          <w:rFonts w:cstheme="minorHAnsi"/>
          <w:i/>
          <w:sz w:val="20"/>
          <w:szCs w:val="20"/>
        </w:rPr>
        <w:t>In re</w:t>
      </w:r>
      <w:r w:rsidRPr="002552EA">
        <w:rPr>
          <w:rFonts w:cstheme="minorHAnsi"/>
          <w:sz w:val="20"/>
          <w:szCs w:val="20"/>
        </w:rPr>
        <w:t xml:space="preserve"> Rabin), 359 B.R. 242 (B.A.P. 9th Cir. 2007) (holding debtors who were registered domestic partners under California law entitled to exemption rights identical to people who are married); </w:t>
      </w:r>
      <w:r w:rsidRPr="002552EA">
        <w:rPr>
          <w:rFonts w:cstheme="minorHAnsi"/>
          <w:i/>
          <w:sz w:val="20"/>
          <w:szCs w:val="20"/>
        </w:rPr>
        <w:t>In re</w:t>
      </w:r>
      <w:r w:rsidRPr="002552EA">
        <w:rPr>
          <w:rFonts w:cstheme="minorHAnsi"/>
          <w:sz w:val="20"/>
          <w:szCs w:val="20"/>
        </w:rPr>
        <w:t xml:space="preserve"> Balas, 449 B.R. 567 (Bankr. C.D. Cal. 2011) (permitting same-sex couple to file joint bankruptcy petition).</w:t>
      </w:r>
    </w:p>
    <w:p w14:paraId="0BF5AE4B" w14:textId="798C1ECB" w:rsidR="00560FBA" w:rsidRPr="002552EA" w:rsidRDefault="00560FBA" w:rsidP="00106D9A">
      <w:pPr>
        <w:pStyle w:val="FootnoteText"/>
        <w:ind w:firstLine="720"/>
        <w:rPr>
          <w:rFonts w:cstheme="minorHAnsi"/>
          <w:sz w:val="20"/>
          <w:szCs w:val="20"/>
          <w:lang w:val="en"/>
        </w:rPr>
      </w:pPr>
      <w:r w:rsidRPr="002552EA">
        <w:rPr>
          <w:rFonts w:cstheme="minorHAnsi"/>
          <w:sz w:val="20"/>
          <w:szCs w:val="20"/>
        </w:rPr>
        <w:t xml:space="preserve">Recent Supreme Court authority has clarified the law on this issue. First, the Court in </w:t>
      </w:r>
      <w:r w:rsidRPr="002552EA">
        <w:rPr>
          <w:rFonts w:cstheme="minorHAnsi"/>
          <w:i/>
          <w:iCs/>
          <w:sz w:val="20"/>
          <w:szCs w:val="20"/>
        </w:rPr>
        <w:t>United States v. Windsor</w:t>
      </w:r>
      <w:r w:rsidRPr="002552EA">
        <w:rPr>
          <w:rFonts w:cstheme="minorHAnsi"/>
          <w:sz w:val="20"/>
          <w:szCs w:val="20"/>
        </w:rPr>
        <w:t xml:space="preserve">, 133 S. Ct. 2675 (2013), invalidated § 1 of the Defense of Marriage Act (DOMA), which defined marriage as a union of a man and a woman for purposes of federal law, holding that application of this provision to deny the benefit of a spousal estate tax exemption under federal law unconstitutionally deprived a surviving spouse of equal protection under the fifth amendment. (The Department of Justice announced that, in light of </w:t>
      </w:r>
      <w:r w:rsidRPr="002552EA">
        <w:rPr>
          <w:rFonts w:cstheme="minorHAnsi"/>
          <w:i/>
          <w:sz w:val="20"/>
          <w:szCs w:val="20"/>
        </w:rPr>
        <w:t>Windsor</w:t>
      </w:r>
      <w:r w:rsidRPr="002552EA">
        <w:rPr>
          <w:rFonts w:cstheme="minorHAnsi"/>
          <w:sz w:val="20"/>
          <w:szCs w:val="20"/>
        </w:rPr>
        <w:t xml:space="preserve">, same-sex couples were to be treated like heterosexual couples for purposes of bankruptcy, even when the couple was domiciled in a state that did not recognize their marriage.  </w:t>
      </w:r>
      <w:r>
        <w:rPr>
          <w:rFonts w:cstheme="minorHAnsi"/>
          <w:sz w:val="20"/>
          <w:szCs w:val="20"/>
        </w:rPr>
        <w:t xml:space="preserve">United States Department of Justice, Consumer and Creditor Information, </w:t>
      </w:r>
      <w:r>
        <w:rPr>
          <w:rFonts w:cstheme="minorHAnsi"/>
          <w:i/>
          <w:sz w:val="20"/>
          <w:szCs w:val="20"/>
        </w:rPr>
        <w:t xml:space="preserve">available at </w:t>
      </w:r>
      <w:r w:rsidRPr="002552EA">
        <w:rPr>
          <w:rFonts w:cstheme="minorHAnsi"/>
          <w:sz w:val="20"/>
          <w:szCs w:val="20"/>
        </w:rPr>
        <w:t xml:space="preserve">http://www.justice.gov/ust/eo/public_affairs/consumer_info/index.htm (last visited 10/17-14).) More recently, the Court held in </w:t>
      </w:r>
      <w:r w:rsidRPr="002552EA">
        <w:rPr>
          <w:rFonts w:cstheme="minorHAnsi"/>
          <w:bCs/>
          <w:i/>
          <w:iCs/>
          <w:sz w:val="20"/>
          <w:szCs w:val="20"/>
          <w:lang w:val="en"/>
        </w:rPr>
        <w:t>Obergefell v. Hodges</w:t>
      </w:r>
      <w:r w:rsidRPr="002552EA">
        <w:rPr>
          <w:rFonts w:cstheme="minorHAnsi"/>
          <w:sz w:val="20"/>
          <w:szCs w:val="20"/>
          <w:lang w:val="en"/>
        </w:rPr>
        <w:t xml:space="preserve">, </w:t>
      </w:r>
      <w:r w:rsidRPr="002552EA">
        <w:rPr>
          <w:rFonts w:cstheme="minorHAnsi"/>
          <w:sz w:val="20"/>
          <w:szCs w:val="20"/>
        </w:rPr>
        <w:t>576</w:t>
      </w:r>
      <w:r w:rsidRPr="002552EA">
        <w:rPr>
          <w:rFonts w:cstheme="minorHAnsi"/>
          <w:sz w:val="20"/>
          <w:szCs w:val="20"/>
          <w:lang w:val="en"/>
        </w:rPr>
        <w:t xml:space="preserve"> </w:t>
      </w:r>
      <w:r w:rsidRPr="002552EA">
        <w:rPr>
          <w:rFonts w:cstheme="minorHAnsi"/>
          <w:sz w:val="20"/>
          <w:szCs w:val="20"/>
        </w:rPr>
        <w:t>U.S.</w:t>
      </w:r>
      <w:r w:rsidRPr="002552EA">
        <w:rPr>
          <w:rFonts w:cstheme="minorHAnsi"/>
          <w:sz w:val="20"/>
          <w:szCs w:val="20"/>
          <w:lang w:val="en"/>
        </w:rPr>
        <w:t xml:space="preserve"> ___, </w:t>
      </w:r>
      <w:r w:rsidRPr="002552EA">
        <w:rPr>
          <w:rFonts w:cstheme="minorHAnsi"/>
          <w:color w:val="333333"/>
          <w:sz w:val="20"/>
          <w:szCs w:val="20"/>
        </w:rPr>
        <w:t>135 S. Ct. 2584</w:t>
      </w:r>
      <w:r w:rsidRPr="002552EA">
        <w:rPr>
          <w:rFonts w:cstheme="minorHAnsi"/>
          <w:sz w:val="20"/>
          <w:szCs w:val="20"/>
          <w:lang w:val="en"/>
        </w:rPr>
        <w:t xml:space="preserve"> (2015), that same-sex couples have a constitutionally-protected right to marry.  </w:t>
      </w:r>
    </w:p>
    <w:p w14:paraId="7308C3DA" w14:textId="1D50B174" w:rsidR="00560FBA" w:rsidRPr="002552EA" w:rsidRDefault="00560FBA" w:rsidP="00106D9A">
      <w:pPr>
        <w:pStyle w:val="FootnoteText"/>
        <w:ind w:firstLine="720"/>
        <w:rPr>
          <w:rFonts w:cstheme="minorHAnsi"/>
          <w:sz w:val="20"/>
          <w:szCs w:val="20"/>
        </w:rPr>
      </w:pPr>
      <w:r w:rsidRPr="002552EA">
        <w:rPr>
          <w:rFonts w:cstheme="minorHAnsi"/>
          <w:sz w:val="20"/>
          <w:szCs w:val="20"/>
          <w:lang w:val="en"/>
        </w:rPr>
        <w:t xml:space="preserve">Although this issue is now resolved, it was uncertain </w:t>
      </w:r>
      <w:r w:rsidRPr="002552EA">
        <w:rPr>
          <w:rFonts w:cstheme="minorHAnsi"/>
          <w:sz w:val="20"/>
          <w:szCs w:val="20"/>
        </w:rPr>
        <w:t>as of 2010—one of the years on which this Study focused.</w:t>
      </w:r>
    </w:p>
  </w:footnote>
  <w:footnote w:id="109">
    <w:p w14:paraId="607147D9" w14:textId="3FA1391A"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 p-value is .28.</w:t>
      </w:r>
    </w:p>
  </w:footnote>
  <w:footnote w:id="110">
    <w:p w14:paraId="6CBC4BEE" w14:textId="06A1388B" w:rsidR="00560FBA" w:rsidRPr="002552EA" w:rsidRDefault="00560FBA" w:rsidP="00106D9A">
      <w:pPr>
        <w:pStyle w:val="FootnoteText"/>
        <w:rPr>
          <w:rFonts w:cstheme="minorHAnsi"/>
          <w:sz w:val="20"/>
          <w:szCs w:val="20"/>
          <w:u w:val="single"/>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 xml:space="preserve">Norberg &amp; Velkey,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_Ref275782955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w:t>
      </w:r>
      <w:r w:rsidRPr="002552EA">
        <w:rPr>
          <w:rFonts w:cstheme="minorHAnsi"/>
          <w:sz w:val="20"/>
          <w:szCs w:val="20"/>
        </w:rPr>
        <w:fldChar w:fldCharType="end"/>
      </w:r>
      <w:r w:rsidRPr="002552EA">
        <w:rPr>
          <w:rFonts w:cstheme="minorHAnsi"/>
          <w:sz w:val="20"/>
          <w:szCs w:val="20"/>
        </w:rPr>
        <w:t>; Eraslan</w:t>
      </w:r>
      <w:r>
        <w:rPr>
          <w:rFonts w:cstheme="minorHAnsi"/>
          <w:sz w:val="20"/>
          <w:szCs w:val="20"/>
        </w:rPr>
        <w:t xml:space="preserve"> </w:t>
      </w:r>
      <w:r>
        <w:rPr>
          <w:rFonts w:cstheme="minorHAnsi"/>
          <w:i/>
          <w:sz w:val="20"/>
          <w:szCs w:val="20"/>
        </w:rPr>
        <w:t>et al.</w:t>
      </w:r>
      <w:r w:rsidRPr="002552EA">
        <w:rPr>
          <w:rFonts w:cstheme="minorHAnsi"/>
          <w:sz w:val="20"/>
          <w:szCs w:val="20"/>
        </w:rPr>
        <w:t xml:space="preserve">,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_Ref276305975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30</w:t>
      </w:r>
      <w:r w:rsidRPr="002552EA">
        <w:rPr>
          <w:rFonts w:cstheme="minorHAnsi"/>
          <w:sz w:val="20"/>
          <w:szCs w:val="20"/>
        </w:rPr>
        <w:fldChar w:fldCharType="end"/>
      </w:r>
      <w:r w:rsidRPr="002552EA">
        <w:rPr>
          <w:rFonts w:cstheme="minorHAnsi"/>
          <w:sz w:val="20"/>
          <w:szCs w:val="20"/>
        </w:rPr>
        <w:t>.</w:t>
      </w:r>
    </w:p>
  </w:footnote>
  <w:footnote w:id="111">
    <w:p w14:paraId="46CE06A6"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hyperlink r:id="rId3" w:history="1">
        <w:r w:rsidRPr="002552EA">
          <w:rPr>
            <w:rStyle w:val="Hyperlink"/>
            <w:rFonts w:cstheme="minorHAnsi"/>
            <w:sz w:val="20"/>
            <w:szCs w:val="20"/>
          </w:rPr>
          <w:t>http://genderchecker.com/search.aspx</w:t>
        </w:r>
      </w:hyperlink>
      <w:r w:rsidRPr="002552EA">
        <w:rPr>
          <w:rFonts w:cstheme="minorHAnsi"/>
          <w:sz w:val="20"/>
          <w:szCs w:val="20"/>
        </w:rPr>
        <w:t xml:space="preserve">. Our data suggest that the husband’s name is usually listed first, as “debtor,” when a case is jointly filed.  </w:t>
      </w:r>
    </w:p>
    <w:p w14:paraId="0EB9E997" w14:textId="780083D2" w:rsidR="00560FBA" w:rsidRPr="002552EA" w:rsidRDefault="00560FBA" w:rsidP="00106D9A">
      <w:pPr>
        <w:pStyle w:val="FootnoteText"/>
        <w:rPr>
          <w:rFonts w:cstheme="minorHAnsi"/>
          <w:sz w:val="20"/>
          <w:szCs w:val="20"/>
        </w:rPr>
      </w:pPr>
    </w:p>
  </w:footnote>
  <w:footnote w:id="112">
    <w:p w14:paraId="1F460D31" w14:textId="72ECC9E9" w:rsidR="00560FBA" w:rsidRPr="002552EA" w:rsidRDefault="00560FBA" w:rsidP="003E038F">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w:t>
      </w:r>
      <w:r w:rsidRPr="002552EA">
        <w:rPr>
          <w:rFonts w:cstheme="minorHAnsi"/>
          <w:sz w:val="20"/>
          <w:szCs w:val="20"/>
        </w:rPr>
        <w:t xml:space="preserve">Norberg &amp; Velkey,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_Ref275782955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w:t>
      </w:r>
      <w:r w:rsidRPr="002552EA">
        <w:rPr>
          <w:rFonts w:cstheme="minorHAnsi"/>
          <w:sz w:val="20"/>
          <w:szCs w:val="20"/>
        </w:rPr>
        <w:fldChar w:fldCharType="end"/>
      </w:r>
      <w:r w:rsidRPr="002552EA">
        <w:rPr>
          <w:rFonts w:cstheme="minorHAnsi"/>
          <w:sz w:val="20"/>
          <w:szCs w:val="20"/>
        </w:rPr>
        <w:t xml:space="preserve">; Eraslan, </w:t>
      </w:r>
      <w:r w:rsidRPr="002552EA">
        <w:rPr>
          <w:rFonts w:cstheme="minorHAnsi"/>
          <w:i/>
          <w:sz w:val="20"/>
          <w:szCs w:val="20"/>
        </w:rPr>
        <w:t>et al.</w:t>
      </w:r>
      <w:r w:rsidRPr="002552EA">
        <w:rPr>
          <w:rFonts w:cstheme="minorHAnsi"/>
          <w:sz w:val="20"/>
          <w:szCs w:val="20"/>
        </w:rPr>
        <w:t xml:space="preserve">,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_Ref276305975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30</w:t>
      </w:r>
      <w:r w:rsidRPr="002552EA">
        <w:rPr>
          <w:rFonts w:cstheme="minorHAnsi"/>
          <w:sz w:val="20"/>
          <w:szCs w:val="20"/>
        </w:rPr>
        <w:fldChar w:fldCharType="end"/>
      </w:r>
      <w:r w:rsidRPr="002552EA">
        <w:rPr>
          <w:rFonts w:cstheme="minorHAnsi"/>
          <w:sz w:val="20"/>
          <w:szCs w:val="20"/>
        </w:rPr>
        <w:t>.</w:t>
      </w:r>
    </w:p>
  </w:footnote>
  <w:footnote w:id="113">
    <w:p w14:paraId="46BA1F80" w14:textId="4C591D7B"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We used the following instruction to guide the research assistants in their coding efforts: “</w:t>
      </w:r>
      <w:r w:rsidRPr="002552EA">
        <w:rPr>
          <w:rFonts w:cstheme="minorHAnsi"/>
          <w:color w:val="000000"/>
          <w:sz w:val="20"/>
          <w:szCs w:val="20"/>
        </w:rPr>
        <w:t xml:space="preserve">Are there items listed in items 13, 14, 16, 22-24, 29-30, and/or 32-34 of Schedule B indicating that debtor is operating a business?  Answer Y or N, the item numbers from Sch. B, and a short description. Example: debtor lists three firms in item 13, accounts receivable in Item 16, </w:t>
      </w:r>
      <w:r>
        <w:rPr>
          <w:rFonts w:cstheme="minorHAnsi"/>
          <w:color w:val="000000"/>
          <w:sz w:val="20"/>
          <w:szCs w:val="20"/>
        </w:rPr>
        <w:t>and a patent in Item 22, enter ‘</w:t>
      </w:r>
      <w:r w:rsidRPr="002552EA">
        <w:rPr>
          <w:rFonts w:cstheme="minorHAnsi"/>
          <w:color w:val="000000"/>
          <w:sz w:val="20"/>
          <w:szCs w:val="20"/>
        </w:rPr>
        <w:t>Y, 13(3B), 16, &amp; 22(P).</w:t>
      </w:r>
      <w:r>
        <w:rPr>
          <w:rFonts w:cstheme="minorHAnsi"/>
          <w:color w:val="000000"/>
          <w:sz w:val="20"/>
          <w:szCs w:val="20"/>
        </w:rPr>
        <w:t>’</w:t>
      </w:r>
      <w:r w:rsidRPr="002552EA">
        <w:rPr>
          <w:rFonts w:cstheme="minorHAnsi"/>
          <w:color w:val="000000"/>
          <w:sz w:val="20"/>
          <w:szCs w:val="20"/>
        </w:rPr>
        <w:t xml:space="preserve"> No need to identify in parentheses for items with a single category, like accounts receivable.  Please use abbreviations that sufficiently identify the item in parentheses.”</w:t>
      </w:r>
    </w:p>
  </w:footnote>
  <w:footnote w:id="114">
    <w:p w14:paraId="7AD61D21" w14:textId="73770FDD"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 small business debtor definition applies to persons, defined to include individuals, 11 U.S.C. § 101(41), who are “engaged in commercial or business activities.” </w:t>
      </w:r>
      <w:r w:rsidRPr="009937C0">
        <w:rPr>
          <w:rFonts w:cstheme="minorHAnsi"/>
          <w:i/>
          <w:sz w:val="20"/>
          <w:szCs w:val="20"/>
        </w:rPr>
        <w:t>Id</w:t>
      </w:r>
      <w:r>
        <w:rPr>
          <w:rFonts w:cstheme="minorHAnsi"/>
          <w:sz w:val="20"/>
          <w:szCs w:val="20"/>
        </w:rPr>
        <w:t>. at § 101(51D)(A)</w:t>
      </w:r>
      <w:r w:rsidRPr="002552EA">
        <w:rPr>
          <w:rFonts w:cstheme="minorHAnsi"/>
          <w:sz w:val="20"/>
          <w:szCs w:val="20"/>
        </w:rPr>
        <w:t>.</w:t>
      </w:r>
    </w:p>
  </w:footnote>
  <w:footnote w:id="115">
    <w:p w14:paraId="34001075" w14:textId="638626BB"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This difference is not statistically significant.</w:t>
      </w:r>
    </w:p>
  </w:footnote>
  <w:footnote w:id="116">
    <w:p w14:paraId="32214C82" w14:textId="516BC3D8"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Pr>
          <w:rFonts w:cstheme="minorHAnsi"/>
          <w:sz w:val="20"/>
          <w:szCs w:val="20"/>
        </w:rPr>
        <w:t xml:space="preserve">Voluntary Petition (Superseded), </w:t>
      </w:r>
      <w:r>
        <w:rPr>
          <w:rFonts w:cstheme="minorHAnsi"/>
          <w:i/>
          <w:sz w:val="20"/>
          <w:szCs w:val="20"/>
        </w:rPr>
        <w:t xml:space="preserve">available at </w:t>
      </w:r>
      <w:r w:rsidRPr="002552EA">
        <w:rPr>
          <w:rFonts w:cstheme="minorHAnsi"/>
          <w:sz w:val="20"/>
          <w:szCs w:val="20"/>
        </w:rPr>
        <w:t xml:space="preserve">http://www.uscourts.gov/forms/bankruptcy-forms/voluntary-petition. Form B1 has been superseded by Form B101 for individual debtors, but Question 13 still limits the small business questions to those debtors filing for relief under chapter 11. </w:t>
      </w:r>
      <w:r w:rsidRPr="002552EA">
        <w:rPr>
          <w:rFonts w:cstheme="minorHAnsi"/>
          <w:i/>
          <w:sz w:val="20"/>
          <w:szCs w:val="20"/>
        </w:rPr>
        <w:t xml:space="preserve">See </w:t>
      </w:r>
      <w:r>
        <w:rPr>
          <w:rFonts w:cstheme="minorHAnsi"/>
          <w:sz w:val="20"/>
          <w:szCs w:val="20"/>
        </w:rPr>
        <w:t xml:space="preserve">Voluntary Petition for Individuals Filing for Bankruptcy, </w:t>
      </w:r>
      <w:r>
        <w:rPr>
          <w:rFonts w:cstheme="minorHAnsi"/>
          <w:i/>
          <w:sz w:val="20"/>
          <w:szCs w:val="20"/>
        </w:rPr>
        <w:t xml:space="preserve">available at </w:t>
      </w:r>
      <w:r w:rsidRPr="002552EA">
        <w:rPr>
          <w:rFonts w:cstheme="minorHAnsi"/>
          <w:sz w:val="20"/>
          <w:szCs w:val="20"/>
        </w:rPr>
        <w:t>http://www.uscourts.gov/forms/individual-debtors/voluntary-petition-individuals-filing-bankruptcy</w:t>
      </w:r>
    </w:p>
  </w:footnote>
  <w:footnote w:id="117">
    <w:p w14:paraId="7EAC60DD" w14:textId="1860F681"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 xml:space="preserve">ABI Commission Report,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_Ref333750360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22</w:t>
      </w:r>
      <w:r w:rsidRPr="002552EA">
        <w:rPr>
          <w:rFonts w:cstheme="minorHAnsi"/>
          <w:sz w:val="20"/>
          <w:szCs w:val="20"/>
        </w:rPr>
        <w:fldChar w:fldCharType="end"/>
      </w:r>
      <w:r w:rsidRPr="002552EA">
        <w:rPr>
          <w:rFonts w:cstheme="minorHAnsi"/>
          <w:sz w:val="20"/>
          <w:szCs w:val="20"/>
        </w:rPr>
        <w:t xml:space="preserve">, at 389 (stating that “the current small business provisions are mandatory and self-executing”); </w:t>
      </w:r>
      <w:r w:rsidRPr="002552EA">
        <w:rPr>
          <w:rFonts w:cstheme="minorHAnsi"/>
          <w:i/>
          <w:sz w:val="20"/>
          <w:szCs w:val="20"/>
        </w:rPr>
        <w:t xml:space="preserve">see also Individual Chapter 11 Debtors,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_Ref333734144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4</w:t>
      </w:r>
      <w:r w:rsidRPr="002552EA">
        <w:rPr>
          <w:rFonts w:cstheme="minorHAnsi"/>
          <w:sz w:val="20"/>
          <w:szCs w:val="20"/>
        </w:rPr>
        <w:fldChar w:fldCharType="end"/>
      </w:r>
      <w:r w:rsidRPr="002552EA">
        <w:rPr>
          <w:rFonts w:cstheme="minorHAnsi"/>
          <w:sz w:val="20"/>
          <w:szCs w:val="20"/>
        </w:rPr>
        <w:t>, at 462-63.</w:t>
      </w:r>
    </w:p>
  </w:footnote>
  <w:footnote w:id="118">
    <w:p w14:paraId="095EF120" w14:textId="7A0250E8"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ABI Commission Report,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_Ref333750360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22</w:t>
      </w:r>
      <w:r w:rsidRPr="002552EA">
        <w:rPr>
          <w:rFonts w:cstheme="minorHAnsi"/>
          <w:sz w:val="20"/>
          <w:szCs w:val="20"/>
        </w:rPr>
        <w:fldChar w:fldCharType="end"/>
      </w:r>
      <w:r w:rsidRPr="002552EA">
        <w:rPr>
          <w:rFonts w:cstheme="minorHAnsi"/>
          <w:sz w:val="20"/>
          <w:szCs w:val="20"/>
        </w:rPr>
        <w:t xml:space="preserve">, at 289-90 (citing study by Professor Robert Lawless, which found that close to two-thirds of debtors that should have designated as a small business failed to do so on the petition). </w:t>
      </w:r>
      <w:r w:rsidRPr="002552EA">
        <w:rPr>
          <w:rFonts w:cstheme="minorHAnsi"/>
          <w:i/>
          <w:sz w:val="20"/>
          <w:szCs w:val="20"/>
        </w:rPr>
        <w:t xml:space="preserve">See also Musings,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_Ref333734144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4</w:t>
      </w:r>
      <w:r w:rsidRPr="002552EA">
        <w:rPr>
          <w:rFonts w:cstheme="minorHAnsi"/>
          <w:sz w:val="20"/>
          <w:szCs w:val="20"/>
        </w:rPr>
        <w:fldChar w:fldCharType="end"/>
      </w:r>
      <w:r w:rsidRPr="002552EA">
        <w:rPr>
          <w:rFonts w:cstheme="minorHAnsi"/>
          <w:smallCaps/>
          <w:sz w:val="20"/>
          <w:szCs w:val="20"/>
        </w:rPr>
        <w:t xml:space="preserve"> (</w:t>
      </w:r>
      <w:r w:rsidRPr="002552EA">
        <w:rPr>
          <w:rFonts w:cstheme="minorHAnsi"/>
          <w:sz w:val="20"/>
          <w:szCs w:val="20"/>
        </w:rPr>
        <w:t>finding, even though Congress made small business designation mandatory with BAPCPA, that the percentage of debtors checking the small business box on the petition increased only slightly among a 2007 sample from a 2004 sample of individual chapter 11 debtors).</w:t>
      </w:r>
    </w:p>
  </w:footnote>
  <w:footnote w:id="119">
    <w:p w14:paraId="0F8E51B8" w14:textId="3577F24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 debt ceiling in § 101(51D) for a small business debtor changes every three years on April 1. </w:t>
      </w:r>
      <w:r w:rsidRPr="002552EA">
        <w:rPr>
          <w:rFonts w:cstheme="minorHAnsi"/>
          <w:i/>
          <w:sz w:val="20"/>
          <w:szCs w:val="20"/>
        </w:rPr>
        <w:t xml:space="preserve">See </w:t>
      </w:r>
      <w:r w:rsidRPr="002552EA">
        <w:rPr>
          <w:rFonts w:cstheme="minorHAnsi"/>
          <w:sz w:val="20"/>
          <w:szCs w:val="20"/>
        </w:rPr>
        <w:t>11 U.S.C. § 104(a) (2012). From January 1, 2010 through March 31, 2010, the small business debt limit was $2,190,000. For cases filed between April 1, 2010 and March 31, 2013, the debt limit was $2,343,000.  The latter figure increased to $2,490,925 on April 1, 2013, and recently re-set, on April 1, 2016, to $2,566,050.</w:t>
      </w:r>
    </w:p>
  </w:footnote>
  <w:footnote w:id="120">
    <w:p w14:paraId="61E1C97F"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11 U.S.C. § 101(51D) (2012).</w:t>
      </w:r>
    </w:p>
  </w:footnote>
  <w:footnote w:id="121">
    <w:p w14:paraId="69E83F1F" w14:textId="6D36981C" w:rsidR="00560FBA" w:rsidRPr="002552EA" w:rsidRDefault="00560FBA">
      <w:pPr>
        <w:pStyle w:val="FootnoteText"/>
        <w:rPr>
          <w:sz w:val="20"/>
          <w:szCs w:val="20"/>
        </w:rPr>
      </w:pPr>
      <w:r w:rsidRPr="002552EA">
        <w:rPr>
          <w:rStyle w:val="FootnoteReference"/>
          <w:sz w:val="20"/>
          <w:szCs w:val="20"/>
        </w:rPr>
        <w:footnoteRef/>
      </w:r>
      <w:r w:rsidRPr="002552EA">
        <w:rPr>
          <w:sz w:val="20"/>
          <w:szCs w:val="20"/>
        </w:rPr>
        <w:t xml:space="preserve"> </w:t>
      </w:r>
      <w:r w:rsidRPr="002552EA">
        <w:rPr>
          <w:i/>
          <w:sz w:val="20"/>
          <w:szCs w:val="20"/>
        </w:rPr>
        <w:t>See</w:t>
      </w:r>
      <w:r w:rsidRPr="002552EA">
        <w:rPr>
          <w:sz w:val="20"/>
          <w:szCs w:val="20"/>
        </w:rPr>
        <w:t xml:space="preserve"> Section III.B.3, </w:t>
      </w:r>
      <w:r w:rsidRPr="002552EA">
        <w:rPr>
          <w:i/>
          <w:sz w:val="20"/>
          <w:szCs w:val="20"/>
        </w:rPr>
        <w:t>infra</w:t>
      </w:r>
      <w:r w:rsidRPr="002552EA">
        <w:rPr>
          <w:sz w:val="20"/>
          <w:szCs w:val="20"/>
        </w:rPr>
        <w:t>.</w:t>
      </w:r>
    </w:p>
  </w:footnote>
  <w:footnote w:id="122">
    <w:p w14:paraId="2DFBFC2F" w14:textId="0A80214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These figures include debtors who (1) checked neither small business box on their chapter 11 petition; (2) checked neither box on the petition because they initially filed under chapter 7 or 13; and (3) checked that they were not a small business on their chapter 11 voluntary petitions.</w:t>
      </w:r>
    </w:p>
  </w:footnote>
  <w:footnote w:id="123">
    <w:p w14:paraId="432333DE" w14:textId="608A82C5" w:rsidR="00560FBA" w:rsidRPr="002552EA" w:rsidRDefault="00560FBA" w:rsidP="00106D9A">
      <w:pPr>
        <w:pStyle w:val="FootnoteText"/>
        <w:rPr>
          <w:rFonts w:cstheme="minorHAnsi"/>
          <w:smallCaps/>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A42155">
        <w:rPr>
          <w:rFonts w:cstheme="minorHAnsi"/>
          <w:sz w:val="20"/>
          <w:szCs w:val="20"/>
        </w:rPr>
        <w:t xml:space="preserve">Lawton, </w:t>
      </w:r>
      <w:r w:rsidRPr="002552EA">
        <w:rPr>
          <w:rFonts w:cstheme="minorHAnsi"/>
          <w:i/>
          <w:sz w:val="20"/>
          <w:szCs w:val="20"/>
        </w:rPr>
        <w:t xml:space="preserve">supra </w:t>
      </w:r>
      <w:r w:rsidRPr="002552EA">
        <w:rPr>
          <w:rFonts w:cstheme="minorHAnsi"/>
          <w:sz w:val="20"/>
          <w:szCs w:val="20"/>
        </w:rPr>
        <w:t>note</w:t>
      </w:r>
      <w:r w:rsidRPr="00A42155">
        <w:rPr>
          <w:rFonts w:cstheme="minorHAnsi"/>
          <w:sz w:val="20"/>
          <w:szCs w:val="20"/>
        </w:rPr>
        <w:t xml:space="preserve"> </w:t>
      </w:r>
      <w:r w:rsidRPr="00A42155">
        <w:rPr>
          <w:rFonts w:cstheme="minorHAnsi"/>
          <w:sz w:val="20"/>
          <w:szCs w:val="20"/>
        </w:rPr>
        <w:fldChar w:fldCharType="begin"/>
      </w:r>
      <w:r w:rsidRPr="00A42155">
        <w:rPr>
          <w:rFonts w:cstheme="minorHAnsi"/>
          <w:sz w:val="20"/>
          <w:szCs w:val="20"/>
        </w:rPr>
        <w:instrText xml:space="preserve"> NOTEREF _Ref333754949 \h </w:instrText>
      </w:r>
      <w:r w:rsidRPr="00A42155">
        <w:rPr>
          <w:rFonts w:cstheme="minorHAnsi"/>
          <w:sz w:val="20"/>
          <w:szCs w:val="20"/>
        </w:rPr>
      </w:r>
      <w:r w:rsidRPr="00A42155">
        <w:rPr>
          <w:rFonts w:cstheme="minorHAnsi"/>
          <w:sz w:val="20"/>
          <w:szCs w:val="20"/>
        </w:rPr>
        <w:fldChar w:fldCharType="separate"/>
      </w:r>
      <w:r>
        <w:rPr>
          <w:rFonts w:cstheme="minorHAnsi"/>
          <w:sz w:val="20"/>
          <w:szCs w:val="20"/>
        </w:rPr>
        <w:t>77</w:t>
      </w:r>
      <w:r w:rsidRPr="00A42155">
        <w:rPr>
          <w:rFonts w:cstheme="minorHAnsi"/>
          <w:sz w:val="20"/>
          <w:szCs w:val="20"/>
        </w:rPr>
        <w:fldChar w:fldCharType="end"/>
      </w:r>
      <w:r w:rsidRPr="002552EA">
        <w:rPr>
          <w:rFonts w:cstheme="minorHAnsi"/>
          <w:sz w:val="20"/>
          <w:szCs w:val="20"/>
        </w:rPr>
        <w:t xml:space="preserve">, at 90. </w:t>
      </w:r>
    </w:p>
  </w:footnote>
  <w:footnote w:id="124">
    <w:p w14:paraId="12181E0A"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11 U.S.C. § 1116 (2012); 28 U.S.C. § 586(a)(7) (2012).</w:t>
      </w:r>
    </w:p>
  </w:footnote>
  <w:footnote w:id="125">
    <w:p w14:paraId="08808839" w14:textId="28B140C8"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This finding is not unusual. An official creditors’ committee rarely forms in chapter 11 cases. </w:t>
      </w:r>
      <w:r w:rsidRPr="002552EA">
        <w:rPr>
          <w:rFonts w:cstheme="minorHAnsi"/>
          <w:i/>
          <w:sz w:val="20"/>
          <w:szCs w:val="20"/>
        </w:rPr>
        <w:t xml:space="preserve">See </w:t>
      </w:r>
      <w:r w:rsidRPr="002552EA">
        <w:rPr>
          <w:rFonts w:cstheme="minorHAnsi"/>
          <w:sz w:val="20"/>
          <w:szCs w:val="20"/>
        </w:rPr>
        <w:t xml:space="preserve">Anne Lawton, </w:t>
      </w:r>
      <w:r w:rsidRPr="002552EA">
        <w:rPr>
          <w:rFonts w:cstheme="minorHAnsi"/>
          <w:i/>
          <w:sz w:val="20"/>
          <w:szCs w:val="20"/>
        </w:rPr>
        <w:t xml:space="preserve">Chapter 11 Triage: Diagnosing A Debtor’s Prospects for Success, </w:t>
      </w:r>
      <w:r w:rsidRPr="002552EA">
        <w:rPr>
          <w:rFonts w:cstheme="minorHAnsi"/>
          <w:sz w:val="20"/>
          <w:szCs w:val="20"/>
        </w:rPr>
        <w:t xml:space="preserve">54 </w:t>
      </w:r>
      <w:r w:rsidRPr="002552EA">
        <w:rPr>
          <w:rFonts w:cstheme="minorHAnsi"/>
          <w:smallCaps/>
          <w:sz w:val="20"/>
          <w:szCs w:val="20"/>
        </w:rPr>
        <w:t>Ariz. L. Rev. 985, 1005-1009 (2012) [</w:t>
      </w:r>
      <w:r w:rsidRPr="002552EA">
        <w:rPr>
          <w:rFonts w:cstheme="minorHAnsi"/>
          <w:sz w:val="20"/>
          <w:szCs w:val="20"/>
        </w:rPr>
        <w:t xml:space="preserve">hereinafter </w:t>
      </w:r>
      <w:r w:rsidRPr="002552EA">
        <w:rPr>
          <w:rFonts w:cstheme="minorHAnsi"/>
          <w:i/>
          <w:sz w:val="20"/>
          <w:szCs w:val="20"/>
        </w:rPr>
        <w:t>Chapter 11 Triage</w:t>
      </w:r>
      <w:r w:rsidRPr="002552EA">
        <w:rPr>
          <w:rFonts w:cstheme="minorHAnsi"/>
          <w:sz w:val="20"/>
          <w:szCs w:val="20"/>
        </w:rPr>
        <w:t>]</w:t>
      </w:r>
      <w:r w:rsidRPr="002552EA">
        <w:rPr>
          <w:rFonts w:cstheme="minorHAnsi"/>
          <w:smallCaps/>
          <w:sz w:val="20"/>
          <w:szCs w:val="20"/>
        </w:rPr>
        <w:t xml:space="preserve"> (</w:t>
      </w:r>
      <w:r w:rsidRPr="002552EA">
        <w:rPr>
          <w:rFonts w:cstheme="minorHAnsi"/>
          <w:sz w:val="20"/>
          <w:szCs w:val="20"/>
        </w:rPr>
        <w:t xml:space="preserve">finding that official creditors’ committees formed in only 18% of 798 cases in a national random sample of chapter 11 debtors who filed for relief in 2004).  </w:t>
      </w:r>
    </w:p>
  </w:footnote>
  <w:footnote w:id="126">
    <w:p w14:paraId="2FCF079B" w14:textId="27489A8F"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A debtor-in-possession may be replaced by an appointed trustee, but only under somewhat exceptional circumstances, typically involving fraud, dishonesty, incompetence or gross mismanagement by the debtor-in-possession. 11 U.S.C. § 1107(a) (2012). As</w:t>
      </w:r>
      <w:r w:rsidRPr="002552EA">
        <w:rPr>
          <w:rFonts w:cstheme="minorHAnsi"/>
          <w:i/>
          <w:sz w:val="20"/>
          <w:szCs w:val="20"/>
        </w:rPr>
        <w:t xml:space="preserve"> </w:t>
      </w:r>
      <w:r w:rsidRPr="002552EA">
        <w:rPr>
          <w:rFonts w:cstheme="minorHAnsi"/>
          <w:sz w:val="20"/>
          <w:szCs w:val="20"/>
        </w:rPr>
        <w:t>Table 16 demonstrates, such appointments are unusual.</w:t>
      </w:r>
    </w:p>
  </w:footnote>
  <w:footnote w:id="127">
    <w:p w14:paraId="585C64EB" w14:textId="25EC4181"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See</w:t>
      </w:r>
      <w:r w:rsidRPr="002552EA">
        <w:rPr>
          <w:rFonts w:cstheme="minorHAnsi"/>
          <w:sz w:val="20"/>
          <w:szCs w:val="20"/>
        </w:rPr>
        <w:t xml:space="preserve"> Section IV, </w:t>
      </w:r>
      <w:r w:rsidRPr="002552EA">
        <w:rPr>
          <w:rFonts w:cstheme="minorHAnsi"/>
          <w:i/>
          <w:sz w:val="20"/>
          <w:szCs w:val="20"/>
        </w:rPr>
        <w:t>infra</w:t>
      </w:r>
      <w:r w:rsidRPr="002552EA">
        <w:rPr>
          <w:rFonts w:cstheme="minorHAnsi"/>
          <w:sz w:val="20"/>
          <w:szCs w:val="20"/>
        </w:rPr>
        <w:t>.</w:t>
      </w:r>
    </w:p>
  </w:footnote>
  <w:footnote w:id="128">
    <w:p w14:paraId="362DFFA4" w14:textId="60B76211"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infra </w:t>
      </w:r>
      <w:r w:rsidRPr="002552EA">
        <w:rPr>
          <w:rFonts w:cstheme="minorHAnsi"/>
          <w:sz w:val="20"/>
          <w:szCs w:val="20"/>
        </w:rPr>
        <w:t xml:space="preserve">Table 46 for data on chapter 11 confirmation rates. For chapter 13, the confirmation rate is substantially higher—about 70%. </w:t>
      </w:r>
      <w:r w:rsidRPr="002552EA">
        <w:rPr>
          <w:rFonts w:cstheme="minorHAnsi"/>
          <w:i/>
          <w:sz w:val="20"/>
          <w:szCs w:val="20"/>
        </w:rPr>
        <w:t xml:space="preserve">See </w:t>
      </w:r>
      <w:r w:rsidRPr="002552EA">
        <w:rPr>
          <w:rFonts w:cstheme="minorHAnsi"/>
          <w:sz w:val="20"/>
          <w:szCs w:val="20"/>
        </w:rPr>
        <w:t xml:space="preserve">Flynn,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_Ref333733382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32</w:t>
      </w:r>
      <w:r w:rsidRPr="002552EA">
        <w:rPr>
          <w:rFonts w:cstheme="minorHAnsi"/>
          <w:sz w:val="20"/>
          <w:szCs w:val="20"/>
        </w:rPr>
        <w:fldChar w:fldCharType="end"/>
      </w:r>
      <w:r w:rsidRPr="002552EA">
        <w:rPr>
          <w:rFonts w:cstheme="minorHAnsi"/>
          <w:sz w:val="20"/>
          <w:szCs w:val="20"/>
        </w:rPr>
        <w:t xml:space="preserve">, at 41.  </w:t>
      </w:r>
    </w:p>
  </w:footnote>
  <w:footnote w:id="129">
    <w:p w14:paraId="67DE6AE0" w14:textId="763A0974"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For a discussion of the chapter 13 debt limits, see </w:t>
      </w:r>
      <w:r w:rsidRPr="002552EA">
        <w:rPr>
          <w:rFonts w:cstheme="minorHAnsi"/>
          <w:i/>
          <w:sz w:val="20"/>
          <w:szCs w:val="20"/>
        </w:rPr>
        <w:t xml:space="preserve">infra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_Ref333839400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161</w:t>
      </w:r>
      <w:r w:rsidRPr="002552EA">
        <w:rPr>
          <w:rFonts w:cstheme="minorHAnsi"/>
          <w:sz w:val="20"/>
          <w:szCs w:val="20"/>
        </w:rPr>
        <w:fldChar w:fldCharType="end"/>
      </w:r>
      <w:r w:rsidRPr="002552EA">
        <w:rPr>
          <w:rFonts w:cstheme="minorHAnsi"/>
          <w:sz w:val="20"/>
          <w:szCs w:val="20"/>
        </w:rPr>
        <w:t xml:space="preserve"> and accompanying text.</w:t>
      </w:r>
    </w:p>
  </w:footnote>
  <w:footnote w:id="130">
    <w:p w14:paraId="41A1E7C9" w14:textId="79D08299"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Chapter 13 cases are administered by a “standing” trustee, who is responsible for duties such as examining proofs of claim, investigating the debtor’s financial affairs, and making payments to creditors in accordance with the plan. </w:t>
      </w:r>
      <w:r w:rsidRPr="002552EA">
        <w:rPr>
          <w:rFonts w:cstheme="minorHAnsi"/>
          <w:i/>
          <w:sz w:val="20"/>
          <w:szCs w:val="20"/>
        </w:rPr>
        <w:t xml:space="preserve">See </w:t>
      </w:r>
      <w:r w:rsidRPr="002552EA">
        <w:rPr>
          <w:rFonts w:cstheme="minorHAnsi"/>
          <w:sz w:val="20"/>
          <w:szCs w:val="20"/>
        </w:rPr>
        <w:t xml:space="preserve">11 U.S.C. § 1302 (2012). This contrasts with the usual practice in chapter 11 cases, in which the debtor becomes a debtor-in-possession, with the rights and powers of a trustee. </w:t>
      </w:r>
      <w:r w:rsidRPr="002552EA">
        <w:rPr>
          <w:rFonts w:cstheme="minorHAnsi"/>
          <w:i/>
          <w:sz w:val="20"/>
          <w:szCs w:val="20"/>
        </w:rPr>
        <w:t xml:space="preserve">Id. </w:t>
      </w:r>
      <w:r w:rsidRPr="002552EA">
        <w:rPr>
          <w:rFonts w:cstheme="minorHAnsi"/>
          <w:sz w:val="20"/>
          <w:szCs w:val="20"/>
        </w:rPr>
        <w:t>at § 1107.</w:t>
      </w:r>
    </w:p>
  </w:footnote>
  <w:footnote w:id="131">
    <w:p w14:paraId="66BDB92D" w14:textId="26B5C43D" w:rsidR="00560FBA" w:rsidRPr="002552EA" w:rsidRDefault="00560FBA" w:rsidP="00904288">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w:t>
      </w:r>
      <w:r w:rsidRPr="002552EA">
        <w:rPr>
          <w:rFonts w:cstheme="minorHAnsi"/>
          <w:sz w:val="20"/>
          <w:szCs w:val="20"/>
        </w:rPr>
        <w:t xml:space="preserve">Norberg &amp; Velkey,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_Ref275782955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w:t>
      </w:r>
      <w:r w:rsidRPr="002552EA">
        <w:rPr>
          <w:rFonts w:cstheme="minorHAnsi"/>
          <w:sz w:val="20"/>
          <w:szCs w:val="20"/>
        </w:rPr>
        <w:fldChar w:fldCharType="end"/>
      </w:r>
      <w:r w:rsidRPr="002552EA">
        <w:rPr>
          <w:rFonts w:cstheme="minorHAnsi"/>
          <w:sz w:val="20"/>
          <w:szCs w:val="20"/>
        </w:rPr>
        <w:t>, at 497 (“Among the most remarkable findings of the Project is that at least half of all of the Chapter 13 debtors in the sample had filed one or more bankruptcy cases in addition to the sample case.”)</w:t>
      </w:r>
      <w:r>
        <w:rPr>
          <w:rFonts w:cstheme="minorHAnsi"/>
          <w:sz w:val="20"/>
          <w:szCs w:val="20"/>
        </w:rPr>
        <w:t>.</w:t>
      </w:r>
    </w:p>
  </w:footnote>
  <w:footnote w:id="132">
    <w:p w14:paraId="54F5615C" w14:textId="26362603"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mallCaps/>
          <w:sz w:val="20"/>
          <w:szCs w:val="20"/>
        </w:rPr>
        <w:t>H</w:t>
      </w:r>
      <w:r w:rsidRPr="002552EA">
        <w:rPr>
          <w:rFonts w:cstheme="minorHAnsi"/>
          <w:sz w:val="20"/>
          <w:szCs w:val="20"/>
        </w:rPr>
        <w:t xml:space="preserve">on. William Houston Brown </w:t>
      </w:r>
      <w:r>
        <w:rPr>
          <w:rFonts w:cstheme="minorHAnsi"/>
          <w:sz w:val="20"/>
          <w:szCs w:val="20"/>
        </w:rPr>
        <w:t xml:space="preserve">&amp; </w:t>
      </w:r>
      <w:r w:rsidRPr="002552EA">
        <w:rPr>
          <w:rFonts w:cstheme="minorHAnsi"/>
          <w:sz w:val="20"/>
          <w:szCs w:val="20"/>
        </w:rPr>
        <w:t xml:space="preserve">Lawrence R. Ahern III, </w:t>
      </w:r>
      <w:r w:rsidRPr="002552EA">
        <w:rPr>
          <w:rFonts w:cstheme="minorHAnsi"/>
          <w:smallCaps/>
          <w:sz w:val="20"/>
          <w:szCs w:val="20"/>
        </w:rPr>
        <w:t>2005 Bankruptcy Reform Legislation with Analysis 2d 297</w:t>
      </w:r>
      <w:r w:rsidRPr="002552EA">
        <w:rPr>
          <w:rFonts w:cstheme="minorHAnsi"/>
          <w:sz w:val="20"/>
          <w:szCs w:val="20"/>
        </w:rPr>
        <w:t xml:space="preserve"> (2006) </w:t>
      </w:r>
      <w:r>
        <w:rPr>
          <w:rFonts w:cstheme="minorHAnsi"/>
          <w:sz w:val="20"/>
          <w:szCs w:val="20"/>
        </w:rPr>
        <w:t>.</w:t>
      </w:r>
    </w:p>
  </w:footnote>
  <w:footnote w:id="133">
    <w:p w14:paraId="64A4F5EA" w14:textId="6C237113"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id. </w:t>
      </w:r>
      <w:r>
        <w:rPr>
          <w:rFonts w:cstheme="minorHAnsi"/>
          <w:sz w:val="20"/>
          <w:szCs w:val="20"/>
        </w:rPr>
        <w:t xml:space="preserve">at </w:t>
      </w:r>
      <w:r w:rsidRPr="002552EA">
        <w:rPr>
          <w:rFonts w:cstheme="minorHAnsi"/>
          <w:sz w:val="20"/>
          <w:szCs w:val="20"/>
        </w:rPr>
        <w:t>298.</w:t>
      </w:r>
    </w:p>
  </w:footnote>
  <w:footnote w:id="134">
    <w:p w14:paraId="25DA2E4A" w14:textId="1372AE68"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w:t>
      </w:r>
      <w:r w:rsidRPr="002552EA">
        <w:rPr>
          <w:rFonts w:cstheme="minorHAnsi"/>
          <w:sz w:val="20"/>
          <w:szCs w:val="20"/>
        </w:rPr>
        <w:t xml:space="preserve">Norberg &amp; Velkey,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_Ref275782955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w:t>
      </w:r>
      <w:r w:rsidRPr="002552EA">
        <w:rPr>
          <w:rFonts w:cstheme="minorHAnsi"/>
          <w:sz w:val="20"/>
          <w:szCs w:val="20"/>
        </w:rPr>
        <w:fldChar w:fldCharType="end"/>
      </w:r>
      <w:r w:rsidRPr="002552EA">
        <w:rPr>
          <w:rFonts w:cstheme="minorHAnsi"/>
          <w:sz w:val="20"/>
          <w:szCs w:val="20"/>
        </w:rPr>
        <w:t>, at 497 (“Among the most remarkable findings of the Project is that at least half of all of the Chapter 13 debtors in the sample had filed one or more bankruptcy cases in addition to the sample case.”)</w:t>
      </w:r>
      <w:r>
        <w:rPr>
          <w:rFonts w:cstheme="minorHAnsi"/>
          <w:sz w:val="20"/>
          <w:szCs w:val="20"/>
        </w:rPr>
        <w:t>.</w:t>
      </w:r>
    </w:p>
  </w:footnote>
  <w:footnote w:id="135">
    <w:p w14:paraId="3E2E847B" w14:textId="25825139"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Although chapter 13 allows debtors to modify their plans, the Administrative Office reports that these modifications are somewhat rare. Of the chapter 13 plans actually completed in 2014, just 22% had any modifications, and just 2% had more than two. </w:t>
      </w:r>
      <w:r w:rsidRPr="002552EA">
        <w:rPr>
          <w:rFonts w:cstheme="minorHAnsi"/>
          <w:i/>
          <w:sz w:val="20"/>
          <w:szCs w:val="20"/>
        </w:rPr>
        <w:t xml:space="preserve">See </w:t>
      </w:r>
      <w:r>
        <w:rPr>
          <w:rFonts w:cstheme="minorHAnsi"/>
          <w:sz w:val="20"/>
          <w:szCs w:val="20"/>
        </w:rPr>
        <w:t xml:space="preserve">BAPCPA Report—2014, </w:t>
      </w:r>
      <w:r w:rsidRPr="002552EA">
        <w:rPr>
          <w:rFonts w:cstheme="minorHAnsi"/>
          <w:sz w:val="20"/>
          <w:szCs w:val="20"/>
        </w:rPr>
        <w:t>Table 6</w:t>
      </w:r>
      <w:r>
        <w:rPr>
          <w:rFonts w:cstheme="minorHAnsi"/>
          <w:sz w:val="20"/>
          <w:szCs w:val="20"/>
        </w:rPr>
        <w:t xml:space="preserve">, </w:t>
      </w:r>
      <w:r>
        <w:rPr>
          <w:rFonts w:cstheme="minorHAnsi"/>
          <w:i/>
          <w:sz w:val="20"/>
          <w:szCs w:val="20"/>
        </w:rPr>
        <w:t>available at</w:t>
      </w:r>
      <w:r w:rsidRPr="002552EA">
        <w:rPr>
          <w:rFonts w:cstheme="minorHAnsi"/>
          <w:sz w:val="20"/>
          <w:szCs w:val="20"/>
        </w:rPr>
        <w:t xml:space="preserve"> </w:t>
      </w:r>
      <w:r w:rsidRPr="00DD0F08">
        <w:rPr>
          <w:rFonts w:cstheme="minorHAnsi"/>
          <w:sz w:val="20"/>
          <w:szCs w:val="20"/>
        </w:rPr>
        <w:t>http://www.uscourts.gov/statistics-reports/bapcpa-report-2014</w:t>
      </w:r>
      <w:r>
        <w:rPr>
          <w:rFonts w:cstheme="minorHAnsi"/>
          <w:sz w:val="20"/>
          <w:szCs w:val="20"/>
        </w:rPr>
        <w:t>.</w:t>
      </w:r>
      <w:r w:rsidRPr="002552EA">
        <w:rPr>
          <w:rFonts w:cstheme="minorHAnsi"/>
          <w:sz w:val="20"/>
          <w:szCs w:val="20"/>
        </w:rPr>
        <w:t xml:space="preserve">  For a discussion of post-confirmation modification in chapter 11, </w:t>
      </w:r>
      <w:r w:rsidRPr="002552EA">
        <w:rPr>
          <w:rFonts w:cstheme="minorHAnsi"/>
          <w:i/>
          <w:sz w:val="20"/>
          <w:szCs w:val="20"/>
        </w:rPr>
        <w:t xml:space="preserve">see infra </w:t>
      </w:r>
      <w:r w:rsidRPr="002552EA">
        <w:rPr>
          <w:rFonts w:cstheme="minorHAnsi"/>
          <w:sz w:val="20"/>
          <w:szCs w:val="20"/>
        </w:rPr>
        <w:t xml:space="preserve">note </w:t>
      </w:r>
      <w:r w:rsidRPr="002552EA">
        <w:rPr>
          <w:rFonts w:cstheme="minorHAnsi"/>
          <w:sz w:val="20"/>
          <w:szCs w:val="20"/>
          <w:highlight w:val="yellow"/>
        </w:rPr>
        <w:fldChar w:fldCharType="begin"/>
      </w:r>
      <w:r w:rsidRPr="002552EA">
        <w:rPr>
          <w:rFonts w:cstheme="minorHAnsi"/>
          <w:sz w:val="20"/>
          <w:szCs w:val="20"/>
        </w:rPr>
        <w:instrText xml:space="preserve"> NOTEREF _Ref333755759 \h </w:instrText>
      </w:r>
      <w:r w:rsidRPr="002552EA">
        <w:rPr>
          <w:rFonts w:cstheme="minorHAnsi"/>
          <w:sz w:val="20"/>
          <w:szCs w:val="20"/>
          <w:highlight w:val="yellow"/>
        </w:rPr>
      </w:r>
      <w:r w:rsidRPr="002552EA">
        <w:rPr>
          <w:rFonts w:cstheme="minorHAnsi"/>
          <w:sz w:val="20"/>
          <w:szCs w:val="20"/>
          <w:highlight w:val="yellow"/>
        </w:rPr>
        <w:fldChar w:fldCharType="separate"/>
      </w:r>
      <w:r>
        <w:rPr>
          <w:rFonts w:cstheme="minorHAnsi"/>
          <w:sz w:val="20"/>
          <w:szCs w:val="20"/>
        </w:rPr>
        <w:t>194</w:t>
      </w:r>
      <w:r w:rsidRPr="002552EA">
        <w:rPr>
          <w:rFonts w:cstheme="minorHAnsi"/>
          <w:sz w:val="20"/>
          <w:szCs w:val="20"/>
          <w:highlight w:val="yellow"/>
        </w:rPr>
        <w:fldChar w:fldCharType="end"/>
      </w:r>
      <w:r w:rsidRPr="002552EA">
        <w:rPr>
          <w:rFonts w:cstheme="minorHAnsi"/>
          <w:sz w:val="20"/>
          <w:szCs w:val="20"/>
        </w:rPr>
        <w:t xml:space="preserve">. </w:t>
      </w:r>
    </w:p>
  </w:footnote>
  <w:footnote w:id="136">
    <w:p w14:paraId="277AF6A3" w14:textId="3D973E8C" w:rsidR="00560FBA" w:rsidRPr="00867EDB"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Pr>
          <w:rFonts w:cstheme="minorHAnsi"/>
          <w:sz w:val="20"/>
          <w:szCs w:val="20"/>
        </w:rPr>
        <w:t xml:space="preserve">Bloomberg Law, </w:t>
      </w:r>
      <w:r>
        <w:rPr>
          <w:rFonts w:cstheme="minorHAnsi"/>
          <w:i/>
          <w:sz w:val="20"/>
          <w:szCs w:val="20"/>
        </w:rPr>
        <w:t xml:space="preserve">available at </w:t>
      </w:r>
      <w:r w:rsidRPr="00A42155">
        <w:rPr>
          <w:rFonts w:cstheme="minorHAnsi"/>
          <w:sz w:val="20"/>
          <w:szCs w:val="20"/>
        </w:rPr>
        <w:t>https://www.bloomberglaw.com/start</w:t>
      </w:r>
    </w:p>
  </w:footnote>
  <w:footnote w:id="137">
    <w:p w14:paraId="50F97F82"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In 2010, twelve debtors disclosed a prior filing on their petitions, but in one case the filing was not by either of the married debtors but rather by a related entity. </w:t>
      </w:r>
      <w:r w:rsidRPr="002552EA">
        <w:rPr>
          <w:rFonts w:cstheme="minorHAnsi"/>
          <w:i/>
          <w:sz w:val="20"/>
          <w:szCs w:val="20"/>
        </w:rPr>
        <w:t xml:space="preserve">See In re </w:t>
      </w:r>
      <w:r w:rsidRPr="009937C0">
        <w:rPr>
          <w:rFonts w:cstheme="minorHAnsi"/>
          <w:sz w:val="20"/>
          <w:szCs w:val="20"/>
        </w:rPr>
        <w:t>Lewis</w:t>
      </w:r>
      <w:r w:rsidRPr="002552EA">
        <w:rPr>
          <w:rFonts w:cstheme="minorHAnsi"/>
          <w:i/>
          <w:sz w:val="20"/>
          <w:szCs w:val="20"/>
        </w:rPr>
        <w:t xml:space="preserve">, </w:t>
      </w:r>
      <w:r w:rsidRPr="002552EA">
        <w:rPr>
          <w:rFonts w:cstheme="minorHAnsi"/>
          <w:sz w:val="20"/>
          <w:szCs w:val="20"/>
        </w:rPr>
        <w:t>No. 10-14965 (Bankr. D. Ariz. May 14, 2010) (disclosing prior filing by Lewis Investment Properties, LLC).</w:t>
      </w:r>
    </w:p>
  </w:footnote>
  <w:footnote w:id="138">
    <w:p w14:paraId="7C287989" w14:textId="563AD40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In re </w:t>
      </w:r>
      <w:r w:rsidRPr="002552EA">
        <w:rPr>
          <w:rFonts w:cstheme="minorHAnsi"/>
          <w:sz w:val="20"/>
          <w:szCs w:val="20"/>
        </w:rPr>
        <w:t>Langdon</w:t>
      </w:r>
      <w:r w:rsidRPr="002552EA">
        <w:rPr>
          <w:rFonts w:cstheme="minorHAnsi"/>
          <w:i/>
          <w:sz w:val="20"/>
          <w:szCs w:val="20"/>
        </w:rPr>
        <w:t xml:space="preserve">, </w:t>
      </w:r>
      <w:r w:rsidRPr="002552EA">
        <w:rPr>
          <w:rFonts w:cstheme="minorHAnsi"/>
          <w:sz w:val="20"/>
          <w:szCs w:val="20"/>
        </w:rPr>
        <w:t xml:space="preserve">No. 10-07211 (Bankr. E.D. N.C. Sept. 3, 2010) (married debtors’ chapter 11 plan apparently failed, as they re-filed for relief under chapter 13 a little over three years after the bankruptcy court confirmed their plan of reorganization). </w:t>
      </w:r>
    </w:p>
  </w:footnote>
  <w:footnote w:id="139">
    <w:p w14:paraId="37CB76C1" w14:textId="3AC4C49B"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In re </w:t>
      </w:r>
      <w:r w:rsidRPr="002552EA">
        <w:rPr>
          <w:rFonts w:cstheme="minorHAnsi"/>
          <w:sz w:val="20"/>
          <w:szCs w:val="20"/>
        </w:rPr>
        <w:t>Anderson</w:t>
      </w:r>
      <w:r w:rsidRPr="002552EA">
        <w:rPr>
          <w:rFonts w:cstheme="minorHAnsi"/>
          <w:i/>
          <w:sz w:val="20"/>
          <w:szCs w:val="20"/>
        </w:rPr>
        <w:t xml:space="preserve">, </w:t>
      </w:r>
      <w:r w:rsidRPr="002552EA">
        <w:rPr>
          <w:rFonts w:cstheme="minorHAnsi"/>
          <w:sz w:val="20"/>
          <w:szCs w:val="20"/>
        </w:rPr>
        <w:t xml:space="preserve">No. 10-39309 (Bankr. E.D. Cal. July 22, 2010) (chapter 11 case dismissed, after debtor had filed and had dismissed four chapter 13 cases in the prior two years in the Northern District of California; debtor then re-filed for relief under chapter 7 in the Eastern District of California, only to have the court dismiss that case within a month of filing); </w:t>
      </w:r>
      <w:r w:rsidRPr="002552EA">
        <w:rPr>
          <w:rFonts w:cstheme="minorHAnsi"/>
          <w:i/>
          <w:sz w:val="20"/>
          <w:szCs w:val="20"/>
        </w:rPr>
        <w:t xml:space="preserve">In re </w:t>
      </w:r>
      <w:r w:rsidRPr="002552EA">
        <w:rPr>
          <w:rFonts w:cstheme="minorHAnsi"/>
          <w:sz w:val="20"/>
          <w:szCs w:val="20"/>
        </w:rPr>
        <w:t>Wiryadimejo</w:t>
      </w:r>
      <w:r w:rsidRPr="002552EA">
        <w:rPr>
          <w:rFonts w:cstheme="minorHAnsi"/>
          <w:i/>
          <w:sz w:val="20"/>
          <w:szCs w:val="20"/>
        </w:rPr>
        <w:t xml:space="preserve">, </w:t>
      </w:r>
      <w:r w:rsidRPr="002552EA">
        <w:rPr>
          <w:rFonts w:cstheme="minorHAnsi"/>
          <w:sz w:val="20"/>
          <w:szCs w:val="20"/>
        </w:rPr>
        <w:t>No. 10-17032 (Bankr. C.D. Cal. May 25, 2010) (chapter 11 case dismissed, after which debtor filed five more bankruptcy cases—four under chapter 7 and one u</w:t>
      </w:r>
      <w:r>
        <w:rPr>
          <w:rFonts w:cstheme="minorHAnsi"/>
          <w:sz w:val="20"/>
          <w:szCs w:val="20"/>
        </w:rPr>
        <w:t>nder chapter 11—over the next nineteen</w:t>
      </w:r>
      <w:r w:rsidRPr="002552EA">
        <w:rPr>
          <w:rFonts w:cstheme="minorHAnsi"/>
          <w:sz w:val="20"/>
          <w:szCs w:val="20"/>
        </w:rPr>
        <w:t xml:space="preserve"> months).</w:t>
      </w:r>
    </w:p>
  </w:footnote>
  <w:footnote w:id="140">
    <w:p w14:paraId="15DD76AF" w14:textId="2E67E22C"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362(c)(3) (2012). </w:t>
      </w:r>
    </w:p>
  </w:footnote>
  <w:footnote w:id="141">
    <w:p w14:paraId="42DFA4E6" w14:textId="7B5995FC"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In re </w:t>
      </w:r>
      <w:r w:rsidRPr="00BC2D6C">
        <w:rPr>
          <w:rFonts w:cstheme="minorHAnsi"/>
          <w:sz w:val="20"/>
          <w:szCs w:val="20"/>
        </w:rPr>
        <w:t>Dietz</w:t>
      </w:r>
      <w:r w:rsidRPr="002552EA">
        <w:rPr>
          <w:rFonts w:cstheme="minorHAnsi"/>
          <w:i/>
          <w:sz w:val="20"/>
          <w:szCs w:val="20"/>
        </w:rPr>
        <w:t xml:space="preserve">, </w:t>
      </w:r>
      <w:r w:rsidRPr="002552EA">
        <w:rPr>
          <w:rFonts w:cstheme="minorHAnsi"/>
          <w:sz w:val="20"/>
          <w:szCs w:val="20"/>
        </w:rPr>
        <w:t xml:space="preserve">No. 10-10574 (Bankr. C.D. Cal. Jan. 8, 2010) (debtor received chapter 7 discharge in case filed in same district 11 months earlier).  Unlike chapters 7 and 13, chapter 11 does not limit an individual debtor’s right to a discharge based on the debtor having received a discharge, within certain time frames, in an earlier-filed bankruptcy case. </w:t>
      </w:r>
      <w:r w:rsidRPr="002552EA">
        <w:rPr>
          <w:rFonts w:cstheme="minorHAnsi"/>
          <w:i/>
          <w:sz w:val="20"/>
          <w:szCs w:val="20"/>
        </w:rPr>
        <w:t xml:space="preserve">See </w:t>
      </w:r>
      <w:r w:rsidRPr="002552EA">
        <w:rPr>
          <w:rFonts w:cstheme="minorHAnsi"/>
          <w:sz w:val="20"/>
          <w:szCs w:val="20"/>
        </w:rPr>
        <w:t xml:space="preserve">11 U.S.C. § 1141 (2012) (no language denying discharge based on discharge received in prior bankruptcy case); </w:t>
      </w:r>
      <w:r w:rsidRPr="002552EA">
        <w:rPr>
          <w:rFonts w:cstheme="minorHAnsi"/>
          <w:i/>
          <w:sz w:val="20"/>
          <w:szCs w:val="20"/>
        </w:rPr>
        <w:t xml:space="preserve">cf. </w:t>
      </w:r>
      <w:r w:rsidRPr="00BC2D6C">
        <w:rPr>
          <w:rFonts w:cstheme="minorHAnsi"/>
          <w:i/>
          <w:sz w:val="20"/>
          <w:szCs w:val="20"/>
        </w:rPr>
        <w:t>id</w:t>
      </w:r>
      <w:r>
        <w:rPr>
          <w:rFonts w:cstheme="minorHAnsi"/>
          <w:sz w:val="20"/>
          <w:szCs w:val="20"/>
        </w:rPr>
        <w:t xml:space="preserve">. at </w:t>
      </w:r>
      <w:r w:rsidRPr="002552EA">
        <w:rPr>
          <w:rFonts w:cstheme="minorHAnsi"/>
          <w:sz w:val="20"/>
          <w:szCs w:val="20"/>
        </w:rPr>
        <w:t>§</w:t>
      </w:r>
      <w:r>
        <w:rPr>
          <w:rFonts w:cstheme="minorHAnsi"/>
          <w:sz w:val="20"/>
          <w:szCs w:val="20"/>
        </w:rPr>
        <w:t>§727(a)(8), (9)</w:t>
      </w:r>
      <w:r w:rsidRPr="002552EA">
        <w:rPr>
          <w:rFonts w:cstheme="minorHAnsi"/>
          <w:sz w:val="20"/>
          <w:szCs w:val="20"/>
        </w:rPr>
        <w:t xml:space="preserve"> (denying discharge to a chapter 7 debtor if the debtor received a discharge in a case filed, depending on chapter, within 6 to 8 years of the current chapter 7 case); </w:t>
      </w:r>
      <w:r w:rsidRPr="00BC2D6C">
        <w:rPr>
          <w:rFonts w:cstheme="minorHAnsi"/>
          <w:i/>
          <w:sz w:val="20"/>
          <w:szCs w:val="20"/>
        </w:rPr>
        <w:t>id</w:t>
      </w:r>
      <w:r>
        <w:rPr>
          <w:rFonts w:cstheme="minorHAnsi"/>
          <w:sz w:val="20"/>
          <w:szCs w:val="20"/>
        </w:rPr>
        <w:t>. at § 1328(f)</w:t>
      </w:r>
      <w:r w:rsidRPr="002552EA">
        <w:rPr>
          <w:rFonts w:cstheme="minorHAnsi"/>
          <w:sz w:val="20"/>
          <w:szCs w:val="20"/>
        </w:rPr>
        <w:t xml:space="preserve"> (denying discharge to chapter 13 debtor if debtor received a discharge in a case filed, depending on chapter, within </w:t>
      </w:r>
      <w:r>
        <w:rPr>
          <w:rFonts w:cstheme="minorHAnsi"/>
          <w:sz w:val="20"/>
          <w:szCs w:val="20"/>
        </w:rPr>
        <w:t>two</w:t>
      </w:r>
      <w:r w:rsidRPr="002552EA">
        <w:rPr>
          <w:rFonts w:cstheme="minorHAnsi"/>
          <w:sz w:val="20"/>
          <w:szCs w:val="20"/>
        </w:rPr>
        <w:t xml:space="preserve"> to </w:t>
      </w:r>
      <w:r>
        <w:rPr>
          <w:rFonts w:cstheme="minorHAnsi"/>
          <w:sz w:val="20"/>
          <w:szCs w:val="20"/>
        </w:rPr>
        <w:t>four</w:t>
      </w:r>
      <w:r w:rsidRPr="002552EA">
        <w:rPr>
          <w:rFonts w:cstheme="minorHAnsi"/>
          <w:sz w:val="20"/>
          <w:szCs w:val="20"/>
        </w:rPr>
        <w:t xml:space="preserve"> years of the current chapter 13 case). </w:t>
      </w:r>
    </w:p>
  </w:footnote>
  <w:footnote w:id="142">
    <w:p w14:paraId="02EC44F6" w14:textId="786F10A0"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In re </w:t>
      </w:r>
      <w:r w:rsidRPr="00A42155">
        <w:rPr>
          <w:rFonts w:cstheme="minorHAnsi"/>
          <w:sz w:val="20"/>
          <w:szCs w:val="20"/>
        </w:rPr>
        <w:t>Inglis</w:t>
      </w:r>
      <w:r w:rsidRPr="002552EA">
        <w:rPr>
          <w:rFonts w:cstheme="minorHAnsi"/>
          <w:i/>
          <w:sz w:val="20"/>
          <w:szCs w:val="20"/>
        </w:rPr>
        <w:t xml:space="preserve">, </w:t>
      </w:r>
      <w:r w:rsidRPr="002552EA">
        <w:rPr>
          <w:rFonts w:cstheme="minorHAnsi"/>
          <w:sz w:val="20"/>
          <w:szCs w:val="20"/>
        </w:rPr>
        <w:t xml:space="preserve">No. 10-35781 (Bankr. E.D. Va. Aug. 19, 2010) (debtor obtained confirmation of chapter 11 plan, but re-filed for relief under chapter 13 nine months later).  The debtor would be entitled to a discharge in the chapter 13 case, because failure of the chapter 11 plan means that the debtor did not receive a discharge in the chapter 11 case. </w:t>
      </w:r>
      <w:r w:rsidRPr="002552EA">
        <w:rPr>
          <w:rFonts w:cstheme="minorHAnsi"/>
          <w:i/>
          <w:sz w:val="20"/>
          <w:szCs w:val="20"/>
        </w:rPr>
        <w:t xml:space="preserve">See </w:t>
      </w:r>
      <w:r w:rsidRPr="002552EA">
        <w:rPr>
          <w:rFonts w:cstheme="minorHAnsi"/>
          <w:sz w:val="20"/>
          <w:szCs w:val="20"/>
        </w:rPr>
        <w:t xml:space="preserve">11 U.S.C. § 1328(f)(1) (2012). </w:t>
      </w:r>
    </w:p>
  </w:footnote>
  <w:footnote w:id="143">
    <w:p w14:paraId="4F4B2829" w14:textId="6FEFCCAB"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 re </w:t>
      </w:r>
      <w:r w:rsidRPr="002552EA">
        <w:rPr>
          <w:rFonts w:cstheme="minorHAnsi"/>
          <w:sz w:val="20"/>
          <w:szCs w:val="20"/>
        </w:rPr>
        <w:t>Drabin</w:t>
      </w:r>
      <w:r w:rsidRPr="002552EA">
        <w:rPr>
          <w:rFonts w:cstheme="minorHAnsi"/>
          <w:i/>
          <w:sz w:val="20"/>
          <w:szCs w:val="20"/>
        </w:rPr>
        <w:t xml:space="preserve">, </w:t>
      </w:r>
      <w:r w:rsidRPr="002552EA">
        <w:rPr>
          <w:rFonts w:cstheme="minorHAnsi"/>
          <w:sz w:val="20"/>
          <w:szCs w:val="20"/>
        </w:rPr>
        <w:t>No. 10-16315 (Bankr. M.D. Fla. Dec. 16, 2010) (married debtors file</w:t>
      </w:r>
      <w:r>
        <w:rPr>
          <w:rFonts w:cstheme="minorHAnsi"/>
          <w:sz w:val="20"/>
          <w:szCs w:val="20"/>
        </w:rPr>
        <w:t xml:space="preserve">d for bankruptcy in December 2010, about 11 months after </w:t>
      </w:r>
      <w:r w:rsidRPr="002552EA">
        <w:rPr>
          <w:rFonts w:cstheme="minorHAnsi"/>
          <w:sz w:val="20"/>
          <w:szCs w:val="20"/>
        </w:rPr>
        <w:t xml:space="preserve">bankruptcy court dismissed their 2008 chapter 13 case). </w:t>
      </w:r>
    </w:p>
  </w:footnote>
  <w:footnote w:id="144">
    <w:p w14:paraId="3AEECABA" w14:textId="7DC849EF"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 re </w:t>
      </w:r>
      <w:r w:rsidRPr="00A42155">
        <w:rPr>
          <w:rFonts w:cstheme="minorHAnsi"/>
          <w:sz w:val="20"/>
          <w:szCs w:val="20"/>
        </w:rPr>
        <w:t>Linares</w:t>
      </w:r>
      <w:r w:rsidRPr="002552EA">
        <w:rPr>
          <w:rFonts w:cstheme="minorHAnsi"/>
          <w:i/>
          <w:sz w:val="20"/>
          <w:szCs w:val="20"/>
        </w:rPr>
        <w:t xml:space="preserve">, </w:t>
      </w:r>
      <w:r w:rsidRPr="002552EA">
        <w:rPr>
          <w:rFonts w:cstheme="minorHAnsi"/>
          <w:sz w:val="20"/>
          <w:szCs w:val="20"/>
        </w:rPr>
        <w:t xml:space="preserve">2010 WL 2788248, at *1 (Bankr. S.D. Fla. July 10, 2010) (holding that dismissal not administrative closing is relevant date from which to run the time period in § 362(c)(3)); </w:t>
      </w:r>
      <w:r w:rsidRPr="002552EA">
        <w:rPr>
          <w:rFonts w:cstheme="minorHAnsi"/>
          <w:i/>
          <w:sz w:val="20"/>
          <w:szCs w:val="20"/>
        </w:rPr>
        <w:t xml:space="preserve">In re </w:t>
      </w:r>
      <w:r w:rsidRPr="00A42155">
        <w:rPr>
          <w:rFonts w:cstheme="minorHAnsi"/>
          <w:sz w:val="20"/>
          <w:szCs w:val="20"/>
        </w:rPr>
        <w:t>Easthope</w:t>
      </w:r>
      <w:r w:rsidRPr="002552EA">
        <w:rPr>
          <w:rFonts w:cstheme="minorHAnsi"/>
          <w:i/>
          <w:sz w:val="20"/>
          <w:szCs w:val="20"/>
        </w:rPr>
        <w:t xml:space="preserve">, </w:t>
      </w:r>
      <w:r w:rsidRPr="002552EA">
        <w:rPr>
          <w:rFonts w:cstheme="minorHAnsi"/>
          <w:sz w:val="20"/>
          <w:szCs w:val="20"/>
        </w:rPr>
        <w:t xml:space="preserve">2006 WL 851829, at *3 (Bankr. D. Utah Mar. 28, 2006) (noting that it would be unfair to debtors to run the time period in § 362(c)(3) from the date of case closing because debtors cannot control when the clerk’s office closes a case and, thus, holding that “[t]he plain meaning of the word ‘pending’ as well as policy considerations demonstrate that a case is no longer pending once it has been dismissed”); </w:t>
      </w:r>
      <w:r w:rsidRPr="002552EA">
        <w:rPr>
          <w:rFonts w:cstheme="minorHAnsi"/>
          <w:i/>
          <w:sz w:val="20"/>
          <w:szCs w:val="20"/>
        </w:rPr>
        <w:t xml:space="preserve">In re </w:t>
      </w:r>
      <w:r w:rsidRPr="00A42155">
        <w:rPr>
          <w:rFonts w:cstheme="minorHAnsi"/>
          <w:sz w:val="20"/>
          <w:szCs w:val="20"/>
        </w:rPr>
        <w:t>Moore</w:t>
      </w:r>
      <w:r w:rsidRPr="002552EA">
        <w:rPr>
          <w:rFonts w:cstheme="minorHAnsi"/>
          <w:i/>
          <w:sz w:val="20"/>
          <w:szCs w:val="20"/>
        </w:rPr>
        <w:t xml:space="preserve">, </w:t>
      </w:r>
      <w:r w:rsidRPr="002552EA">
        <w:rPr>
          <w:rFonts w:cstheme="minorHAnsi"/>
          <w:sz w:val="20"/>
          <w:szCs w:val="20"/>
        </w:rPr>
        <w:t>337 B.R. 79, 81 (Bankr. E.D. N.C. 2005) (stating that debtor’s prior bankruptcy case was “no longer ‘pending</w:t>
      </w:r>
      <w:r>
        <w:rPr>
          <w:rFonts w:cstheme="minorHAnsi"/>
          <w:sz w:val="20"/>
          <w:szCs w:val="20"/>
        </w:rPr>
        <w:t>’</w:t>
      </w:r>
      <w:r w:rsidRPr="002552EA">
        <w:rPr>
          <w:rFonts w:cstheme="minorHAnsi"/>
          <w:sz w:val="20"/>
          <w:szCs w:val="20"/>
        </w:rPr>
        <w:t xml:space="preserve"> for purposes of § 362(c)(3) as of the date of dismissal, regardless of when the case was closed”). </w:t>
      </w:r>
      <w:r>
        <w:rPr>
          <w:rFonts w:cstheme="minorHAnsi"/>
          <w:sz w:val="20"/>
          <w:szCs w:val="20"/>
        </w:rPr>
        <w:t>Courts disagree</w:t>
      </w:r>
      <w:r w:rsidRPr="002552EA">
        <w:rPr>
          <w:rFonts w:cstheme="minorHAnsi"/>
          <w:sz w:val="20"/>
          <w:szCs w:val="20"/>
        </w:rPr>
        <w:t xml:space="preserve"> about whether a motion to vacate or reconsider a dismissal order extends the time that a case is pending. </w:t>
      </w:r>
      <w:r w:rsidRPr="002552EA">
        <w:rPr>
          <w:rFonts w:cstheme="minorHAnsi"/>
          <w:i/>
          <w:sz w:val="20"/>
          <w:szCs w:val="20"/>
        </w:rPr>
        <w:t xml:space="preserve">Compare In re </w:t>
      </w:r>
      <w:r w:rsidRPr="00A42155">
        <w:rPr>
          <w:rFonts w:cstheme="minorHAnsi"/>
          <w:sz w:val="20"/>
          <w:szCs w:val="20"/>
        </w:rPr>
        <w:t>Lundquist</w:t>
      </w:r>
      <w:r w:rsidRPr="002552EA">
        <w:rPr>
          <w:rFonts w:cstheme="minorHAnsi"/>
          <w:i/>
          <w:sz w:val="20"/>
          <w:szCs w:val="20"/>
        </w:rPr>
        <w:t xml:space="preserve">, </w:t>
      </w:r>
      <w:r w:rsidRPr="002552EA">
        <w:rPr>
          <w:rFonts w:cstheme="minorHAnsi"/>
          <w:sz w:val="20"/>
          <w:szCs w:val="20"/>
        </w:rPr>
        <w:t>371 B.R. 183, 190 (Bankr. E.D. Penn. 2007) (footnote omitted) (holding that “[a] case is ‘pendin</w:t>
      </w:r>
      <w:r>
        <w:rPr>
          <w:rFonts w:cstheme="minorHAnsi"/>
          <w:sz w:val="20"/>
          <w:szCs w:val="20"/>
        </w:rPr>
        <w:t>g</w:t>
      </w:r>
      <w:r w:rsidRPr="002552EA">
        <w:rPr>
          <w:rFonts w:cstheme="minorHAnsi"/>
          <w:sz w:val="20"/>
          <w:szCs w:val="20"/>
        </w:rPr>
        <w:t>’ for purposes of section 362(c) until it is dismissed, and a motion to vacate the dismissal does not extend the time that the case is ‘pending’”)</w:t>
      </w:r>
      <w:r>
        <w:rPr>
          <w:rFonts w:cstheme="minorHAnsi"/>
          <w:sz w:val="20"/>
          <w:szCs w:val="20"/>
        </w:rPr>
        <w:t>,</w:t>
      </w:r>
      <w:r w:rsidRPr="002552EA">
        <w:rPr>
          <w:rFonts w:cstheme="minorHAnsi"/>
          <w:sz w:val="20"/>
          <w:szCs w:val="20"/>
        </w:rPr>
        <w:t xml:space="preserve"> </w:t>
      </w:r>
      <w:r w:rsidRPr="002552EA">
        <w:rPr>
          <w:rFonts w:cstheme="minorHAnsi"/>
          <w:i/>
          <w:sz w:val="20"/>
          <w:szCs w:val="20"/>
        </w:rPr>
        <w:t>with</w:t>
      </w:r>
      <w:r w:rsidRPr="002552EA">
        <w:rPr>
          <w:rFonts w:cstheme="minorHAnsi"/>
          <w:sz w:val="20"/>
          <w:szCs w:val="20"/>
        </w:rPr>
        <w:t xml:space="preserve"> </w:t>
      </w:r>
      <w:r w:rsidRPr="002552EA">
        <w:rPr>
          <w:rFonts w:cstheme="minorHAnsi"/>
          <w:i/>
          <w:sz w:val="20"/>
          <w:szCs w:val="20"/>
        </w:rPr>
        <w:t xml:space="preserve">In re </w:t>
      </w:r>
      <w:r w:rsidRPr="00A42155">
        <w:rPr>
          <w:rFonts w:cstheme="minorHAnsi"/>
          <w:sz w:val="20"/>
          <w:szCs w:val="20"/>
        </w:rPr>
        <w:t>Myers</w:t>
      </w:r>
      <w:r w:rsidRPr="002552EA">
        <w:rPr>
          <w:rFonts w:cstheme="minorHAnsi"/>
          <w:i/>
          <w:sz w:val="20"/>
          <w:szCs w:val="20"/>
        </w:rPr>
        <w:t xml:space="preserve">, </w:t>
      </w:r>
      <w:r w:rsidRPr="002552EA">
        <w:rPr>
          <w:rFonts w:cstheme="minorHAnsi"/>
          <w:sz w:val="20"/>
          <w:szCs w:val="20"/>
        </w:rPr>
        <w:t xml:space="preserve">2007 WL 2428694 at *8 (finding “the </w:t>
      </w:r>
      <w:r w:rsidRPr="002552EA">
        <w:rPr>
          <w:rFonts w:cstheme="minorHAnsi"/>
          <w:i/>
          <w:sz w:val="20"/>
          <w:szCs w:val="20"/>
        </w:rPr>
        <w:t xml:space="preserve">Lundquist </w:t>
      </w:r>
      <w:r w:rsidRPr="002552EA">
        <w:rPr>
          <w:rFonts w:cstheme="minorHAnsi"/>
          <w:sz w:val="20"/>
          <w:szCs w:val="20"/>
        </w:rPr>
        <w:t xml:space="preserve">analysis unpersuasive” and concluding that debtor’s earlier bankruptcy case was still pending, notwithstanding the court’s order of dismissal, because “the dismissal order lacked finality due to [debtor’s] pending motion for reconsideration”). </w:t>
      </w:r>
    </w:p>
  </w:footnote>
  <w:footnote w:id="145">
    <w:p w14:paraId="0F1CB78E" w14:textId="255DA92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_Ref333839450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107</w:t>
      </w:r>
      <w:r w:rsidRPr="002552EA">
        <w:rPr>
          <w:rFonts w:cstheme="minorHAnsi"/>
          <w:sz w:val="20"/>
          <w:szCs w:val="20"/>
        </w:rPr>
        <w:fldChar w:fldCharType="end"/>
      </w:r>
      <w:r w:rsidRPr="002552EA">
        <w:rPr>
          <w:rFonts w:cstheme="minorHAnsi"/>
          <w:sz w:val="20"/>
          <w:szCs w:val="20"/>
        </w:rPr>
        <w:t xml:space="preserve"> and accompanying text.  </w:t>
      </w:r>
    </w:p>
  </w:footnote>
  <w:footnote w:id="146">
    <w:p w14:paraId="17CA6ABA" w14:textId="5549DDD9"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In re </w:t>
      </w:r>
      <w:r w:rsidRPr="00320D25">
        <w:rPr>
          <w:rFonts w:cstheme="minorHAnsi"/>
          <w:sz w:val="20"/>
          <w:szCs w:val="20"/>
        </w:rPr>
        <w:t>Tuls</w:t>
      </w:r>
      <w:r w:rsidRPr="002552EA">
        <w:rPr>
          <w:rFonts w:cstheme="minorHAnsi"/>
          <w:i/>
          <w:sz w:val="20"/>
          <w:szCs w:val="20"/>
        </w:rPr>
        <w:t xml:space="preserve">, </w:t>
      </w:r>
      <w:r w:rsidRPr="002552EA">
        <w:rPr>
          <w:rFonts w:cstheme="minorHAnsi"/>
          <w:sz w:val="20"/>
          <w:szCs w:val="20"/>
        </w:rPr>
        <w:t xml:space="preserve">No. 13-11930 (Bankr. D. Nev. July 2, 2013) (debtor filed schedules with initial chapter 7 filing showing total liabilities of approximately $2.1 million, converted to chapter 11 </w:t>
      </w:r>
      <w:r>
        <w:rPr>
          <w:rFonts w:cstheme="minorHAnsi"/>
          <w:sz w:val="20"/>
          <w:szCs w:val="20"/>
        </w:rPr>
        <w:t>four</w:t>
      </w:r>
      <w:r w:rsidRPr="002552EA">
        <w:rPr>
          <w:rFonts w:cstheme="minorHAnsi"/>
          <w:sz w:val="20"/>
          <w:szCs w:val="20"/>
        </w:rPr>
        <w:t xml:space="preserve"> months later and filed an amended Schedule F, and three months after converting to chapter 11 converted the case back to chapter 7 and filed amended schedules with total liabilities of $3.36 million); </w:t>
      </w:r>
      <w:r w:rsidRPr="002552EA">
        <w:rPr>
          <w:rFonts w:cstheme="minorHAnsi"/>
          <w:i/>
          <w:sz w:val="20"/>
          <w:szCs w:val="20"/>
        </w:rPr>
        <w:t xml:space="preserve">In re McBryde, </w:t>
      </w:r>
      <w:r w:rsidRPr="002552EA">
        <w:rPr>
          <w:rFonts w:cstheme="minorHAnsi"/>
          <w:sz w:val="20"/>
          <w:szCs w:val="20"/>
        </w:rPr>
        <w:t xml:space="preserve">No. 10-13394 (Bankr. W.D. Tex. Dec. 6, 2010) (debtors filed initial Summary of Schedules with “Total” of almost $2.1 million for liabilities, and 14 months later filed an amended Summary of Schedules with $0 entered for “Total” liabilities, apparently because debtors amendment did not include any amendments to Schedules D, E or F); </w:t>
      </w:r>
      <w:r w:rsidRPr="002552EA">
        <w:rPr>
          <w:rFonts w:cstheme="minorHAnsi"/>
          <w:i/>
          <w:sz w:val="20"/>
          <w:szCs w:val="20"/>
        </w:rPr>
        <w:t xml:space="preserve">In re </w:t>
      </w:r>
      <w:r w:rsidRPr="00320D25">
        <w:rPr>
          <w:rFonts w:cstheme="minorHAnsi"/>
          <w:sz w:val="20"/>
          <w:szCs w:val="20"/>
        </w:rPr>
        <w:t>Anderson</w:t>
      </w:r>
      <w:r w:rsidRPr="002552EA">
        <w:rPr>
          <w:rFonts w:cstheme="minorHAnsi"/>
          <w:i/>
          <w:sz w:val="20"/>
          <w:szCs w:val="20"/>
        </w:rPr>
        <w:t xml:space="preserve">, </w:t>
      </w:r>
      <w:r w:rsidRPr="002552EA">
        <w:rPr>
          <w:rFonts w:cstheme="minorHAnsi"/>
          <w:sz w:val="20"/>
          <w:szCs w:val="20"/>
        </w:rPr>
        <w:t>No. 10-39309 (Bankr. E.D. Cal. July 22, 2010) (Summary of Schedules with negative entry for Real Property Assets, and no values for two parcels of real property listed on Schedule A).</w:t>
      </w:r>
    </w:p>
  </w:footnote>
  <w:footnote w:id="147">
    <w:p w14:paraId="04940336" w14:textId="5B45CA1E" w:rsidR="00560FBA" w:rsidRPr="002552EA" w:rsidRDefault="00560FBA" w:rsidP="00106D9A">
      <w:pPr>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While this 77% figure is optimistic, it is not as optimistic as the roughly 90% rate that we found in our PACER data sample. </w:t>
      </w:r>
      <w:r w:rsidRPr="002552EA">
        <w:rPr>
          <w:rFonts w:cstheme="minorHAnsi"/>
          <w:i/>
          <w:sz w:val="20"/>
          <w:szCs w:val="20"/>
        </w:rPr>
        <w:t xml:space="preserve">See supra </w:t>
      </w:r>
      <w:r w:rsidRPr="002552EA">
        <w:rPr>
          <w:rFonts w:cstheme="minorHAnsi"/>
          <w:sz w:val="20"/>
          <w:szCs w:val="20"/>
        </w:rPr>
        <w:t>Table 7, and accompanying text. At first, we were concerned that the rate difference between the small sample and the PACER data resulted from a mistake in the randomization process. A check of several cases, however, revealed that the rate difference resulted from coding differences. More specifically, we checked three entries from the Central District of California that our research assistants had marked “No Asset” and one that our research assistant had marked “unknown” and found that the research assistants’ answers differed from those of PACER on three of the four cases. We then checked the petition on Bloomberg Law and verified that our research assistants had correctly coded the box that the debtor checked (or, in the case of the “unknown” response that the debtor failed to check either box). We do not know why PACER coded these cases as it did.</w:t>
      </w:r>
    </w:p>
  </w:footnote>
  <w:footnote w:id="148">
    <w:p w14:paraId="3D4BE338" w14:textId="12487A41"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See</w:t>
      </w:r>
      <w:r w:rsidRPr="002552EA">
        <w:rPr>
          <w:rFonts w:cstheme="minorHAnsi"/>
          <w:sz w:val="20"/>
          <w:szCs w:val="20"/>
        </w:rPr>
        <w:t xml:space="preserve"> </w:t>
      </w:r>
      <w:r w:rsidRPr="002552EA">
        <w:rPr>
          <w:rFonts w:cstheme="minorHAnsi"/>
          <w:smallCaps/>
          <w:sz w:val="20"/>
          <w:szCs w:val="20"/>
        </w:rPr>
        <w:t>Fragile Middle Class</w:t>
      </w:r>
      <w:r w:rsidRPr="002552EA">
        <w:rPr>
          <w:rFonts w:cstheme="minorHAnsi"/>
          <w:sz w:val="20"/>
          <w:szCs w:val="20"/>
        </w:rPr>
        <w:t xml:space="preserve">,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_Ref275782955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w:t>
      </w:r>
      <w:r w:rsidRPr="002552EA">
        <w:rPr>
          <w:rFonts w:cstheme="minorHAnsi"/>
          <w:sz w:val="20"/>
          <w:szCs w:val="20"/>
        </w:rPr>
        <w:fldChar w:fldCharType="end"/>
      </w:r>
      <w:r w:rsidRPr="002552EA">
        <w:rPr>
          <w:rFonts w:cstheme="minorHAnsi"/>
          <w:sz w:val="20"/>
          <w:szCs w:val="20"/>
        </w:rPr>
        <w:t>.</w:t>
      </w:r>
    </w:p>
  </w:footnote>
  <w:footnote w:id="149">
    <w:p w14:paraId="2358A274" w14:textId="2080F9DE"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mallCaps/>
          <w:sz w:val="20"/>
          <w:szCs w:val="20"/>
        </w:rPr>
        <w:t>As We Forgive</w:t>
      </w:r>
      <w:r w:rsidRPr="002552EA">
        <w:rPr>
          <w:rFonts w:cstheme="minorHAnsi"/>
          <w:sz w:val="20"/>
          <w:szCs w:val="20"/>
        </w:rPr>
        <w:t xml:space="preserve">, </w:t>
      </w:r>
      <w:r w:rsidRPr="002552EA">
        <w:rPr>
          <w:rFonts w:cstheme="minorHAnsi"/>
          <w:i/>
          <w:sz w:val="20"/>
          <w:szCs w:val="20"/>
        </w:rPr>
        <w:t>supra</w:t>
      </w:r>
      <w:r w:rsidRPr="002552EA">
        <w:rPr>
          <w:rFonts w:cstheme="minorHAnsi"/>
          <w:sz w:val="20"/>
          <w:szCs w:val="20"/>
        </w:rPr>
        <w:t xml:space="preserve"> note </w:t>
      </w:r>
      <w:r w:rsidRPr="002552EA">
        <w:rPr>
          <w:rFonts w:cstheme="minorHAnsi"/>
          <w:sz w:val="20"/>
          <w:szCs w:val="20"/>
        </w:rPr>
        <w:fldChar w:fldCharType="begin"/>
      </w:r>
      <w:r w:rsidRPr="002552EA">
        <w:rPr>
          <w:rFonts w:cstheme="minorHAnsi"/>
          <w:sz w:val="20"/>
          <w:szCs w:val="20"/>
        </w:rPr>
        <w:instrText xml:space="preserve"> NOTEREF _Ref275782955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w:t>
      </w:r>
      <w:r w:rsidRPr="002552EA">
        <w:rPr>
          <w:rFonts w:cstheme="minorHAnsi"/>
          <w:sz w:val="20"/>
          <w:szCs w:val="20"/>
        </w:rPr>
        <w:fldChar w:fldCharType="end"/>
      </w:r>
      <w:r w:rsidRPr="002552EA">
        <w:rPr>
          <w:rFonts w:cstheme="minorHAnsi"/>
          <w:sz w:val="20"/>
          <w:szCs w:val="20"/>
        </w:rPr>
        <w:t>, at 96.</w:t>
      </w:r>
    </w:p>
  </w:footnote>
  <w:footnote w:id="150">
    <w:p w14:paraId="75375A7F" w14:textId="46EA527C"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Did Bankruptcy Reform Fail,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_Ref275782955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w:t>
      </w:r>
      <w:r w:rsidRPr="002552EA">
        <w:rPr>
          <w:rFonts w:cstheme="minorHAnsi"/>
          <w:sz w:val="20"/>
          <w:szCs w:val="20"/>
        </w:rPr>
        <w:fldChar w:fldCharType="end"/>
      </w:r>
      <w:r w:rsidRPr="002552EA">
        <w:rPr>
          <w:rFonts w:cstheme="minorHAnsi"/>
          <w:sz w:val="20"/>
          <w:szCs w:val="20"/>
        </w:rPr>
        <w:t>, at 361.</w:t>
      </w:r>
    </w:p>
  </w:footnote>
  <w:footnote w:id="151">
    <w:p w14:paraId="01059B45" w14:textId="7A38B0B8" w:rsidR="00560FBA" w:rsidRPr="00320D25" w:rsidRDefault="00560FBA" w:rsidP="00106D9A">
      <w:pPr>
        <w:pStyle w:val="FootnoteText"/>
        <w:rPr>
          <w:rFonts w:cstheme="minorHAnsi"/>
          <w:sz w:val="20"/>
          <w:szCs w:val="20"/>
        </w:rPr>
      </w:pPr>
      <w:r w:rsidRPr="00320D25">
        <w:rPr>
          <w:rStyle w:val="FootnoteReference"/>
          <w:rFonts w:cstheme="minorHAnsi"/>
          <w:sz w:val="20"/>
          <w:szCs w:val="20"/>
        </w:rPr>
        <w:footnoteRef/>
      </w:r>
      <w:r w:rsidRPr="00320D25">
        <w:rPr>
          <w:rFonts w:cstheme="minorHAnsi"/>
          <w:sz w:val="20"/>
          <w:szCs w:val="20"/>
        </w:rPr>
        <w:t xml:space="preserve"> Table BAPCPA 2B, December 31, 2010, </w:t>
      </w:r>
      <w:r w:rsidRPr="00320D25">
        <w:rPr>
          <w:rFonts w:cstheme="minorHAnsi"/>
          <w:i/>
          <w:sz w:val="20"/>
          <w:szCs w:val="20"/>
        </w:rPr>
        <w:t xml:space="preserve">available at </w:t>
      </w:r>
      <w:hyperlink r:id="rId4" w:history="1">
        <w:r w:rsidRPr="00320D25">
          <w:rPr>
            <w:rStyle w:val="Hyperlink"/>
            <w:sz w:val="20"/>
            <w:szCs w:val="20"/>
          </w:rPr>
          <w:t>http://www.uscourts.gov/statistics/table/bapcpa-2b/bankruptcy-abuse-prevention-and-consumer-protection-act-bapcpa/2010/12/31</w:t>
        </w:r>
      </w:hyperlink>
      <w:r w:rsidRPr="00320D25">
        <w:rPr>
          <w:rFonts w:cstheme="minorHAnsi"/>
          <w:i/>
          <w:sz w:val="20"/>
          <w:szCs w:val="20"/>
        </w:rPr>
        <w:t xml:space="preserve">; </w:t>
      </w:r>
      <w:r w:rsidRPr="00320D25">
        <w:rPr>
          <w:rFonts w:cstheme="minorHAnsi"/>
          <w:sz w:val="20"/>
          <w:szCs w:val="20"/>
        </w:rPr>
        <w:t xml:space="preserve">Table BAPCPA 2B, December 31, 2013, available at </w:t>
      </w:r>
      <w:hyperlink r:id="rId5" w:history="1">
        <w:r w:rsidRPr="00320D25">
          <w:rPr>
            <w:rStyle w:val="Hyperlink"/>
            <w:rFonts w:cstheme="minorHAnsi"/>
            <w:sz w:val="20"/>
            <w:szCs w:val="20"/>
          </w:rPr>
          <w:t>http://www.uscourts.gov/statistics/table/bapcpa-2b/bankruptcy-abuse-prevention-and-consumer-protection-act-bapcpa/2013/12/31</w:t>
        </w:r>
      </w:hyperlink>
      <w:r w:rsidRPr="00320D25">
        <w:rPr>
          <w:rFonts w:cstheme="minorHAnsi"/>
          <w:i/>
          <w:sz w:val="20"/>
          <w:szCs w:val="20"/>
        </w:rPr>
        <w:t xml:space="preserve">. </w:t>
      </w:r>
    </w:p>
  </w:footnote>
  <w:footnote w:id="152">
    <w:p w14:paraId="4001E50F" w14:textId="28ACDE06"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 data on the national income distribution is taken from </w:t>
      </w:r>
      <w:r w:rsidRPr="002552EA">
        <w:rPr>
          <w:rFonts w:cstheme="minorHAnsi"/>
          <w:color w:val="000000"/>
          <w:sz w:val="20"/>
          <w:szCs w:val="20"/>
        </w:rPr>
        <w:t>https://www.census.gov/hhes/www/income/data/historical/families/.</w:t>
      </w:r>
    </w:p>
  </w:footnote>
  <w:footnote w:id="153">
    <w:p w14:paraId="0B7FDD79" w14:textId="03F0F752"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w:t>
      </w:r>
      <w:r w:rsidRPr="002552EA">
        <w:rPr>
          <w:rFonts w:cstheme="minorHAnsi"/>
          <w:smallCaps/>
          <w:sz w:val="20"/>
          <w:szCs w:val="20"/>
        </w:rPr>
        <w:t>Ronald Mann, Charging Ahead</w:t>
      </w:r>
      <w:r w:rsidRPr="002552EA">
        <w:rPr>
          <w:rFonts w:cstheme="minorHAnsi"/>
          <w:sz w:val="20"/>
          <w:szCs w:val="20"/>
        </w:rPr>
        <w:t xml:space="preserve"> (2007);</w:t>
      </w:r>
      <w:r>
        <w:rPr>
          <w:rFonts w:cstheme="minorHAnsi"/>
          <w:sz w:val="20"/>
          <w:szCs w:val="20"/>
        </w:rPr>
        <w:t xml:space="preserve"> </w:t>
      </w:r>
      <w:r w:rsidRPr="002552EA">
        <w:rPr>
          <w:rFonts w:cstheme="minorHAnsi"/>
          <w:sz w:val="20"/>
          <w:szCs w:val="20"/>
        </w:rPr>
        <w:t>David U. Himmselstein</w:t>
      </w:r>
      <w:r w:rsidRPr="002552EA">
        <w:rPr>
          <w:rFonts w:cstheme="minorHAnsi"/>
          <w:i/>
          <w:sz w:val="20"/>
          <w:szCs w:val="20"/>
        </w:rPr>
        <w:t xml:space="preserve">, </w:t>
      </w:r>
      <w:r w:rsidRPr="002552EA">
        <w:rPr>
          <w:rFonts w:cstheme="minorHAnsi"/>
          <w:sz w:val="20"/>
          <w:szCs w:val="20"/>
        </w:rPr>
        <w:t>Deborah Thorne, Elizabeth Warren &amp; Steffie Woolhandler</w:t>
      </w:r>
      <w:r w:rsidRPr="002552EA" w:rsidDel="00CF7A37">
        <w:rPr>
          <w:rFonts w:cstheme="minorHAnsi"/>
          <w:i/>
          <w:sz w:val="20"/>
          <w:szCs w:val="20"/>
        </w:rPr>
        <w:t xml:space="preserve"> </w:t>
      </w:r>
      <w:r w:rsidRPr="002552EA">
        <w:rPr>
          <w:rFonts w:cstheme="minorHAnsi"/>
          <w:sz w:val="20"/>
          <w:szCs w:val="20"/>
        </w:rPr>
        <w:t>,</w:t>
      </w:r>
      <w:r w:rsidRPr="002552EA">
        <w:rPr>
          <w:rFonts w:cstheme="minorHAnsi"/>
          <w:i/>
          <w:sz w:val="20"/>
          <w:szCs w:val="20"/>
        </w:rPr>
        <w:t xml:space="preserve"> Medical Bankruptcy in the United States, 2007: Results of a National Study</w:t>
      </w:r>
      <w:r w:rsidRPr="002552EA">
        <w:rPr>
          <w:rFonts w:cstheme="minorHAnsi"/>
          <w:sz w:val="20"/>
          <w:szCs w:val="20"/>
        </w:rPr>
        <w:t xml:space="preserve">, 20 </w:t>
      </w:r>
      <w:r w:rsidRPr="002552EA">
        <w:rPr>
          <w:rFonts w:cstheme="minorHAnsi"/>
          <w:smallCaps/>
          <w:sz w:val="20"/>
          <w:szCs w:val="20"/>
        </w:rPr>
        <w:t>J. Amer. Med</w:t>
      </w:r>
      <w:r w:rsidRPr="002552EA">
        <w:rPr>
          <w:rFonts w:cstheme="minorHAnsi"/>
          <w:sz w:val="20"/>
          <w:szCs w:val="20"/>
        </w:rPr>
        <w:t>. 1 (2009); Melissa Jacoby, et al</w:t>
      </w:r>
      <w:r>
        <w:rPr>
          <w:rFonts w:cstheme="minorHAnsi"/>
          <w:sz w:val="20"/>
          <w:szCs w:val="20"/>
        </w:rPr>
        <w:t>.</w:t>
      </w:r>
      <w:r w:rsidRPr="002552EA">
        <w:rPr>
          <w:rFonts w:cstheme="minorHAnsi"/>
          <w:sz w:val="20"/>
          <w:szCs w:val="20"/>
        </w:rPr>
        <w:t xml:space="preserve">, </w:t>
      </w:r>
      <w:r w:rsidRPr="002552EA">
        <w:rPr>
          <w:rFonts w:cstheme="minorHAnsi"/>
          <w:i/>
          <w:sz w:val="20"/>
          <w:szCs w:val="20"/>
        </w:rPr>
        <w:t>Rethinking the Debates Ove</w:t>
      </w:r>
      <w:r>
        <w:rPr>
          <w:rFonts w:cstheme="minorHAnsi"/>
          <w:i/>
          <w:sz w:val="20"/>
          <w:szCs w:val="20"/>
        </w:rPr>
        <w:t xml:space="preserve">r </w:t>
      </w:r>
      <w:r w:rsidRPr="002552EA">
        <w:rPr>
          <w:rFonts w:cstheme="minorHAnsi"/>
          <w:i/>
          <w:sz w:val="20"/>
          <w:szCs w:val="20"/>
        </w:rPr>
        <w:t>Health Care Financing: Evidence from the Bankruptcy Courts</w:t>
      </w:r>
      <w:r w:rsidRPr="002552EA">
        <w:rPr>
          <w:rFonts w:cstheme="minorHAnsi"/>
          <w:sz w:val="20"/>
          <w:szCs w:val="20"/>
        </w:rPr>
        <w:t xml:space="preserve">, 76 </w:t>
      </w:r>
      <w:r w:rsidRPr="002552EA">
        <w:rPr>
          <w:rFonts w:cstheme="minorHAnsi"/>
          <w:smallCaps/>
          <w:sz w:val="20"/>
          <w:szCs w:val="20"/>
        </w:rPr>
        <w:t>N.Y.U.</w:t>
      </w:r>
      <w:r w:rsidRPr="002552EA">
        <w:rPr>
          <w:rFonts w:cstheme="minorHAnsi"/>
          <w:sz w:val="20"/>
          <w:szCs w:val="20"/>
        </w:rPr>
        <w:t xml:space="preserve"> L. R</w:t>
      </w:r>
      <w:r w:rsidRPr="002552EA">
        <w:rPr>
          <w:rFonts w:cstheme="minorHAnsi"/>
          <w:smallCaps/>
          <w:sz w:val="20"/>
          <w:szCs w:val="20"/>
        </w:rPr>
        <w:t>ev</w:t>
      </w:r>
      <w:r w:rsidRPr="002552EA">
        <w:rPr>
          <w:rFonts w:cstheme="minorHAnsi"/>
          <w:sz w:val="20"/>
          <w:szCs w:val="20"/>
        </w:rPr>
        <w:t>. 375 (2001).</w:t>
      </w:r>
    </w:p>
  </w:footnote>
  <w:footnote w:id="154">
    <w:p w14:paraId="545A7C00" w14:textId="0A1F83EA"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We did not try to gather the total amount of attorney’s fees expended by the individual debtors in the random sample. </w:t>
      </w:r>
    </w:p>
  </w:footnote>
  <w:footnote w:id="155">
    <w:p w14:paraId="0F910AD2" w14:textId="42A3CA43" w:rsidR="00560FBA" w:rsidRPr="002552EA" w:rsidRDefault="00560FBA" w:rsidP="002512A8">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 xml:space="preserve">Lupica,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_Ref333752685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26</w:t>
      </w:r>
      <w:r w:rsidRPr="002552EA">
        <w:rPr>
          <w:rFonts w:cstheme="minorHAnsi"/>
          <w:sz w:val="20"/>
          <w:szCs w:val="20"/>
        </w:rPr>
        <w:fldChar w:fldCharType="end"/>
      </w:r>
      <w:r w:rsidRPr="002552EA">
        <w:rPr>
          <w:rFonts w:cstheme="minorHAnsi"/>
          <w:i/>
          <w:sz w:val="20"/>
          <w:szCs w:val="20"/>
        </w:rPr>
        <w:t>.</w:t>
      </w:r>
    </w:p>
    <w:p w14:paraId="4A58C67F" w14:textId="103BC5A8" w:rsidR="00560FBA" w:rsidRPr="002552EA" w:rsidRDefault="00560FBA" w:rsidP="002512A8">
      <w:pPr>
        <w:pStyle w:val="FootnoteText"/>
        <w:ind w:firstLine="720"/>
        <w:rPr>
          <w:rFonts w:cstheme="minorHAnsi"/>
          <w:sz w:val="20"/>
          <w:szCs w:val="20"/>
        </w:rPr>
      </w:pPr>
      <w:r w:rsidRPr="002552EA">
        <w:rPr>
          <w:rFonts w:cstheme="minorHAnsi"/>
          <w:sz w:val="20"/>
          <w:szCs w:val="20"/>
        </w:rPr>
        <w:t>Attorneys’ fees are o</w:t>
      </w:r>
      <w:r>
        <w:rPr>
          <w:rFonts w:cstheme="minorHAnsi"/>
          <w:sz w:val="20"/>
          <w:szCs w:val="20"/>
        </w:rPr>
        <w:t>nly part of the story</w:t>
      </w:r>
      <w:r w:rsidRPr="002552EA">
        <w:rPr>
          <w:rFonts w:cstheme="minorHAnsi"/>
          <w:sz w:val="20"/>
          <w:szCs w:val="20"/>
        </w:rPr>
        <w:t xml:space="preserve">. The filing fees for the two chapters are quite different: currently, the filing fee for chapter 13 is $235, compared with $1,167 for chapter 11 cases. 28 U.S.C. § 1930(a) (2012). (The statute prescribes a cap; the actual percentage varies from jurisdiction to jurisdiction.) Fees are also paid to the chapter 13 standing trustee, generally calculated as a percentage of the amount of payments under the plan. </w:t>
      </w:r>
      <w:r w:rsidRPr="002552EA">
        <w:rPr>
          <w:rFonts w:cstheme="minorHAnsi"/>
          <w:i/>
          <w:sz w:val="20"/>
          <w:szCs w:val="20"/>
        </w:rPr>
        <w:t>Id</w:t>
      </w:r>
      <w:r w:rsidRPr="002552EA">
        <w:rPr>
          <w:rFonts w:cstheme="minorHAnsi"/>
          <w:sz w:val="20"/>
          <w:szCs w:val="20"/>
        </w:rPr>
        <w:t xml:space="preserve">. § 1930(e). Quarterly fees, payable to the United States Trustee in a chapter 11 case, are based on the amount disbursed during the relevant quarter.  The fees range from $325 for disbursements up to $14,999.99, </w:t>
      </w:r>
      <w:r>
        <w:rPr>
          <w:rFonts w:cstheme="minorHAnsi"/>
          <w:sz w:val="20"/>
          <w:szCs w:val="20"/>
        </w:rPr>
        <w:t xml:space="preserve">and </w:t>
      </w:r>
      <w:r w:rsidRPr="002552EA">
        <w:rPr>
          <w:rFonts w:cstheme="minorHAnsi"/>
          <w:sz w:val="20"/>
          <w:szCs w:val="20"/>
        </w:rPr>
        <w:t xml:space="preserve">to $30,000 for disbursements exceeding $30,000,000. </w:t>
      </w:r>
      <w:r w:rsidRPr="002552EA">
        <w:rPr>
          <w:rFonts w:cstheme="minorHAnsi"/>
          <w:i/>
          <w:sz w:val="20"/>
          <w:szCs w:val="20"/>
        </w:rPr>
        <w:t>Id</w:t>
      </w:r>
      <w:r w:rsidRPr="002552EA">
        <w:rPr>
          <w:rFonts w:cstheme="minorHAnsi"/>
          <w:sz w:val="20"/>
          <w:szCs w:val="20"/>
        </w:rPr>
        <w:t>. § 1930(a)(6). Individual chapter 11 debtors are highly unlikely to deal with such staggering sums, of course</w:t>
      </w:r>
      <w:r>
        <w:rPr>
          <w:rFonts w:cstheme="minorHAnsi"/>
          <w:sz w:val="20"/>
          <w:szCs w:val="20"/>
        </w:rPr>
        <w:t>.</w:t>
      </w:r>
    </w:p>
  </w:footnote>
  <w:footnote w:id="156">
    <w:p w14:paraId="03CBED8E" w14:textId="14AC6034"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Pr>
          <w:rFonts w:cstheme="minorHAnsi"/>
          <w:sz w:val="20"/>
          <w:szCs w:val="20"/>
        </w:rPr>
        <w:t xml:space="preserve">Median Household Income in the United States, </w:t>
      </w:r>
      <w:r>
        <w:rPr>
          <w:rFonts w:cstheme="minorHAnsi"/>
          <w:i/>
          <w:sz w:val="20"/>
          <w:szCs w:val="20"/>
        </w:rPr>
        <w:t xml:space="preserve">available at </w:t>
      </w:r>
      <w:r w:rsidRPr="002552EA">
        <w:rPr>
          <w:rFonts w:cstheme="minorHAnsi"/>
          <w:sz w:val="20"/>
          <w:szCs w:val="20"/>
        </w:rPr>
        <w:t>https://research.stlouisfed.org/fred2/series/MEHOINUSA646N</w:t>
      </w:r>
    </w:p>
  </w:footnote>
  <w:footnote w:id="157">
    <w:p w14:paraId="18F30E57" w14:textId="03A81DE8"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 xml:space="preserve">Richard M. Hynes, </w:t>
      </w:r>
      <w:r w:rsidRPr="002552EA">
        <w:rPr>
          <w:rFonts w:cstheme="minorHAnsi"/>
          <w:i/>
          <w:sz w:val="20"/>
          <w:szCs w:val="20"/>
        </w:rPr>
        <w:t xml:space="preserve">Non-Procrustean Bankruptcy, </w:t>
      </w:r>
      <w:r w:rsidRPr="002552EA">
        <w:rPr>
          <w:rFonts w:cstheme="minorHAnsi"/>
          <w:sz w:val="20"/>
          <w:szCs w:val="20"/>
        </w:rPr>
        <w:t xml:space="preserve">2004 </w:t>
      </w:r>
      <w:r w:rsidRPr="002552EA">
        <w:rPr>
          <w:rFonts w:cstheme="minorHAnsi"/>
          <w:smallCaps/>
          <w:sz w:val="20"/>
          <w:szCs w:val="20"/>
        </w:rPr>
        <w:t>U. Ill. L. Rev</w:t>
      </w:r>
      <w:r w:rsidRPr="002552EA">
        <w:rPr>
          <w:rFonts w:cstheme="minorHAnsi"/>
          <w:sz w:val="20"/>
          <w:szCs w:val="20"/>
        </w:rPr>
        <w:t>. 301.</w:t>
      </w:r>
    </w:p>
  </w:footnote>
  <w:footnote w:id="158">
    <w:p w14:paraId="34FCEC16" w14:textId="73BA0416"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Chapter 13 carries more restrictive eligibility requirements than either chapter 7 or chapter 11. Only individuals with regular income who meet fairly modest debt limitations are eligible for chapter 13.  See 11 U.S.C. § 109(e) (2012). The only other choices for a debtor unable to meet those requirements would be to liquidate under chapter 7 or to forego bankruptcy altogether. (A limited number of debtors—those qualifying as a “family farmer or family fisherman,” </w:t>
      </w:r>
      <w:r w:rsidRPr="0068245A">
        <w:rPr>
          <w:rFonts w:cstheme="minorHAnsi"/>
          <w:i/>
          <w:sz w:val="20"/>
          <w:szCs w:val="20"/>
        </w:rPr>
        <w:t>id</w:t>
      </w:r>
      <w:r>
        <w:rPr>
          <w:rFonts w:cstheme="minorHAnsi"/>
          <w:sz w:val="20"/>
          <w:szCs w:val="20"/>
        </w:rPr>
        <w:t xml:space="preserve">. at </w:t>
      </w:r>
      <w:r w:rsidRPr="002552EA">
        <w:rPr>
          <w:rFonts w:cstheme="minorHAnsi"/>
          <w:sz w:val="20"/>
          <w:szCs w:val="20"/>
        </w:rPr>
        <w:t>§ 10</w:t>
      </w:r>
      <w:r>
        <w:rPr>
          <w:rFonts w:cstheme="minorHAnsi"/>
          <w:sz w:val="20"/>
          <w:szCs w:val="20"/>
        </w:rPr>
        <w:t>9(f)</w:t>
      </w:r>
      <w:r w:rsidRPr="002552EA">
        <w:rPr>
          <w:rFonts w:cstheme="minorHAnsi"/>
          <w:sz w:val="20"/>
          <w:szCs w:val="20"/>
        </w:rPr>
        <w:t>—may be eligible for chapter 12. We did not track chapter 12 cases.)</w:t>
      </w:r>
    </w:p>
  </w:footnote>
  <w:footnote w:id="159">
    <w:p w14:paraId="47640F95" w14:textId="5270014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These debt limits are adjusted every three years, under the mandate of § 104(a). As of April 1, 2016 the debt limits are $1,184,200 for secured debts and $394,725 for unsecured debts.</w:t>
      </w:r>
      <w:r w:rsidRPr="002552EA">
        <w:rPr>
          <w:rFonts w:cstheme="minorHAnsi"/>
          <w:i/>
          <w:sz w:val="20"/>
          <w:szCs w:val="20"/>
        </w:rPr>
        <w:t xml:space="preserve"> See </w:t>
      </w:r>
      <w:r w:rsidRPr="002552EA">
        <w:rPr>
          <w:rFonts w:cstheme="minorHAnsi"/>
          <w:sz w:val="20"/>
          <w:szCs w:val="20"/>
        </w:rPr>
        <w:t xml:space="preserve">Revision of Certain Dollar Amounts in the Bankruptcy Code Prescribed under Section 104(b) of the Code, 81 Fed. Reg. 8748 (Feb. 22, 2016). Between April 1, 2013 and March 31, 2016 these limits were $1,149,525 for secured debt and $383,175 for unsecured debt. </w:t>
      </w:r>
      <w:r w:rsidRPr="002552EA">
        <w:rPr>
          <w:rFonts w:cstheme="minorHAnsi"/>
          <w:i/>
          <w:sz w:val="20"/>
          <w:szCs w:val="20"/>
        </w:rPr>
        <w:t xml:space="preserve">See </w:t>
      </w:r>
      <w:r w:rsidRPr="002552EA">
        <w:rPr>
          <w:rFonts w:cstheme="minorHAnsi"/>
          <w:sz w:val="20"/>
          <w:szCs w:val="20"/>
        </w:rPr>
        <w:t xml:space="preserve">Revision of Certain Dollar Amounts in the Bankruptcy Code Prescribed under Section 104(b) of the Code, 78 Fed. Reg. 12089 (Feb. 21, 2013). Between April 1, 2010 and March 31, 2013, the limits were $1,081,400 for secured debt and $360,475 for unsecured debt. </w:t>
      </w:r>
      <w:r w:rsidRPr="002552EA">
        <w:rPr>
          <w:rFonts w:cstheme="minorHAnsi"/>
          <w:i/>
          <w:sz w:val="20"/>
          <w:szCs w:val="20"/>
        </w:rPr>
        <w:t xml:space="preserve">See </w:t>
      </w:r>
      <w:r w:rsidRPr="002552EA">
        <w:rPr>
          <w:rFonts w:cstheme="minorHAnsi"/>
          <w:sz w:val="20"/>
          <w:szCs w:val="20"/>
        </w:rPr>
        <w:t xml:space="preserve">Revision of Certain Dollar Amounts in the Bankruptcy Code Prescribed under Section 104(b) of the Code, 75 Fed. Reg. 8747 (Feb. 24, 2010). Between April 1, 2007 and March 31, 2010, these limits were $1,010,650 for secured debt and $336,900 for unsecured debt. </w:t>
      </w:r>
      <w:r w:rsidRPr="002552EA">
        <w:rPr>
          <w:rFonts w:cstheme="minorHAnsi"/>
          <w:i/>
          <w:sz w:val="20"/>
          <w:szCs w:val="20"/>
        </w:rPr>
        <w:t xml:space="preserve">See </w:t>
      </w:r>
      <w:r w:rsidRPr="002552EA">
        <w:rPr>
          <w:rFonts w:cstheme="minorHAnsi"/>
          <w:sz w:val="20"/>
          <w:szCs w:val="20"/>
        </w:rPr>
        <w:t xml:space="preserve">Revision of Certain Dollar Amounts in the Bankruptcy Code Prescribed under Section 104(b) of the Code, 72 Fed. Reg. 7082 (Feb. 14, 2007). Thus, the debt limits changed during the years on which this Study focused. In addition, the categories of unsecured and secured debts may include only obligations that are non-contingent and liquidated.  11 U.S.C. § 109(e).  The debt limits remain the same if an individual files jointly with his or her spouse. </w:t>
      </w:r>
      <w:r w:rsidRPr="002552EA">
        <w:rPr>
          <w:rFonts w:cstheme="minorHAnsi"/>
          <w:i/>
          <w:sz w:val="20"/>
          <w:szCs w:val="20"/>
        </w:rPr>
        <w:t>Id</w:t>
      </w:r>
      <w:r>
        <w:rPr>
          <w:rFonts w:cstheme="minorHAnsi"/>
          <w:i/>
          <w:sz w:val="20"/>
          <w:szCs w:val="20"/>
        </w:rPr>
        <w:t>.</w:t>
      </w:r>
    </w:p>
  </w:footnote>
  <w:footnote w:id="160">
    <w:p w14:paraId="19C4B03A" w14:textId="63198EFE"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In chapter 11, a creditor must file a proof of claim if the debtor designates the creditor’s debt as contingent, unliquidated, or disputed on the schedules. </w:t>
      </w:r>
      <w:r w:rsidRPr="002552EA">
        <w:rPr>
          <w:rFonts w:cstheme="minorHAnsi"/>
          <w:i/>
          <w:sz w:val="20"/>
          <w:szCs w:val="20"/>
        </w:rPr>
        <w:t xml:space="preserve">See </w:t>
      </w:r>
      <w:r w:rsidRPr="002552EA">
        <w:rPr>
          <w:rFonts w:cstheme="minorHAnsi"/>
          <w:smallCaps/>
          <w:sz w:val="20"/>
          <w:szCs w:val="20"/>
        </w:rPr>
        <w:t xml:space="preserve">Fed. R. Bankr. P. </w:t>
      </w:r>
      <w:r w:rsidRPr="002552EA">
        <w:rPr>
          <w:rFonts w:cstheme="minorHAnsi"/>
          <w:sz w:val="20"/>
          <w:szCs w:val="20"/>
        </w:rPr>
        <w:t xml:space="preserve">3003(c)(2). If the creditor fails to do so, the creditor will “not be treated as a creditor with respect to such claim for the purposes of voting and distribution. </w:t>
      </w:r>
      <w:r w:rsidRPr="002552EA">
        <w:rPr>
          <w:rFonts w:cstheme="minorHAnsi"/>
          <w:i/>
          <w:sz w:val="20"/>
          <w:szCs w:val="20"/>
        </w:rPr>
        <w:t xml:space="preserve">Id. </w:t>
      </w:r>
    </w:p>
  </w:footnote>
  <w:footnote w:id="161">
    <w:p w14:paraId="676EA7E0" w14:textId="3561BD15" w:rsidR="00560FBA" w:rsidRPr="002552EA" w:rsidRDefault="00560FBA">
      <w:pPr>
        <w:pStyle w:val="FootnoteText"/>
        <w:rPr>
          <w:sz w:val="20"/>
          <w:szCs w:val="20"/>
        </w:rPr>
      </w:pPr>
      <w:r w:rsidRPr="002552EA">
        <w:rPr>
          <w:rStyle w:val="FootnoteReference"/>
          <w:sz w:val="20"/>
          <w:szCs w:val="20"/>
        </w:rPr>
        <w:footnoteRef/>
      </w:r>
      <w:r w:rsidRPr="002552EA">
        <w:rPr>
          <w:sz w:val="20"/>
          <w:szCs w:val="20"/>
        </w:rPr>
        <w:t xml:space="preserve"> </w:t>
      </w:r>
      <w:r w:rsidRPr="002552EA">
        <w:rPr>
          <w:i/>
          <w:sz w:val="20"/>
          <w:szCs w:val="20"/>
        </w:rPr>
        <w:t>See</w:t>
      </w:r>
      <w:r w:rsidRPr="002552EA">
        <w:rPr>
          <w:sz w:val="20"/>
          <w:szCs w:val="20"/>
        </w:rPr>
        <w:t xml:space="preserve"> Section III.B.1, </w:t>
      </w:r>
      <w:r w:rsidRPr="002552EA">
        <w:rPr>
          <w:i/>
          <w:sz w:val="20"/>
          <w:szCs w:val="20"/>
        </w:rPr>
        <w:t>supra</w:t>
      </w:r>
      <w:r w:rsidRPr="002552EA">
        <w:rPr>
          <w:sz w:val="20"/>
          <w:szCs w:val="20"/>
        </w:rPr>
        <w:t>.</w:t>
      </w:r>
    </w:p>
  </w:footnote>
  <w:footnote w:id="162">
    <w:p w14:paraId="58F3D0F8" w14:textId="721EB91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Did Bankruptcy Reform Fail,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_Ref275782955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w:t>
      </w:r>
      <w:r w:rsidRPr="002552EA">
        <w:rPr>
          <w:rFonts w:cstheme="minorHAnsi"/>
          <w:sz w:val="20"/>
          <w:szCs w:val="20"/>
        </w:rPr>
        <w:fldChar w:fldCharType="end"/>
      </w:r>
      <w:r w:rsidRPr="002552EA">
        <w:rPr>
          <w:rFonts w:cstheme="minorHAnsi"/>
          <w:sz w:val="20"/>
          <w:szCs w:val="20"/>
        </w:rPr>
        <w:t xml:space="preserve">. Other scholars found similar ratios. </w:t>
      </w:r>
      <w:r w:rsidRPr="00717AF9">
        <w:rPr>
          <w:rFonts w:cstheme="minorHAnsi"/>
          <w:i/>
          <w:sz w:val="20"/>
          <w:szCs w:val="20"/>
        </w:rPr>
        <w:t>See, e.g</w:t>
      </w:r>
      <w:r w:rsidRPr="00717AF9">
        <w:rPr>
          <w:rFonts w:cstheme="minorHAnsi"/>
          <w:sz w:val="20"/>
          <w:szCs w:val="20"/>
        </w:rPr>
        <w:t xml:space="preserve">., </w:t>
      </w:r>
      <w:r w:rsidRPr="00717AF9">
        <w:rPr>
          <w:rFonts w:cstheme="minorHAnsi"/>
          <w:smallCaps/>
          <w:sz w:val="20"/>
          <w:szCs w:val="20"/>
        </w:rPr>
        <w:t xml:space="preserve">As </w:t>
      </w:r>
      <w:r w:rsidRPr="002552EA">
        <w:rPr>
          <w:rFonts w:cstheme="minorHAnsi"/>
          <w:smallCaps/>
          <w:sz w:val="20"/>
          <w:szCs w:val="20"/>
        </w:rPr>
        <w:t xml:space="preserve">We Forgive,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_Ref275782955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w:t>
      </w:r>
      <w:r w:rsidRPr="002552EA">
        <w:rPr>
          <w:rFonts w:cstheme="minorHAnsi"/>
          <w:sz w:val="20"/>
          <w:szCs w:val="20"/>
        </w:rPr>
        <w:fldChar w:fldCharType="end"/>
      </w:r>
      <w:r w:rsidRPr="002552EA">
        <w:rPr>
          <w:rFonts w:cstheme="minorHAnsi"/>
          <w:smallCaps/>
          <w:sz w:val="20"/>
          <w:szCs w:val="20"/>
        </w:rPr>
        <w:t xml:space="preserve">; Fragile Middle Class,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_Ref275782955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w:t>
      </w:r>
      <w:r w:rsidRPr="002552EA">
        <w:rPr>
          <w:rFonts w:cstheme="minorHAnsi"/>
          <w:sz w:val="20"/>
          <w:szCs w:val="20"/>
        </w:rPr>
        <w:fldChar w:fldCharType="end"/>
      </w:r>
      <w:r w:rsidRPr="002552EA">
        <w:rPr>
          <w:rFonts w:cstheme="minorHAnsi"/>
          <w:sz w:val="20"/>
          <w:szCs w:val="20"/>
        </w:rPr>
        <w:t xml:space="preserve">. The self-employed have debts that are more than five times their yearly income. </w:t>
      </w:r>
      <w:r w:rsidRPr="002552EA">
        <w:rPr>
          <w:rFonts w:cstheme="minorHAnsi"/>
          <w:i/>
          <w:sz w:val="20"/>
          <w:szCs w:val="20"/>
        </w:rPr>
        <w:t xml:space="preserve">See </w:t>
      </w:r>
      <w:r w:rsidRPr="002552EA">
        <w:rPr>
          <w:rFonts w:cstheme="minorHAnsi"/>
          <w:smallCaps/>
          <w:sz w:val="20"/>
          <w:szCs w:val="20"/>
        </w:rPr>
        <w:t xml:space="preserve">Robert M. Lawless, </w:t>
      </w:r>
      <w:r w:rsidRPr="002552EA">
        <w:rPr>
          <w:rFonts w:cstheme="minorHAnsi"/>
          <w:i/>
          <w:sz w:val="20"/>
          <w:szCs w:val="20"/>
        </w:rPr>
        <w:t>Striking Out on Their Own: The Self-Employed in Bankruptcy</w:t>
      </w:r>
      <w:r w:rsidRPr="002552EA">
        <w:rPr>
          <w:rFonts w:cstheme="minorHAnsi"/>
          <w:smallCaps/>
          <w:sz w:val="20"/>
          <w:szCs w:val="20"/>
        </w:rPr>
        <w:t xml:space="preserve">, </w:t>
      </w:r>
      <w:r w:rsidRPr="002552EA">
        <w:rPr>
          <w:rFonts w:cstheme="minorHAnsi"/>
          <w:i/>
          <w:sz w:val="20"/>
          <w:szCs w:val="20"/>
        </w:rPr>
        <w:t>in</w:t>
      </w:r>
      <w:r w:rsidRPr="002552EA">
        <w:rPr>
          <w:rFonts w:cstheme="minorHAnsi"/>
          <w:smallCaps/>
          <w:sz w:val="20"/>
          <w:szCs w:val="20"/>
        </w:rPr>
        <w:t xml:space="preserve"> Katherine Porter, Broke: How Debt Bankrupts the Middle Class (2012).</w:t>
      </w:r>
    </w:p>
  </w:footnote>
  <w:footnote w:id="163">
    <w:p w14:paraId="6DFDC41F" w14:textId="00376EBD"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 results are substantially similar if we use the income figure from Line 16 of Schedule I.</w:t>
      </w:r>
    </w:p>
  </w:footnote>
  <w:footnote w:id="164">
    <w:p w14:paraId="72671700"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1322(a)(2) (2012). </w:t>
      </w:r>
    </w:p>
  </w:footnote>
  <w:footnote w:id="165">
    <w:p w14:paraId="77EA4CE3" w14:textId="1B9CC45A"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Id. </w:t>
      </w:r>
      <w:r w:rsidRPr="002552EA">
        <w:rPr>
          <w:rFonts w:cstheme="minorHAnsi"/>
          <w:sz w:val="20"/>
          <w:szCs w:val="20"/>
        </w:rPr>
        <w:t xml:space="preserve"> § 1129(a)(9)(A).</w:t>
      </w:r>
    </w:p>
  </w:footnote>
  <w:footnote w:id="166">
    <w:p w14:paraId="7294A443" w14:textId="025915DB"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Id. </w:t>
      </w:r>
      <w:r w:rsidRPr="002552EA">
        <w:rPr>
          <w:rFonts w:cstheme="minorHAnsi"/>
          <w:sz w:val="20"/>
          <w:szCs w:val="20"/>
        </w:rPr>
        <w:t xml:space="preserve"> § 1129(a)(9)(B) .</w:t>
      </w:r>
    </w:p>
  </w:footnote>
  <w:footnote w:id="167">
    <w:p w14:paraId="4B6E8BA9"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1129(a)(9)(C) (2012).</w:t>
      </w:r>
    </w:p>
  </w:footnote>
  <w:footnote w:id="168">
    <w:p w14:paraId="6C81944E" w14:textId="794F5100" w:rsidR="00560FBA" w:rsidRPr="002552EA" w:rsidRDefault="00560FBA" w:rsidP="00106D9A">
      <w:pPr>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Pr>
          <w:rFonts w:cstheme="minorHAnsi"/>
          <w:sz w:val="20"/>
          <w:szCs w:val="20"/>
        </w:rPr>
        <w:t xml:space="preserve">Table BAPCPA 1B (December 31, 2013), </w:t>
      </w:r>
      <w:r>
        <w:rPr>
          <w:rFonts w:cstheme="minorHAnsi"/>
          <w:i/>
          <w:sz w:val="20"/>
          <w:szCs w:val="20"/>
        </w:rPr>
        <w:t xml:space="preserve">available at </w:t>
      </w:r>
      <w:r w:rsidRPr="00717AF9">
        <w:rPr>
          <w:rFonts w:cstheme="minorHAnsi"/>
          <w:sz w:val="20"/>
          <w:szCs w:val="20"/>
        </w:rPr>
        <w:t>http://www.uscourts.gov/statistics/table/bapcpa-1b/bankruptcy-abuse-prevention-and-consumer-protection-act-bapcpa/2013/12/31</w:t>
      </w:r>
      <w:r w:rsidRPr="009629EF">
        <w:rPr>
          <w:rFonts w:cstheme="minorHAnsi"/>
          <w:i/>
          <w:sz w:val="20"/>
          <w:szCs w:val="20"/>
        </w:rPr>
        <w:t xml:space="preserve"> </w:t>
      </w:r>
    </w:p>
    <w:p w14:paraId="7FD2E21C" w14:textId="2ADD3D7C" w:rsidR="00560FBA" w:rsidRPr="002552EA" w:rsidRDefault="00560FBA" w:rsidP="00106D9A">
      <w:pPr>
        <w:pStyle w:val="FootnoteText"/>
        <w:rPr>
          <w:rFonts w:cstheme="minorHAnsi"/>
          <w:sz w:val="20"/>
          <w:szCs w:val="20"/>
        </w:rPr>
      </w:pPr>
    </w:p>
  </w:footnote>
  <w:footnote w:id="169">
    <w:p w14:paraId="016C035C" w14:textId="0FD7E77D"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Pr>
          <w:rFonts w:cstheme="minorHAnsi"/>
          <w:sz w:val="20"/>
          <w:szCs w:val="20"/>
        </w:rPr>
        <w:t xml:space="preserve">Median and Average Sales Prices of New Homes Sold in United States, </w:t>
      </w:r>
      <w:r>
        <w:rPr>
          <w:rFonts w:cstheme="minorHAnsi"/>
          <w:i/>
          <w:sz w:val="20"/>
          <w:szCs w:val="20"/>
        </w:rPr>
        <w:t xml:space="preserve">available at </w:t>
      </w:r>
      <w:r w:rsidRPr="002552EA">
        <w:rPr>
          <w:rFonts w:cstheme="minorHAnsi"/>
          <w:sz w:val="20"/>
          <w:szCs w:val="20"/>
        </w:rPr>
        <w:t>https://www.census.gov/construction/nrs/pdf/uspricemon.pdf</w:t>
      </w:r>
    </w:p>
  </w:footnote>
  <w:footnote w:id="170">
    <w:p w14:paraId="27C99FBD" w14:textId="0744C449"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Pr>
          <w:rFonts w:cstheme="minorHAnsi"/>
          <w:sz w:val="20"/>
          <w:szCs w:val="20"/>
        </w:rPr>
        <w:t xml:space="preserve">National Association of Relators, </w:t>
      </w:r>
      <w:r>
        <w:rPr>
          <w:rFonts w:cstheme="minorHAnsi"/>
          <w:i/>
          <w:sz w:val="20"/>
          <w:szCs w:val="20"/>
        </w:rPr>
        <w:t xml:space="preserve">Existing-Home Sales, available at </w:t>
      </w:r>
      <w:r w:rsidRPr="002552EA">
        <w:rPr>
          <w:rFonts w:cstheme="minorHAnsi"/>
          <w:sz w:val="20"/>
          <w:szCs w:val="20"/>
        </w:rPr>
        <w:t>http://www.realtor.org/topics/existing-home-sales</w:t>
      </w:r>
    </w:p>
  </w:footnote>
  <w:footnote w:id="171">
    <w:p w14:paraId="4390D215" w14:textId="422B4601" w:rsidR="00560FBA" w:rsidRPr="00717AF9" w:rsidRDefault="00560FBA">
      <w:pPr>
        <w:pStyle w:val="FootnoteText"/>
        <w:rPr>
          <w:sz w:val="20"/>
          <w:szCs w:val="20"/>
        </w:rPr>
      </w:pPr>
      <w:r w:rsidRPr="00717AF9">
        <w:rPr>
          <w:rStyle w:val="FootnoteReference"/>
          <w:sz w:val="20"/>
          <w:szCs w:val="20"/>
        </w:rPr>
        <w:footnoteRef/>
      </w:r>
      <w:r>
        <w:rPr>
          <w:i/>
          <w:sz w:val="20"/>
          <w:szCs w:val="20"/>
        </w:rPr>
        <w:t xml:space="preserve">See, e.g., </w:t>
      </w:r>
      <w:r>
        <w:rPr>
          <w:sz w:val="20"/>
          <w:szCs w:val="20"/>
        </w:rPr>
        <w:t>Amended Schedule B,</w:t>
      </w:r>
      <w:r>
        <w:rPr>
          <w:i/>
          <w:sz w:val="20"/>
          <w:szCs w:val="20"/>
        </w:rPr>
        <w:t xml:space="preserve"> In re </w:t>
      </w:r>
      <w:r w:rsidRPr="00447A4E">
        <w:rPr>
          <w:sz w:val="20"/>
          <w:szCs w:val="20"/>
        </w:rPr>
        <w:t>Behrendt</w:t>
      </w:r>
      <w:r>
        <w:rPr>
          <w:i/>
          <w:sz w:val="20"/>
          <w:szCs w:val="20"/>
        </w:rPr>
        <w:t xml:space="preserve">, </w:t>
      </w:r>
      <w:r>
        <w:rPr>
          <w:sz w:val="20"/>
          <w:szCs w:val="20"/>
        </w:rPr>
        <w:t xml:space="preserve">No. 11-11379 (Bankr. C.D. Cal. March 25, 2010) (valuing at $42 million notes receivable and corresponding deeds of trust from sale of properties by various LLCs and trusts, and valuing at zero numerous interests in various corporations and LLCs, some of which were real estate firms) </w:t>
      </w:r>
    </w:p>
  </w:footnote>
  <w:footnote w:id="172">
    <w:p w14:paraId="0D23E49E" w14:textId="3D505709"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1322(d)(2) (2012).</w:t>
      </w:r>
    </w:p>
  </w:footnote>
  <w:footnote w:id="173">
    <w:p w14:paraId="409AAB24" w14:textId="43E90016"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Individual debtors in chapter 11 cases also have more flexibility to modify obligations to secured creditors other than holders of residential mortgages. (Both chapters 11 and 13 prohibit the modification of obligations secured only by the debtor’s principal residence. 11 U.S.C. §§ 1123(b)(5) &amp; 1322(b)(2) (2012)). Because the language of these sections is identical, the Supreme Court’s holding in </w:t>
      </w:r>
      <w:r w:rsidRPr="002552EA">
        <w:rPr>
          <w:rFonts w:cstheme="minorHAnsi"/>
          <w:i/>
          <w:sz w:val="20"/>
          <w:szCs w:val="20"/>
        </w:rPr>
        <w:t>Nobelman v. American Savings Bank</w:t>
      </w:r>
      <w:r w:rsidRPr="002552EA">
        <w:rPr>
          <w:rFonts w:cstheme="minorHAnsi"/>
          <w:sz w:val="20"/>
          <w:szCs w:val="20"/>
        </w:rPr>
        <w:t>, 508 U.S. 324 (1993), interpreting 11 U.S.C. § 1322(b)(2), is equally applicable to the interpretation of 11 U.S.C. § 1123(b)(5).) This flexibility derives, in part, from the fact that chapter 11 plans may extend beyond the five-year limit applicable in chapter 13. Thus, a debtor may restructure a long-term mortgage on rental property only in chapter 11. Individual chapter 11 debtors also have more flexibility in modifying secured claims on personal property. The infamous “hanging paragraph,” codified at the end of 11 U.S.C. § 1325(a)(9), applies only in chapter 13. Thus, individual debtors in chapter 11 may modify secured claims even though the collateral is an automobile purchased within 910 days before filing, or is another type of collateral securing a debt incurred within a year before the petition</w:t>
      </w:r>
      <w:r>
        <w:rPr>
          <w:rFonts w:cstheme="minorHAnsi"/>
          <w:sz w:val="20"/>
          <w:szCs w:val="20"/>
        </w:rPr>
        <w:t>.</w:t>
      </w:r>
    </w:p>
  </w:footnote>
  <w:footnote w:id="174">
    <w:p w14:paraId="528DFAA3" w14:textId="117DDB77" w:rsidR="00560FBA" w:rsidRPr="002552EA" w:rsidRDefault="00560FBA" w:rsidP="00EC161B">
      <w:pPr>
        <w:widowControl w:val="0"/>
        <w:autoSpaceDE w:val="0"/>
        <w:autoSpaceDN w:val="0"/>
        <w:adjustRightInd w:val="0"/>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w:t>
      </w:r>
      <w:r w:rsidRPr="002552EA">
        <w:rPr>
          <w:rFonts w:cstheme="minorHAnsi"/>
          <w:sz w:val="20"/>
          <w:szCs w:val="20"/>
        </w:rPr>
        <w:t xml:space="preserve">Norberg &amp; Velkey,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_Ref275782955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w:t>
      </w:r>
      <w:r w:rsidRPr="002552EA">
        <w:rPr>
          <w:rFonts w:cstheme="minorHAnsi"/>
          <w:sz w:val="20"/>
          <w:szCs w:val="20"/>
        </w:rPr>
        <w:fldChar w:fldCharType="end"/>
      </w:r>
      <w:r w:rsidRPr="002552EA">
        <w:rPr>
          <w:rFonts w:cstheme="minorHAnsi"/>
          <w:sz w:val="20"/>
          <w:szCs w:val="20"/>
        </w:rPr>
        <w:t xml:space="preserve">; </w:t>
      </w:r>
      <w:r w:rsidRPr="002552EA">
        <w:rPr>
          <w:rFonts w:cstheme="minorHAnsi"/>
          <w:i/>
          <w:sz w:val="20"/>
          <w:szCs w:val="20"/>
        </w:rPr>
        <w:t>Success of Chapter 11</w:t>
      </w:r>
      <w:r w:rsidRPr="002552EA">
        <w:rPr>
          <w:rFonts w:cstheme="minorHAnsi"/>
          <w:sz w:val="20"/>
          <w:szCs w:val="20"/>
        </w:rPr>
        <w:t xml:space="preserve">,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_Ref276229185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w:t>
      </w:r>
      <w:r w:rsidRPr="002552EA">
        <w:rPr>
          <w:rFonts w:cstheme="minorHAnsi"/>
          <w:sz w:val="20"/>
          <w:szCs w:val="20"/>
        </w:rPr>
        <w:fldChar w:fldCharType="end"/>
      </w:r>
      <w:r w:rsidRPr="002552EA">
        <w:rPr>
          <w:rFonts w:cstheme="minorHAnsi"/>
          <w:sz w:val="20"/>
          <w:szCs w:val="20"/>
        </w:rPr>
        <w:t xml:space="preserve">. </w:t>
      </w:r>
    </w:p>
  </w:footnote>
  <w:footnote w:id="175">
    <w:p w14:paraId="2BD51A08" w14:textId="7B7CF016" w:rsidR="00560FBA" w:rsidRPr="002552EA" w:rsidRDefault="00560FBA" w:rsidP="00EC161B">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11 U.S.C. § 1141(d)(5) (2012).</w:t>
      </w:r>
    </w:p>
  </w:footnote>
  <w:footnote w:id="176">
    <w:p w14:paraId="29545E14" w14:textId="218F495D" w:rsidR="00560FBA" w:rsidRPr="002552EA" w:rsidRDefault="00560FBA" w:rsidP="00EC161B">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Many of the plans that our random sample debtors proposed are scheduled to last 30 years. </w:t>
      </w:r>
      <w:r w:rsidRPr="002552EA">
        <w:rPr>
          <w:rFonts w:cstheme="minorHAnsi"/>
          <w:i/>
          <w:sz w:val="20"/>
          <w:szCs w:val="20"/>
        </w:rPr>
        <w:t xml:space="preserve">See infra </w:t>
      </w:r>
      <w:r w:rsidRPr="002552EA">
        <w:rPr>
          <w:rFonts w:cstheme="minorHAnsi"/>
          <w:sz w:val="20"/>
          <w:szCs w:val="20"/>
        </w:rPr>
        <w:t xml:space="preserve">note </w:t>
      </w:r>
      <w:r w:rsidRPr="00447A4E">
        <w:rPr>
          <w:rFonts w:cstheme="minorHAnsi"/>
          <w:sz w:val="20"/>
          <w:szCs w:val="20"/>
        </w:rPr>
        <w:fldChar w:fldCharType="begin"/>
      </w:r>
      <w:r w:rsidRPr="00447A4E">
        <w:rPr>
          <w:rFonts w:cstheme="minorHAnsi"/>
          <w:sz w:val="20"/>
          <w:szCs w:val="20"/>
        </w:rPr>
        <w:instrText xml:space="preserve"> NOTEREF _Ref332100934 \h </w:instrText>
      </w:r>
      <w:r w:rsidRPr="00447A4E">
        <w:rPr>
          <w:rFonts w:cstheme="minorHAnsi"/>
          <w:sz w:val="20"/>
          <w:szCs w:val="20"/>
        </w:rPr>
      </w:r>
      <w:r w:rsidRPr="00447A4E">
        <w:rPr>
          <w:rFonts w:cstheme="minorHAnsi"/>
          <w:sz w:val="20"/>
          <w:szCs w:val="20"/>
        </w:rPr>
        <w:fldChar w:fldCharType="separate"/>
      </w:r>
      <w:r>
        <w:rPr>
          <w:rFonts w:cstheme="minorHAnsi"/>
          <w:sz w:val="20"/>
          <w:szCs w:val="20"/>
        </w:rPr>
        <w:t>250</w:t>
      </w:r>
      <w:r w:rsidRPr="00447A4E">
        <w:rPr>
          <w:rFonts w:cstheme="minorHAnsi"/>
          <w:sz w:val="20"/>
          <w:szCs w:val="20"/>
        </w:rPr>
        <w:fldChar w:fldCharType="end"/>
      </w:r>
      <w:r w:rsidRPr="002552EA">
        <w:rPr>
          <w:rFonts w:cstheme="minorHAnsi"/>
          <w:sz w:val="20"/>
          <w:szCs w:val="20"/>
        </w:rPr>
        <w:t xml:space="preserve"> and accompanying text. </w:t>
      </w:r>
    </w:p>
  </w:footnote>
  <w:footnote w:id="177">
    <w:p w14:paraId="24A9EF72" w14:textId="6CE241A5" w:rsidR="00560FBA" w:rsidRPr="002552EA" w:rsidRDefault="00560FBA" w:rsidP="00EC161B">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Bankruptcy Decision Making,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_Ref276229185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w:t>
      </w:r>
      <w:r w:rsidRPr="002552EA">
        <w:rPr>
          <w:rFonts w:cstheme="minorHAnsi"/>
          <w:sz w:val="20"/>
          <w:szCs w:val="20"/>
        </w:rPr>
        <w:fldChar w:fldCharType="end"/>
      </w:r>
      <w:r w:rsidRPr="002552EA">
        <w:rPr>
          <w:rFonts w:cstheme="minorHAnsi"/>
          <w:sz w:val="20"/>
          <w:szCs w:val="20"/>
        </w:rPr>
        <w:t xml:space="preserve">; </w:t>
      </w:r>
      <w:r w:rsidRPr="002552EA">
        <w:rPr>
          <w:rFonts w:cstheme="minorHAnsi"/>
          <w:i/>
          <w:sz w:val="20"/>
          <w:szCs w:val="20"/>
        </w:rPr>
        <w:t xml:space="preserve">Small Business Workouts,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_Ref276229185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w:t>
      </w:r>
      <w:r w:rsidRPr="002552EA">
        <w:rPr>
          <w:rFonts w:cstheme="minorHAnsi"/>
          <w:sz w:val="20"/>
          <w:szCs w:val="20"/>
        </w:rPr>
        <w:fldChar w:fldCharType="end"/>
      </w:r>
      <w:r w:rsidRPr="002552EA">
        <w:rPr>
          <w:rFonts w:cstheme="minorHAnsi"/>
          <w:sz w:val="20"/>
          <w:szCs w:val="20"/>
        </w:rPr>
        <w:t xml:space="preserve">; </w:t>
      </w:r>
      <w:r w:rsidRPr="002552EA">
        <w:rPr>
          <w:rFonts w:cstheme="minorHAnsi"/>
          <w:i/>
          <w:sz w:val="20"/>
          <w:szCs w:val="20"/>
        </w:rPr>
        <w:t xml:space="preserve">Success of Chapter 11,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_Ref276229185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w:t>
      </w:r>
      <w:r w:rsidRPr="002552EA">
        <w:rPr>
          <w:rFonts w:cstheme="minorHAnsi"/>
          <w:sz w:val="20"/>
          <w:szCs w:val="20"/>
        </w:rPr>
        <w:fldChar w:fldCharType="end"/>
      </w:r>
      <w:r w:rsidRPr="002552EA">
        <w:rPr>
          <w:rFonts w:cstheme="minorHAnsi"/>
          <w:sz w:val="20"/>
          <w:szCs w:val="20"/>
        </w:rPr>
        <w:t>.</w:t>
      </w:r>
    </w:p>
  </w:footnote>
  <w:footnote w:id="178">
    <w:p w14:paraId="2653BB83" w14:textId="77777777" w:rsidR="00560FBA" w:rsidRPr="002552EA" w:rsidRDefault="00560FBA" w:rsidP="00EC161B">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This follows the example of many other scholars. </w:t>
      </w:r>
      <w:r w:rsidRPr="002552EA">
        <w:rPr>
          <w:rFonts w:cstheme="minorHAnsi"/>
          <w:i/>
          <w:sz w:val="20"/>
          <w:szCs w:val="20"/>
        </w:rPr>
        <w:t>See, e.g</w:t>
      </w:r>
      <w:r w:rsidRPr="002552EA">
        <w:rPr>
          <w:rFonts w:cstheme="minorHAnsi"/>
          <w:sz w:val="20"/>
          <w:szCs w:val="20"/>
        </w:rPr>
        <w:t xml:space="preserve">., </w:t>
      </w:r>
      <w:r w:rsidRPr="002552EA">
        <w:rPr>
          <w:rFonts w:cstheme="minorHAnsi"/>
          <w:i/>
          <w:sz w:val="20"/>
          <w:szCs w:val="20"/>
        </w:rPr>
        <w:t xml:space="preserve">Bankruptcy Decision Making, supra </w:t>
      </w:r>
      <w:r w:rsidRPr="002552EA">
        <w:rPr>
          <w:rFonts w:cstheme="minorHAnsi"/>
          <w:sz w:val="20"/>
          <w:szCs w:val="20"/>
        </w:rPr>
        <w:t xml:space="preserve">note 3; </w:t>
      </w:r>
      <w:r w:rsidRPr="002552EA">
        <w:rPr>
          <w:rFonts w:cstheme="minorHAnsi"/>
          <w:i/>
          <w:sz w:val="20"/>
          <w:szCs w:val="20"/>
        </w:rPr>
        <w:t xml:space="preserve">Success of Chapter 11, supra </w:t>
      </w:r>
      <w:r w:rsidRPr="002552EA">
        <w:rPr>
          <w:rFonts w:cstheme="minorHAnsi"/>
          <w:sz w:val="20"/>
          <w:szCs w:val="20"/>
        </w:rPr>
        <w:t xml:space="preserve">note 3; Norberg &amp; Velkey, </w:t>
      </w:r>
      <w:r w:rsidRPr="002552EA">
        <w:rPr>
          <w:rFonts w:cstheme="minorHAnsi"/>
          <w:i/>
          <w:sz w:val="20"/>
          <w:szCs w:val="20"/>
        </w:rPr>
        <w:t xml:space="preserve">supra </w:t>
      </w:r>
      <w:r w:rsidRPr="002552EA">
        <w:rPr>
          <w:rFonts w:cstheme="minorHAnsi"/>
          <w:sz w:val="20"/>
          <w:szCs w:val="20"/>
        </w:rPr>
        <w:t>note 2.</w:t>
      </w:r>
    </w:p>
  </w:footnote>
  <w:footnote w:id="179">
    <w:p w14:paraId="754D54EC" w14:textId="17611FA3" w:rsidR="00560FBA" w:rsidRPr="002552EA" w:rsidRDefault="00560FBA" w:rsidP="00EC161B">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Bankruptcy Decision Making,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_Ref276229185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w:t>
      </w:r>
      <w:r w:rsidRPr="002552EA">
        <w:rPr>
          <w:rFonts w:cstheme="minorHAnsi"/>
          <w:sz w:val="20"/>
          <w:szCs w:val="20"/>
        </w:rPr>
        <w:fldChar w:fldCharType="end"/>
      </w:r>
      <w:r w:rsidRPr="002552EA">
        <w:rPr>
          <w:rFonts w:cstheme="minorHAnsi"/>
          <w:sz w:val="20"/>
          <w:szCs w:val="20"/>
        </w:rPr>
        <w:t xml:space="preserve">; </w:t>
      </w:r>
      <w:r w:rsidRPr="002552EA">
        <w:rPr>
          <w:rFonts w:cstheme="minorHAnsi"/>
          <w:i/>
          <w:sz w:val="20"/>
          <w:szCs w:val="20"/>
        </w:rPr>
        <w:t xml:space="preserve">Success of Chapter 11,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_Ref276229185 \h  \* MERGEFORMAT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w:t>
      </w:r>
      <w:r w:rsidRPr="002552EA">
        <w:rPr>
          <w:rFonts w:cstheme="minorHAnsi"/>
          <w:sz w:val="20"/>
          <w:szCs w:val="20"/>
        </w:rPr>
        <w:fldChar w:fldCharType="end"/>
      </w:r>
      <w:r w:rsidRPr="002552EA">
        <w:rPr>
          <w:rFonts w:cstheme="minorHAnsi"/>
          <w:sz w:val="20"/>
          <w:szCs w:val="20"/>
        </w:rPr>
        <w:t>.</w:t>
      </w:r>
      <w:r w:rsidRPr="002552EA" w:rsidDel="00752FA6">
        <w:rPr>
          <w:rFonts w:cstheme="minorHAnsi"/>
          <w:sz w:val="20"/>
          <w:szCs w:val="20"/>
        </w:rPr>
        <w:t xml:space="preserve"> </w:t>
      </w:r>
    </w:p>
  </w:footnote>
  <w:footnote w:id="180">
    <w:p w14:paraId="32BFD4C0" w14:textId="259AFCDC" w:rsidR="00560FBA" w:rsidRPr="002552EA" w:rsidRDefault="00560FBA" w:rsidP="00EC161B">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infra </w:t>
      </w:r>
      <w:r w:rsidRPr="002552EA">
        <w:rPr>
          <w:rFonts w:cstheme="minorHAnsi"/>
          <w:sz w:val="20"/>
          <w:szCs w:val="20"/>
        </w:rPr>
        <w:t xml:space="preserve">Table 52, and notes </w:t>
      </w:r>
      <w:r w:rsidRPr="002552EA">
        <w:rPr>
          <w:rFonts w:cstheme="minorHAnsi"/>
          <w:sz w:val="20"/>
          <w:szCs w:val="20"/>
        </w:rPr>
        <w:fldChar w:fldCharType="begin"/>
      </w:r>
      <w:r w:rsidRPr="002552EA">
        <w:rPr>
          <w:rFonts w:cstheme="minorHAnsi"/>
          <w:sz w:val="20"/>
          <w:szCs w:val="20"/>
        </w:rPr>
        <w:instrText xml:space="preserve"> NOTEREF _Ref333733571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308</w:t>
      </w:r>
      <w:r w:rsidRPr="002552EA">
        <w:rPr>
          <w:rFonts w:cstheme="minorHAnsi"/>
          <w:sz w:val="20"/>
          <w:szCs w:val="20"/>
        </w:rPr>
        <w:fldChar w:fldCharType="end"/>
      </w:r>
      <w:r w:rsidRPr="002552EA">
        <w:rPr>
          <w:rFonts w:cstheme="minorHAnsi"/>
          <w:sz w:val="20"/>
          <w:szCs w:val="20"/>
        </w:rPr>
        <w:t>-</w:t>
      </w:r>
      <w:r w:rsidRPr="002552EA">
        <w:rPr>
          <w:rFonts w:cstheme="minorHAnsi"/>
          <w:sz w:val="20"/>
          <w:szCs w:val="20"/>
        </w:rPr>
        <w:fldChar w:fldCharType="begin"/>
      </w:r>
      <w:r w:rsidRPr="002552EA">
        <w:rPr>
          <w:rFonts w:cstheme="minorHAnsi"/>
          <w:sz w:val="20"/>
          <w:szCs w:val="20"/>
        </w:rPr>
        <w:instrText xml:space="preserve"> NOTEREF _Ref333764178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309</w:t>
      </w:r>
      <w:r w:rsidRPr="002552EA">
        <w:rPr>
          <w:rFonts w:cstheme="minorHAnsi"/>
          <w:sz w:val="20"/>
          <w:szCs w:val="20"/>
        </w:rPr>
        <w:fldChar w:fldCharType="end"/>
      </w:r>
      <w:r w:rsidRPr="002552EA">
        <w:rPr>
          <w:rFonts w:cstheme="minorHAnsi"/>
          <w:sz w:val="20"/>
          <w:szCs w:val="20"/>
        </w:rPr>
        <w:t xml:space="preserve"> and accompanying text. This results, apparently, from a combination of factors: lack of rigid timing rules; absence of a bankruptcy trustee; and fairly low stakes that limit creditor participation.</w:t>
      </w:r>
    </w:p>
  </w:footnote>
  <w:footnote w:id="181">
    <w:p w14:paraId="74C7E80C" w14:textId="47DF03D5"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Success of Chapter 11,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_Ref276229185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w:t>
      </w:r>
      <w:r w:rsidRPr="002552EA">
        <w:rPr>
          <w:rFonts w:cstheme="minorHAnsi"/>
          <w:sz w:val="20"/>
          <w:szCs w:val="20"/>
        </w:rPr>
        <w:fldChar w:fldCharType="end"/>
      </w:r>
      <w:r w:rsidRPr="002552EA">
        <w:rPr>
          <w:rFonts w:cstheme="minorHAnsi"/>
          <w:sz w:val="20"/>
          <w:szCs w:val="20"/>
        </w:rPr>
        <w:t xml:space="preserve"> at 627-32; </w:t>
      </w:r>
      <w:r w:rsidRPr="002552EA">
        <w:rPr>
          <w:rFonts w:cstheme="minorHAnsi"/>
          <w:i/>
          <w:sz w:val="20"/>
          <w:szCs w:val="20"/>
        </w:rPr>
        <w:t xml:space="preserve">see also </w:t>
      </w:r>
      <w:r w:rsidRPr="002552EA">
        <w:rPr>
          <w:rFonts w:cstheme="minorHAnsi"/>
          <w:smallCaps/>
          <w:sz w:val="20"/>
          <w:szCs w:val="20"/>
        </w:rPr>
        <w:t>National Bankruptcy Review Commission, The Next Twenty Years 609 (1997) (</w:t>
      </w:r>
      <w:r w:rsidRPr="002552EA">
        <w:rPr>
          <w:rFonts w:cstheme="minorHAnsi"/>
          <w:sz w:val="20"/>
          <w:szCs w:val="20"/>
        </w:rPr>
        <w:t>footnote omitted) (stating that there are two categories of chapter 11 cases and “[t]he second category consists of the much larger proportion of cases in which the debtor has no reasonable prospect of rehabilitation”) [hereinafter 1997 Commission Report].</w:t>
      </w:r>
    </w:p>
  </w:footnote>
  <w:footnote w:id="182">
    <w:p w14:paraId="341E0833" w14:textId="6FC4A391"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Bankruptcy Decision Making,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_Ref276229185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w:t>
      </w:r>
      <w:r w:rsidRPr="002552EA">
        <w:rPr>
          <w:rFonts w:cstheme="minorHAnsi"/>
          <w:sz w:val="20"/>
          <w:szCs w:val="20"/>
        </w:rPr>
        <w:fldChar w:fldCharType="end"/>
      </w:r>
      <w:r w:rsidRPr="002552EA">
        <w:rPr>
          <w:rFonts w:cstheme="minorHAnsi"/>
          <w:sz w:val="20"/>
          <w:szCs w:val="20"/>
        </w:rPr>
        <w:t xml:space="preserve">; </w:t>
      </w:r>
      <w:r w:rsidRPr="002552EA">
        <w:rPr>
          <w:rFonts w:cstheme="minorHAnsi"/>
          <w:i/>
          <w:sz w:val="20"/>
          <w:szCs w:val="20"/>
        </w:rPr>
        <w:t xml:space="preserve">Success of Chapter 11,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_Ref276229185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w:t>
      </w:r>
      <w:r w:rsidRPr="002552EA">
        <w:rPr>
          <w:rFonts w:cstheme="minorHAnsi"/>
          <w:sz w:val="20"/>
          <w:szCs w:val="20"/>
        </w:rPr>
        <w:fldChar w:fldCharType="end"/>
      </w:r>
      <w:r w:rsidRPr="002552EA">
        <w:rPr>
          <w:rFonts w:cstheme="minorHAnsi"/>
          <w:sz w:val="20"/>
          <w:szCs w:val="20"/>
        </w:rPr>
        <w:t xml:space="preserve">. </w:t>
      </w:r>
    </w:p>
  </w:footnote>
  <w:footnote w:id="183">
    <w:p w14:paraId="297E8B31"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It is not worth debating whether a waived discharge is really a failure because these waivers account for a negligible percentage of the cases.</w:t>
      </w:r>
    </w:p>
  </w:footnote>
  <w:footnote w:id="184">
    <w:p w14:paraId="6E910E59"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w:t>
      </w:r>
      <w:r w:rsidRPr="002552EA">
        <w:rPr>
          <w:rFonts w:cstheme="minorHAnsi"/>
          <w:sz w:val="20"/>
          <w:szCs w:val="20"/>
        </w:rPr>
        <w:t xml:space="preserve">Katherine Porter, </w:t>
      </w:r>
      <w:r w:rsidRPr="002552EA">
        <w:rPr>
          <w:rFonts w:cstheme="minorHAnsi"/>
          <w:i/>
          <w:sz w:val="20"/>
          <w:szCs w:val="20"/>
        </w:rPr>
        <w:t>The Pretend Solution: An Empirical Study of Bankruptcy Outcomes</w:t>
      </w:r>
      <w:r w:rsidRPr="002552EA">
        <w:rPr>
          <w:rFonts w:cstheme="minorHAnsi"/>
          <w:sz w:val="20"/>
          <w:szCs w:val="20"/>
        </w:rPr>
        <w:t xml:space="preserve">, 90 </w:t>
      </w:r>
      <w:r w:rsidRPr="002552EA">
        <w:rPr>
          <w:rFonts w:cstheme="minorHAnsi"/>
          <w:smallCaps/>
          <w:sz w:val="20"/>
          <w:szCs w:val="20"/>
        </w:rPr>
        <w:t>Tex. L. Rev.</w:t>
      </w:r>
      <w:r w:rsidRPr="002552EA">
        <w:rPr>
          <w:rFonts w:cstheme="minorHAnsi"/>
          <w:sz w:val="20"/>
          <w:szCs w:val="20"/>
        </w:rPr>
        <w:t xml:space="preserve"> 103 (2011).</w:t>
      </w:r>
    </w:p>
  </w:footnote>
  <w:footnote w:id="185">
    <w:p w14:paraId="4DE05A7A"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Id.</w:t>
      </w:r>
    </w:p>
  </w:footnote>
  <w:footnote w:id="186">
    <w:p w14:paraId="32FBD4C3"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Id.</w:t>
      </w:r>
    </w:p>
  </w:footnote>
  <w:footnote w:id="187">
    <w:p w14:paraId="52FAB531" w14:textId="3363B02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Pr>
          <w:rFonts w:cstheme="minorHAnsi"/>
          <w:sz w:val="20"/>
          <w:szCs w:val="20"/>
        </w:rPr>
        <w:t xml:space="preserve"> We checked fifteen</w:t>
      </w:r>
      <w:r w:rsidRPr="002552EA">
        <w:rPr>
          <w:rFonts w:cstheme="minorHAnsi"/>
          <w:sz w:val="20"/>
          <w:szCs w:val="20"/>
        </w:rPr>
        <w:t xml:space="preserve"> cases in which PACER recorded the debtor as having rec</w:t>
      </w:r>
      <w:r>
        <w:rPr>
          <w:rFonts w:cstheme="minorHAnsi"/>
          <w:sz w:val="20"/>
          <w:szCs w:val="20"/>
        </w:rPr>
        <w:t>eived a standard discharge. In five</w:t>
      </w:r>
      <w:r w:rsidRPr="002552EA">
        <w:rPr>
          <w:rFonts w:cstheme="minorHAnsi"/>
          <w:sz w:val="20"/>
          <w:szCs w:val="20"/>
        </w:rPr>
        <w:t xml:space="preserve"> of those </w:t>
      </w:r>
      <w:r>
        <w:rPr>
          <w:rFonts w:cstheme="minorHAnsi"/>
          <w:sz w:val="20"/>
          <w:szCs w:val="20"/>
        </w:rPr>
        <w:t>fifteen</w:t>
      </w:r>
      <w:r w:rsidRPr="002552EA">
        <w:rPr>
          <w:rFonts w:cstheme="minorHAnsi"/>
          <w:sz w:val="20"/>
          <w:szCs w:val="20"/>
        </w:rPr>
        <w:t xml:space="preserve"> cases, the top of the docket contained the notation “standard discharge”; while the debt</w:t>
      </w:r>
      <w:r>
        <w:rPr>
          <w:rFonts w:cstheme="minorHAnsi"/>
          <w:sz w:val="20"/>
          <w:szCs w:val="20"/>
        </w:rPr>
        <w:t>or had confirmed a plan in all five</w:t>
      </w:r>
      <w:r w:rsidRPr="002552EA">
        <w:rPr>
          <w:rFonts w:cstheme="minorHAnsi"/>
          <w:sz w:val="20"/>
          <w:szCs w:val="20"/>
        </w:rPr>
        <w:t xml:space="preserve"> cases, he </w:t>
      </w:r>
      <w:r>
        <w:rPr>
          <w:rFonts w:cstheme="minorHAnsi"/>
          <w:sz w:val="20"/>
          <w:szCs w:val="20"/>
        </w:rPr>
        <w:t xml:space="preserve">or she </w:t>
      </w:r>
      <w:r w:rsidRPr="002552EA">
        <w:rPr>
          <w:rFonts w:cstheme="minorHAnsi"/>
          <w:sz w:val="20"/>
          <w:szCs w:val="20"/>
        </w:rPr>
        <w:t xml:space="preserve">had not yet received a discharge. </w:t>
      </w:r>
      <w:r w:rsidRPr="002552EA">
        <w:rPr>
          <w:rFonts w:cstheme="minorHAnsi"/>
          <w:i/>
          <w:sz w:val="20"/>
          <w:szCs w:val="20"/>
        </w:rPr>
        <w:t xml:space="preserve">See In re </w:t>
      </w:r>
      <w:r w:rsidRPr="00D9425C">
        <w:rPr>
          <w:rFonts w:cstheme="minorHAnsi"/>
          <w:sz w:val="20"/>
          <w:szCs w:val="20"/>
        </w:rPr>
        <w:t>Rinkenberger</w:t>
      </w:r>
      <w:r w:rsidRPr="002552EA">
        <w:rPr>
          <w:rFonts w:cstheme="minorHAnsi"/>
          <w:i/>
          <w:sz w:val="20"/>
          <w:szCs w:val="20"/>
        </w:rPr>
        <w:t xml:space="preserve">, </w:t>
      </w:r>
      <w:r w:rsidRPr="002552EA">
        <w:rPr>
          <w:rFonts w:cstheme="minorHAnsi"/>
          <w:sz w:val="20"/>
          <w:szCs w:val="20"/>
        </w:rPr>
        <w:t xml:space="preserve">No. 13-36386 (Bankr. N.D. Tex. Dec. 11, 2013); </w:t>
      </w:r>
      <w:r w:rsidRPr="002552EA">
        <w:rPr>
          <w:rFonts w:cstheme="minorHAnsi"/>
          <w:i/>
          <w:sz w:val="20"/>
          <w:szCs w:val="20"/>
        </w:rPr>
        <w:t xml:space="preserve">In re </w:t>
      </w:r>
      <w:r w:rsidRPr="00D9425C">
        <w:rPr>
          <w:rFonts w:cstheme="minorHAnsi"/>
          <w:sz w:val="20"/>
          <w:szCs w:val="20"/>
        </w:rPr>
        <w:t>Mitcham</w:t>
      </w:r>
      <w:r w:rsidRPr="002552EA">
        <w:rPr>
          <w:rFonts w:cstheme="minorHAnsi"/>
          <w:i/>
          <w:sz w:val="20"/>
          <w:szCs w:val="20"/>
        </w:rPr>
        <w:t xml:space="preserve">, </w:t>
      </w:r>
      <w:r w:rsidRPr="002552EA">
        <w:rPr>
          <w:rFonts w:cstheme="minorHAnsi"/>
          <w:sz w:val="20"/>
          <w:szCs w:val="20"/>
        </w:rPr>
        <w:t xml:space="preserve">No. 13-11973 (Bankr. N.D. Ga. Aug. 5, 2013); </w:t>
      </w:r>
      <w:r w:rsidRPr="002552EA">
        <w:rPr>
          <w:rFonts w:cstheme="minorHAnsi"/>
          <w:i/>
          <w:sz w:val="20"/>
          <w:szCs w:val="20"/>
        </w:rPr>
        <w:t xml:space="preserve">In re </w:t>
      </w:r>
      <w:r w:rsidRPr="00D9425C">
        <w:rPr>
          <w:rFonts w:cstheme="minorHAnsi"/>
          <w:sz w:val="20"/>
          <w:szCs w:val="20"/>
        </w:rPr>
        <w:t>Vargas</w:t>
      </w:r>
      <w:r w:rsidRPr="002552EA">
        <w:rPr>
          <w:rFonts w:cstheme="minorHAnsi"/>
          <w:i/>
          <w:sz w:val="20"/>
          <w:szCs w:val="20"/>
        </w:rPr>
        <w:t xml:space="preserve">, </w:t>
      </w:r>
      <w:r w:rsidRPr="002552EA">
        <w:rPr>
          <w:rFonts w:cstheme="minorHAnsi"/>
          <w:sz w:val="20"/>
          <w:szCs w:val="20"/>
        </w:rPr>
        <w:t xml:space="preserve">No. 13-29364 (Bankr. C.D. Cal. July 31, 2013); </w:t>
      </w:r>
      <w:r w:rsidRPr="002552EA">
        <w:rPr>
          <w:rFonts w:cstheme="minorHAnsi"/>
          <w:i/>
          <w:sz w:val="20"/>
          <w:szCs w:val="20"/>
        </w:rPr>
        <w:t xml:space="preserve">In re </w:t>
      </w:r>
      <w:r w:rsidRPr="00D9425C">
        <w:rPr>
          <w:rFonts w:cstheme="minorHAnsi"/>
          <w:sz w:val="20"/>
          <w:szCs w:val="20"/>
        </w:rPr>
        <w:t>Ragira</w:t>
      </w:r>
      <w:r w:rsidRPr="002552EA">
        <w:rPr>
          <w:rFonts w:cstheme="minorHAnsi"/>
          <w:i/>
          <w:sz w:val="20"/>
          <w:szCs w:val="20"/>
        </w:rPr>
        <w:t xml:space="preserve">, </w:t>
      </w:r>
      <w:r w:rsidRPr="002552EA">
        <w:rPr>
          <w:rFonts w:cstheme="minorHAnsi"/>
          <w:sz w:val="20"/>
          <w:szCs w:val="20"/>
        </w:rPr>
        <w:t xml:space="preserve">No. 13-41986 (Bankr. N.D. Tex. May 2, 2013); </w:t>
      </w:r>
      <w:r w:rsidRPr="002552EA">
        <w:rPr>
          <w:rFonts w:cstheme="minorHAnsi"/>
          <w:i/>
          <w:sz w:val="20"/>
          <w:szCs w:val="20"/>
        </w:rPr>
        <w:t xml:space="preserve">In re </w:t>
      </w:r>
      <w:r w:rsidRPr="00D9425C">
        <w:rPr>
          <w:rFonts w:cstheme="minorHAnsi"/>
          <w:sz w:val="20"/>
          <w:szCs w:val="20"/>
        </w:rPr>
        <w:t>Ramirez</w:t>
      </w:r>
      <w:r w:rsidRPr="002552EA">
        <w:rPr>
          <w:rFonts w:cstheme="minorHAnsi"/>
          <w:i/>
          <w:sz w:val="20"/>
          <w:szCs w:val="20"/>
        </w:rPr>
        <w:t xml:space="preserve">, </w:t>
      </w:r>
      <w:r w:rsidRPr="002552EA">
        <w:rPr>
          <w:rFonts w:cstheme="minorHAnsi"/>
          <w:sz w:val="20"/>
          <w:szCs w:val="20"/>
        </w:rPr>
        <w:t>No. 10-56945 (Bankr. N.D. Cal. July 5, 2010). While these errors raise questions about the accuracy of the “standard discharge” designation in the PACER case r</w:t>
      </w:r>
      <w:r>
        <w:rPr>
          <w:rFonts w:cstheme="minorHAnsi"/>
          <w:sz w:val="20"/>
          <w:szCs w:val="20"/>
        </w:rPr>
        <w:t xml:space="preserve">eports, they do not affect our </w:t>
      </w:r>
      <w:r w:rsidRPr="002552EA">
        <w:rPr>
          <w:rFonts w:cstheme="minorHAnsi"/>
          <w:sz w:val="20"/>
          <w:szCs w:val="20"/>
        </w:rPr>
        <w:t>findings</w:t>
      </w:r>
      <w:r w:rsidRPr="002552EA">
        <w:rPr>
          <w:rFonts w:cstheme="minorHAnsi"/>
          <w:i/>
          <w:sz w:val="20"/>
          <w:szCs w:val="20"/>
        </w:rPr>
        <w:t xml:space="preserve">, </w:t>
      </w:r>
      <w:r w:rsidRPr="002552EA">
        <w:rPr>
          <w:rFonts w:cstheme="minorHAnsi"/>
          <w:sz w:val="20"/>
          <w:szCs w:val="20"/>
        </w:rPr>
        <w:t xml:space="preserve">because the measure of success used includes obtaining a discharge </w:t>
      </w:r>
      <w:r w:rsidRPr="002552EA">
        <w:rPr>
          <w:rFonts w:cstheme="minorHAnsi"/>
          <w:i/>
          <w:sz w:val="20"/>
          <w:szCs w:val="20"/>
        </w:rPr>
        <w:t>or</w:t>
      </w:r>
      <w:r w:rsidRPr="002552EA">
        <w:rPr>
          <w:rFonts w:cstheme="minorHAnsi"/>
          <w:sz w:val="20"/>
          <w:szCs w:val="20"/>
        </w:rPr>
        <w:t xml:space="preserve"> avoiding dismissal for a significant period of time. The incorrectly-coded “standard discharge” cases involve confirmed plans; thus, the debtor succeeded by avoiding dismissal for a significant period of time. While the incorrect PACER coding affects the categories into which these successful cases fall, e.g., standard discharge versus discharge not applicable, it does not affect the percentage of successful cases found.</w:t>
      </w:r>
    </w:p>
  </w:footnote>
  <w:footnote w:id="188">
    <w:p w14:paraId="1F6AF602"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1141(d)(1), (3) (2012).</w:t>
      </w:r>
    </w:p>
  </w:footnote>
  <w:footnote w:id="189">
    <w:p w14:paraId="656C6073" w14:textId="3D2B3583"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D9425C">
        <w:rPr>
          <w:rFonts w:cstheme="minorHAnsi"/>
          <w:i/>
          <w:sz w:val="20"/>
          <w:szCs w:val="20"/>
        </w:rPr>
        <w:t>Id</w:t>
      </w:r>
      <w:r>
        <w:rPr>
          <w:rFonts w:cstheme="minorHAnsi"/>
          <w:sz w:val="20"/>
          <w:szCs w:val="20"/>
        </w:rPr>
        <w:t>. at § 1141(d)(5)</w:t>
      </w:r>
      <w:r w:rsidRPr="002552EA">
        <w:rPr>
          <w:rFonts w:cstheme="minorHAnsi"/>
          <w:sz w:val="20"/>
          <w:szCs w:val="20"/>
        </w:rPr>
        <w:t xml:space="preserve">. Section 1141(d)(5) provides that an individual debtor is not discharged until “completion of all payments under the plan,” unless modification is impractical and the debtor has paid unsecured creditors at least as much as they would have received in a chapter 7. This change to the date of discharge for individuals in chapter 11 was one of the most important changes wrought by the 2005 Amendments. Pub. L. 109-8, § 321(d)(2). There is an exception available for “cause,” which is discussed </w:t>
      </w:r>
      <w:r w:rsidRPr="002552EA">
        <w:rPr>
          <w:rFonts w:cstheme="minorHAnsi"/>
          <w:i/>
          <w:sz w:val="20"/>
          <w:szCs w:val="20"/>
        </w:rPr>
        <w:t>infra</w:t>
      </w:r>
      <w:r w:rsidRPr="002552EA">
        <w:rPr>
          <w:rFonts w:cstheme="minorHAnsi"/>
          <w:sz w:val="20"/>
          <w:szCs w:val="20"/>
        </w:rPr>
        <w:t xml:space="preserve"> at note </w:t>
      </w:r>
      <w:r w:rsidRPr="002552EA">
        <w:rPr>
          <w:rFonts w:cstheme="minorHAnsi"/>
          <w:sz w:val="20"/>
          <w:szCs w:val="20"/>
        </w:rPr>
        <w:fldChar w:fldCharType="begin"/>
      </w:r>
      <w:r w:rsidRPr="002552EA">
        <w:rPr>
          <w:rFonts w:cstheme="minorHAnsi"/>
          <w:sz w:val="20"/>
          <w:szCs w:val="20"/>
        </w:rPr>
        <w:instrText xml:space="preserve"> NOTEREF _Ref332101642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255</w:t>
      </w:r>
      <w:r w:rsidRPr="002552EA">
        <w:rPr>
          <w:rFonts w:cstheme="minorHAnsi"/>
          <w:sz w:val="20"/>
          <w:szCs w:val="20"/>
        </w:rPr>
        <w:fldChar w:fldCharType="end"/>
      </w:r>
      <w:r>
        <w:rPr>
          <w:rFonts w:cstheme="minorHAnsi"/>
          <w:sz w:val="20"/>
          <w:szCs w:val="20"/>
        </w:rPr>
        <w:t>.</w:t>
      </w:r>
    </w:p>
  </w:footnote>
  <w:footnote w:id="190">
    <w:p w14:paraId="69017047" w14:textId="0C04A735"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infra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_Ref332100934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250</w:t>
      </w:r>
      <w:r w:rsidRPr="002552EA">
        <w:rPr>
          <w:rFonts w:cstheme="minorHAnsi"/>
          <w:sz w:val="20"/>
          <w:szCs w:val="20"/>
        </w:rPr>
        <w:fldChar w:fldCharType="end"/>
      </w:r>
      <w:r w:rsidRPr="002552EA">
        <w:rPr>
          <w:rFonts w:cstheme="minorHAnsi"/>
          <w:sz w:val="20"/>
          <w:szCs w:val="20"/>
        </w:rPr>
        <w:t xml:space="preserve"> and accompanying text. </w:t>
      </w:r>
    </w:p>
  </w:footnote>
  <w:footnote w:id="191">
    <w:p w14:paraId="09BCFEB0" w14:textId="7F9351FF"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1141(d)(5)(B) (2012). Before 2005, only the debtor and a plan proponent had standing to seek modification of a confirmed plan. That rule remained unchanged post-2005 for chapter 11 debtors that were not individuals. The 2005 amendments, however, expanded the list of appropriate parties </w:t>
      </w:r>
      <w:r>
        <w:rPr>
          <w:rFonts w:cstheme="minorHAnsi"/>
          <w:sz w:val="20"/>
          <w:szCs w:val="20"/>
        </w:rPr>
        <w:t>for chapter 11 cases filed by</w:t>
      </w:r>
      <w:r w:rsidRPr="002552EA">
        <w:rPr>
          <w:rFonts w:cstheme="minorHAnsi"/>
          <w:sz w:val="20"/>
          <w:szCs w:val="20"/>
        </w:rPr>
        <w:t xml:space="preserve"> individuals. Now, parties with standing to seek post-confirmation modifications under chapter 11 include the debtor, United States Trustee, any appointed trustee, and unsecured creditors. </w:t>
      </w:r>
      <w:r w:rsidRPr="002552EA">
        <w:rPr>
          <w:rFonts w:cstheme="minorHAnsi"/>
          <w:i/>
          <w:sz w:val="20"/>
          <w:szCs w:val="20"/>
        </w:rPr>
        <w:t xml:space="preserve">Id. </w:t>
      </w:r>
      <w:r w:rsidRPr="002552EA">
        <w:rPr>
          <w:rFonts w:cstheme="minorHAnsi"/>
          <w:sz w:val="20"/>
          <w:szCs w:val="20"/>
        </w:rPr>
        <w:t xml:space="preserve"> §1127(e). A modification may seek to increase or decrease payments, and must be sought before the completion of payments; the fact that the plan has been substantially consummated is irrelevant.  </w:t>
      </w:r>
      <w:r w:rsidRPr="002552EA">
        <w:rPr>
          <w:rFonts w:cstheme="minorHAnsi"/>
          <w:i/>
          <w:sz w:val="20"/>
          <w:szCs w:val="20"/>
        </w:rPr>
        <w:t>Id</w:t>
      </w:r>
      <w:r w:rsidRPr="002552EA">
        <w:rPr>
          <w:rFonts w:cstheme="minorHAnsi"/>
          <w:sz w:val="20"/>
          <w:szCs w:val="20"/>
        </w:rPr>
        <w:t>.</w:t>
      </w:r>
    </w:p>
    <w:p w14:paraId="3A2509B5" w14:textId="66A3416F" w:rsidR="00560FBA" w:rsidRPr="002552EA" w:rsidRDefault="00560FBA" w:rsidP="00106D9A">
      <w:pPr>
        <w:pStyle w:val="FootnoteText"/>
        <w:rPr>
          <w:rFonts w:cstheme="minorHAnsi"/>
          <w:sz w:val="20"/>
          <w:szCs w:val="20"/>
        </w:rPr>
      </w:pPr>
      <w:r w:rsidRPr="002552EA">
        <w:rPr>
          <w:rFonts w:cstheme="minorHAnsi"/>
          <w:sz w:val="20"/>
          <w:szCs w:val="20"/>
        </w:rPr>
        <w:tab/>
        <w:t xml:space="preserve">Courts have not developed standards for post-confirmation modification of an individual debtor’s chapter 11 plan, although at least one court has imported chapter 13’s standard—specifically, a substantial change in the debtor’s income or expenses that was not anticipated at the time of confirmation. </w:t>
      </w:r>
      <w:r w:rsidRPr="002552EA">
        <w:rPr>
          <w:rFonts w:cstheme="minorHAnsi"/>
          <w:i/>
          <w:sz w:val="20"/>
          <w:szCs w:val="20"/>
        </w:rPr>
        <w:t xml:space="preserve">In re </w:t>
      </w:r>
      <w:r w:rsidRPr="002552EA">
        <w:rPr>
          <w:rFonts w:cstheme="minorHAnsi"/>
          <w:sz w:val="20"/>
          <w:szCs w:val="20"/>
        </w:rPr>
        <w:t xml:space="preserve">Mercer, 09-04088-8-ATS, 2013 WL 6507585, at *3-4 (Bankr. E.D.N.C. Dec. 12, 2013) (applying § 1329(a)’s standard to decide whether to grant modification to individual chapter 11 debtor; rejecting arguments for “more liberal standard”). </w:t>
      </w:r>
      <w:r w:rsidRPr="002552EA">
        <w:rPr>
          <w:rFonts w:cstheme="minorHAnsi"/>
          <w:i/>
          <w:sz w:val="20"/>
          <w:szCs w:val="20"/>
        </w:rPr>
        <w:t xml:space="preserve">See 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_Ref333755759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194</w:t>
      </w:r>
      <w:r w:rsidRPr="002552EA">
        <w:rPr>
          <w:rFonts w:cstheme="minorHAnsi"/>
          <w:sz w:val="20"/>
          <w:szCs w:val="20"/>
        </w:rPr>
        <w:fldChar w:fldCharType="end"/>
      </w:r>
      <w:r w:rsidRPr="002552EA">
        <w:rPr>
          <w:rFonts w:cstheme="minorHAnsi"/>
          <w:sz w:val="20"/>
          <w:szCs w:val="20"/>
        </w:rPr>
        <w:t xml:space="preserve"> for discussion of plan modification in chapter 13 cases. </w:t>
      </w:r>
    </w:p>
  </w:footnote>
  <w:footnote w:id="192">
    <w:p w14:paraId="72B118B2" w14:textId="5A5E20C3"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1141(d)(5)(A) (2012).</w:t>
      </w:r>
      <w:r w:rsidRPr="000806ED">
        <w:rPr>
          <w:rFonts w:ascii="Times New Roman" w:hAnsi="Times New Roman" w:cs="Times New Roman"/>
          <w:sz w:val="20"/>
          <w:szCs w:val="20"/>
        </w:rPr>
        <w:t xml:space="preserve"> The PACER case reports list</w:t>
      </w:r>
      <w:r w:rsidRPr="002552EA">
        <w:rPr>
          <w:rFonts w:ascii="Times New Roman" w:hAnsi="Times New Roman" w:cs="Times New Roman"/>
          <w:sz w:val="20"/>
          <w:szCs w:val="20"/>
        </w:rPr>
        <w:t>ed</w:t>
      </w:r>
      <w:r w:rsidRPr="000806ED">
        <w:rPr>
          <w:rFonts w:ascii="Times New Roman" w:hAnsi="Times New Roman" w:cs="Times New Roman"/>
          <w:sz w:val="20"/>
          <w:szCs w:val="20"/>
        </w:rPr>
        <w:t xml:space="preserve"> no hardship discharges in chapter 11 during the periods we studied.</w:t>
      </w:r>
      <w:r w:rsidRPr="002552EA">
        <w:rPr>
          <w:rFonts w:ascii="Times New Roman" w:hAnsi="Times New Roman" w:cs="Times New Roman"/>
          <w:sz w:val="20"/>
          <w:szCs w:val="20"/>
        </w:rPr>
        <w:t xml:space="preserve"> As noted below, however, some courts did grant debtors an early discharge.</w:t>
      </w:r>
      <w:r>
        <w:rPr>
          <w:rFonts w:ascii="Times New Roman" w:hAnsi="Times New Roman" w:cs="Times New Roman"/>
          <w:sz w:val="20"/>
          <w:szCs w:val="20"/>
        </w:rPr>
        <w:t xml:space="preserve"> </w:t>
      </w:r>
      <w:r w:rsidRPr="000806ED">
        <w:rPr>
          <w:rFonts w:ascii="Times New Roman" w:hAnsi="Times New Roman" w:cs="Times New Roman"/>
          <w:i/>
          <w:sz w:val="20"/>
          <w:szCs w:val="20"/>
        </w:rPr>
        <w:t xml:space="preserve">See infra </w:t>
      </w:r>
      <w:r w:rsidRPr="000806ED">
        <w:rPr>
          <w:rFonts w:ascii="Times New Roman" w:hAnsi="Times New Roman" w:cs="Times New Roman"/>
          <w:sz w:val="20"/>
          <w:szCs w:val="20"/>
        </w:rPr>
        <w:t xml:space="preserve">note </w:t>
      </w:r>
      <w:r w:rsidRPr="000806ED">
        <w:rPr>
          <w:rFonts w:ascii="Times New Roman" w:hAnsi="Times New Roman" w:cs="Times New Roman"/>
          <w:sz w:val="20"/>
          <w:szCs w:val="20"/>
        </w:rPr>
        <w:fldChar w:fldCharType="begin"/>
      </w:r>
      <w:r w:rsidRPr="000806ED">
        <w:rPr>
          <w:rFonts w:ascii="Times New Roman" w:hAnsi="Times New Roman" w:cs="Times New Roman"/>
          <w:sz w:val="20"/>
          <w:szCs w:val="20"/>
        </w:rPr>
        <w:instrText xml:space="preserve"> NOTEREF _Ref332101642 \h </w:instrText>
      </w:r>
      <w:r w:rsidRPr="000806ED">
        <w:rPr>
          <w:rFonts w:ascii="Times New Roman" w:hAnsi="Times New Roman" w:cs="Times New Roman"/>
          <w:sz w:val="20"/>
          <w:szCs w:val="20"/>
        </w:rPr>
      </w:r>
      <w:r w:rsidRPr="000806ED">
        <w:rPr>
          <w:rFonts w:ascii="Times New Roman" w:hAnsi="Times New Roman" w:cs="Times New Roman"/>
          <w:sz w:val="20"/>
          <w:szCs w:val="20"/>
        </w:rPr>
        <w:fldChar w:fldCharType="separate"/>
      </w:r>
      <w:r>
        <w:rPr>
          <w:rFonts w:ascii="Times New Roman" w:hAnsi="Times New Roman" w:cs="Times New Roman"/>
          <w:sz w:val="20"/>
          <w:szCs w:val="20"/>
        </w:rPr>
        <w:t>255</w:t>
      </w:r>
      <w:r w:rsidRPr="000806ED">
        <w:rPr>
          <w:rFonts w:ascii="Times New Roman" w:hAnsi="Times New Roman" w:cs="Times New Roman"/>
          <w:sz w:val="20"/>
          <w:szCs w:val="20"/>
        </w:rPr>
        <w:fldChar w:fldCharType="end"/>
      </w:r>
      <w:r w:rsidRPr="000806ED">
        <w:rPr>
          <w:rFonts w:ascii="Times New Roman" w:hAnsi="Times New Roman" w:cs="Times New Roman"/>
          <w:sz w:val="20"/>
          <w:szCs w:val="20"/>
        </w:rPr>
        <w:t xml:space="preserve">and accompanying text. </w:t>
      </w:r>
    </w:p>
  </w:footnote>
  <w:footnote w:id="193">
    <w:p w14:paraId="0F31326B" w14:textId="2FB638ED"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infra </w:t>
      </w:r>
      <w:r w:rsidRPr="002552EA">
        <w:rPr>
          <w:rFonts w:cstheme="minorHAnsi"/>
          <w:sz w:val="20"/>
          <w:szCs w:val="20"/>
        </w:rPr>
        <w:t xml:space="preserve">Table 55 and accompanying text.  </w:t>
      </w:r>
    </w:p>
  </w:footnote>
  <w:footnote w:id="194">
    <w:p w14:paraId="4B14B4CA" w14:textId="7E48A3A9" w:rsidR="00560FBA" w:rsidRPr="002552EA" w:rsidRDefault="00560FBA" w:rsidP="00D85792">
      <w:pPr>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Chapter 11 debtors are required to pay quarterly fees to the United States Trustee for each calendar quarter during which the case remains open, and is not converted, dismissed or closed. 28 U.S.C. § 1930(a)(6) (2012). To save individuals from having to pay these fees, many c</w:t>
      </w:r>
      <w:r>
        <w:rPr>
          <w:rFonts w:cstheme="minorHAnsi"/>
          <w:sz w:val="20"/>
          <w:szCs w:val="20"/>
        </w:rPr>
        <w:t>ourts administratively close a</w:t>
      </w:r>
      <w:r w:rsidRPr="002552EA">
        <w:rPr>
          <w:rFonts w:cstheme="minorHAnsi"/>
          <w:sz w:val="20"/>
          <w:szCs w:val="20"/>
        </w:rPr>
        <w:t xml:space="preserve"> case after confirmation of the plan and then reopen the case upon completion of the plan so that the debtor can receive a discharge. The Code requires the bankruptcy court to close a case that has been “fully administered,” § 350(a), but it does not define that phrase. Thus, courts usually look to the 1991 Advisory Committee Notes to Rule 3022. It lists six relevant factors that the court should consider in determining whether the estate has been fully administered: </w:t>
      </w:r>
    </w:p>
    <w:p w14:paraId="74687655" w14:textId="77777777" w:rsidR="00560FBA" w:rsidRPr="002552EA" w:rsidRDefault="00560FBA" w:rsidP="00D85792">
      <w:pPr>
        <w:pStyle w:val="FootnoteText"/>
        <w:ind w:left="720"/>
        <w:rPr>
          <w:rFonts w:cstheme="minorHAnsi"/>
          <w:sz w:val="20"/>
          <w:szCs w:val="20"/>
        </w:rPr>
      </w:pPr>
      <w:r w:rsidRPr="002552EA">
        <w:rPr>
          <w:rFonts w:cstheme="minorHAnsi"/>
          <w:sz w:val="20"/>
          <w:szCs w:val="20"/>
        </w:rPr>
        <w:t>(1) whether the order confirming the plan has become final, (2) whether deposits required by the plan have been distributed, (3) whether the property proposed by the plan to be transferred has been transferred, (4) whether the debtor or the successor of the debtor under the plan has assumed the business or the management of the property dealt with by the plan, (5) whether payments under the plan have commenced, and (6) whether all motions, contested matters, and adversary proceedings have been finally resolved.</w:t>
      </w:r>
    </w:p>
    <w:p w14:paraId="6690899F" w14:textId="211B09EB" w:rsidR="00560FBA" w:rsidRPr="002552EA" w:rsidRDefault="00560FBA" w:rsidP="00D85792">
      <w:pPr>
        <w:pStyle w:val="FootnoteText"/>
        <w:rPr>
          <w:rFonts w:cstheme="minorHAnsi"/>
          <w:sz w:val="20"/>
          <w:szCs w:val="20"/>
        </w:rPr>
      </w:pPr>
      <w:r w:rsidRPr="002552EA">
        <w:rPr>
          <w:rFonts w:cstheme="minorHAnsi"/>
          <w:smallCaps/>
          <w:sz w:val="20"/>
          <w:szCs w:val="20"/>
        </w:rPr>
        <w:t>Fed. R. Bankr</w:t>
      </w:r>
      <w:r w:rsidRPr="002552EA">
        <w:rPr>
          <w:rFonts w:cstheme="minorHAnsi"/>
          <w:sz w:val="20"/>
          <w:szCs w:val="20"/>
        </w:rPr>
        <w:t xml:space="preserve">. P. 3022, Advisory Committee Note (1991). Most significantly, the Notes assert that “[e]ntry of a final decree closing a chapter 11 case should not be delayed solely because the payments required by the plan have not been completed.” The United States Trustee Program has stated that it “will not object to an individual chapter 11 debtor’s request to close the case before discharge, subject to reopening for the entry of a discharge upon the completion of plan payments, if the estate has been fully administered and any trustee has been discharged.” Walter W. Theus, Jr., </w:t>
      </w:r>
      <w:r w:rsidRPr="002552EA">
        <w:rPr>
          <w:rFonts w:cstheme="minorHAnsi"/>
          <w:i/>
          <w:sz w:val="20"/>
          <w:szCs w:val="20"/>
        </w:rPr>
        <w:t>Individual Chapter 11s:  Case Closing Reconsidered</w:t>
      </w:r>
      <w:r w:rsidRPr="002552EA">
        <w:rPr>
          <w:rFonts w:cstheme="minorHAnsi"/>
          <w:sz w:val="20"/>
          <w:szCs w:val="20"/>
        </w:rPr>
        <w:t xml:space="preserve">, 29 </w:t>
      </w:r>
      <w:r w:rsidRPr="002552EA">
        <w:rPr>
          <w:rFonts w:cstheme="minorHAnsi"/>
          <w:smallCaps/>
          <w:sz w:val="20"/>
          <w:szCs w:val="20"/>
        </w:rPr>
        <w:t>Am. Bankr. Inst</w:t>
      </w:r>
      <w:r w:rsidRPr="002552EA">
        <w:rPr>
          <w:rFonts w:cstheme="minorHAnsi"/>
          <w:sz w:val="20"/>
          <w:szCs w:val="20"/>
        </w:rPr>
        <w:t>. J., Feb. 2010, at 1. In the absence of a trustee, the question turns on whether the case has been fully administered.</w:t>
      </w:r>
    </w:p>
    <w:p w14:paraId="6D67DFD3" w14:textId="5628955A" w:rsidR="00560FBA" w:rsidRPr="002552EA" w:rsidRDefault="00560FBA" w:rsidP="00D85792">
      <w:pPr>
        <w:pStyle w:val="FootnoteText"/>
        <w:rPr>
          <w:rFonts w:cstheme="minorHAnsi"/>
          <w:sz w:val="20"/>
          <w:szCs w:val="20"/>
        </w:rPr>
      </w:pPr>
      <w:r w:rsidRPr="002552EA">
        <w:rPr>
          <w:rFonts w:cstheme="minorHAnsi"/>
          <w:sz w:val="20"/>
          <w:szCs w:val="20"/>
        </w:rPr>
        <w:tab/>
        <w:t xml:space="preserve">The authorities appear to be divided on the propriety of this strategy, although several clearly endorse this maneuver. </w:t>
      </w:r>
      <w:r w:rsidRPr="002552EA">
        <w:rPr>
          <w:rFonts w:cstheme="minorHAnsi"/>
          <w:i/>
          <w:sz w:val="20"/>
          <w:szCs w:val="20"/>
        </w:rPr>
        <w:t xml:space="preserve">In re </w:t>
      </w:r>
      <w:r w:rsidRPr="002552EA">
        <w:rPr>
          <w:rFonts w:cstheme="minorHAnsi"/>
          <w:sz w:val="20"/>
          <w:szCs w:val="20"/>
        </w:rPr>
        <w:t xml:space="preserve">Necaise, 443 B.R. 483 (Bankr. S.D. Miss. 2010) (applying factors in Advisory Committee Note); </w:t>
      </w:r>
      <w:r w:rsidRPr="002552EA">
        <w:rPr>
          <w:rFonts w:cstheme="minorHAnsi"/>
          <w:i/>
          <w:sz w:val="20"/>
          <w:szCs w:val="20"/>
        </w:rPr>
        <w:t xml:space="preserve">In re </w:t>
      </w:r>
      <w:r w:rsidRPr="002552EA">
        <w:rPr>
          <w:rFonts w:cstheme="minorHAnsi"/>
          <w:sz w:val="20"/>
          <w:szCs w:val="20"/>
        </w:rPr>
        <w:t xml:space="preserve">Johnson, 402 B.R. 851 (Bankr. N.D. Ind. 2009) (granting motion after all issues pertaining to plan had been resolved, and noting that otherwise fees could continue for “potentially unlimited duration” if debtor’s mortgage were paid through the plan); </w:t>
      </w:r>
      <w:r w:rsidRPr="002552EA">
        <w:rPr>
          <w:rFonts w:cstheme="minorHAnsi"/>
          <w:i/>
          <w:sz w:val="20"/>
          <w:szCs w:val="20"/>
        </w:rPr>
        <w:t xml:space="preserve">In re </w:t>
      </w:r>
      <w:r w:rsidRPr="000806ED">
        <w:rPr>
          <w:rFonts w:cstheme="minorHAnsi"/>
          <w:sz w:val="20"/>
          <w:szCs w:val="20"/>
        </w:rPr>
        <w:t>Sheridan</w:t>
      </w:r>
      <w:r w:rsidRPr="002552EA">
        <w:rPr>
          <w:rFonts w:cstheme="minorHAnsi"/>
          <w:sz w:val="20"/>
          <w:szCs w:val="20"/>
        </w:rPr>
        <w:t xml:space="preserve">, 391 B.R. 287, 290 n.2 (Bankr. E.D.N.C. 2009) (noting that most cases in Eastern District of North Carolina are closed upon substantial consummation, to be reopened—without payment of fee—for entry of discharge). Even cases denying the debtor’s motion to close the case, however, are less than categorical. </w:t>
      </w:r>
      <w:r w:rsidRPr="002552EA">
        <w:rPr>
          <w:rFonts w:cstheme="minorHAnsi"/>
          <w:i/>
          <w:sz w:val="20"/>
          <w:szCs w:val="20"/>
        </w:rPr>
        <w:t>See</w:t>
      </w:r>
      <w:r w:rsidRPr="002552EA">
        <w:rPr>
          <w:rFonts w:cstheme="minorHAnsi"/>
          <w:sz w:val="20"/>
          <w:szCs w:val="20"/>
        </w:rPr>
        <w:t xml:space="preserve"> Shotkoski v. Fokkena (</w:t>
      </w:r>
      <w:r w:rsidRPr="002552EA">
        <w:rPr>
          <w:rFonts w:cstheme="minorHAnsi"/>
          <w:i/>
          <w:sz w:val="20"/>
          <w:szCs w:val="20"/>
        </w:rPr>
        <w:t>In re</w:t>
      </w:r>
      <w:r w:rsidRPr="002552EA">
        <w:rPr>
          <w:rFonts w:cstheme="minorHAnsi"/>
          <w:sz w:val="20"/>
          <w:szCs w:val="20"/>
        </w:rPr>
        <w:t xml:space="preserve"> Shotkoski), 420 B.R. 479 (B.A.P. 8th Cir. 2009) (affirming, under abuse of discretion standard, lower court’s refusal to close debtor’s case, and asserting that other cases might come out differently upon case-by-case inquiry); </w:t>
      </w:r>
      <w:r w:rsidRPr="002552EA">
        <w:rPr>
          <w:rFonts w:cstheme="minorHAnsi"/>
          <w:i/>
          <w:sz w:val="20"/>
          <w:szCs w:val="20"/>
        </w:rPr>
        <w:t xml:space="preserve">In re </w:t>
      </w:r>
      <w:r w:rsidRPr="002552EA">
        <w:rPr>
          <w:rFonts w:cstheme="minorHAnsi"/>
          <w:sz w:val="20"/>
          <w:szCs w:val="20"/>
        </w:rPr>
        <w:t>Belcher,</w:t>
      </w:r>
      <w:r w:rsidRPr="002552EA">
        <w:rPr>
          <w:rFonts w:cstheme="minorHAnsi"/>
          <w:i/>
          <w:sz w:val="20"/>
          <w:szCs w:val="20"/>
        </w:rPr>
        <w:t xml:space="preserve"> </w:t>
      </w:r>
      <w:r w:rsidRPr="002552EA">
        <w:rPr>
          <w:rFonts w:cstheme="minorHAnsi"/>
          <w:sz w:val="20"/>
          <w:szCs w:val="20"/>
        </w:rPr>
        <w:t>41 B.R. 206 (Bankr. W.D. Va. 2009) (finding Advisory Committee Notes inapplicable to individual chapter 11 cases, and refusing to grant motion to close case, but observing that debtor could move to modify plan if fee obligation became too burdensome).</w:t>
      </w:r>
    </w:p>
  </w:footnote>
  <w:footnote w:id="195">
    <w:p w14:paraId="05BF24BF" w14:textId="21152BA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Judge Collins of the Bankruptcy District of Arizona first explained this coding system to us, and Nancy Dickerson, Chief Deputy Clerk of the Bankruptcy District of Arizona, confirmed this to be true. </w:t>
      </w:r>
      <w:r w:rsidRPr="002552EA">
        <w:rPr>
          <w:rFonts w:cstheme="minorHAnsi"/>
          <w:i/>
          <w:sz w:val="20"/>
          <w:szCs w:val="20"/>
        </w:rPr>
        <w:t xml:space="preserve">See </w:t>
      </w:r>
      <w:r w:rsidRPr="002552EA">
        <w:rPr>
          <w:rFonts w:cstheme="minorHAnsi"/>
          <w:sz w:val="20"/>
          <w:szCs w:val="20"/>
        </w:rPr>
        <w:t>e-mail exchange among the Honorable Daniel Collins, Nancy B. Dickerson, Margaret Howard and Richard Hynes, Aug. 14, 2014 (on file with authors). To check the plausibility of this assumption, we searched twenty randomly selected individual chapter 11 cases in which the disposition was coded as “discharge not applicable” and found just one with a disposition inconsistent with this explanation. That case was voluntarily dismissed prior to plan approval.</w:t>
      </w:r>
    </w:p>
  </w:footnote>
  <w:footnote w:id="196">
    <w:p w14:paraId="10F160DF" w14:textId="5F7D8610"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While debtors in approximately 70% of chapter 13 cases confirm a plan, the plan “completion rate has been about 36 percent” over the period of time from 2007 to 2013. </w:t>
      </w:r>
      <w:r w:rsidRPr="002552EA">
        <w:rPr>
          <w:rFonts w:cstheme="minorHAnsi"/>
          <w:i/>
          <w:sz w:val="20"/>
          <w:szCs w:val="20"/>
        </w:rPr>
        <w:t xml:space="preserve">See </w:t>
      </w:r>
      <w:r w:rsidRPr="002552EA">
        <w:rPr>
          <w:rFonts w:cstheme="minorHAnsi"/>
          <w:sz w:val="20"/>
          <w:szCs w:val="20"/>
        </w:rPr>
        <w:t xml:space="preserve">Flynn, </w:t>
      </w:r>
      <w:r w:rsidRPr="002552EA">
        <w:rPr>
          <w:rFonts w:cstheme="minorHAnsi"/>
          <w:i/>
          <w:sz w:val="20"/>
          <w:szCs w:val="20"/>
        </w:rPr>
        <w:t xml:space="preserve">supra </w:t>
      </w:r>
      <w:r w:rsidRPr="002552EA">
        <w:rPr>
          <w:rFonts w:cstheme="minorHAnsi"/>
          <w:sz w:val="20"/>
          <w:szCs w:val="20"/>
        </w:rPr>
        <w:t xml:space="preserve">note </w:t>
      </w:r>
      <w:r w:rsidRPr="002552EA">
        <w:rPr>
          <w:rFonts w:cstheme="minorHAnsi"/>
          <w:sz w:val="20"/>
          <w:szCs w:val="20"/>
        </w:rPr>
        <w:fldChar w:fldCharType="begin"/>
      </w:r>
      <w:r w:rsidRPr="002552EA">
        <w:rPr>
          <w:rFonts w:cstheme="minorHAnsi"/>
          <w:sz w:val="20"/>
          <w:szCs w:val="20"/>
        </w:rPr>
        <w:instrText xml:space="preserve"> NOTEREF _Ref333733382 \h </w:instrText>
      </w:r>
      <w:r w:rsidRPr="002552EA">
        <w:rPr>
          <w:rFonts w:cstheme="minorHAnsi"/>
          <w:sz w:val="20"/>
          <w:szCs w:val="20"/>
        </w:rPr>
      </w:r>
      <w:r w:rsidRPr="002552EA">
        <w:rPr>
          <w:rFonts w:cstheme="minorHAnsi"/>
          <w:sz w:val="20"/>
          <w:szCs w:val="20"/>
        </w:rPr>
        <w:fldChar w:fldCharType="separate"/>
      </w:r>
      <w:r>
        <w:rPr>
          <w:rFonts w:cstheme="minorHAnsi"/>
          <w:sz w:val="20"/>
          <w:szCs w:val="20"/>
        </w:rPr>
        <w:t>32</w:t>
      </w:r>
      <w:r w:rsidRPr="002552EA">
        <w:rPr>
          <w:rFonts w:cstheme="minorHAnsi"/>
          <w:sz w:val="20"/>
          <w:szCs w:val="20"/>
        </w:rPr>
        <w:fldChar w:fldCharType="end"/>
      </w:r>
      <w:r w:rsidRPr="002552EA">
        <w:rPr>
          <w:rFonts w:cstheme="minorHAnsi"/>
          <w:sz w:val="20"/>
          <w:szCs w:val="20"/>
        </w:rPr>
        <w:t xml:space="preserve">, at 76. </w:t>
      </w:r>
    </w:p>
  </w:footnote>
  <w:footnote w:id="197">
    <w:p w14:paraId="5E3F3D72" w14:textId="7C8871C0" w:rsidR="00560FBA" w:rsidRPr="002552EA" w:rsidRDefault="00560FB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This measure allowed us to compare cases filed in 2010 with those filed in 2013. It is the elapsed time from December 31, 2013 and when we downloaded our first 2013 case report.</w:t>
      </w:r>
    </w:p>
  </w:footnote>
  <w:footnote w:id="198">
    <w:p w14:paraId="05A8E69C" w14:textId="656744F4"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Differences in success rates may be due to nothing more than chance. A p-value expresses the probability that chance explains the observed result using a chi-squared test. Thus, a p-value of .00 means that the probability that the difference in success rates is the result of chance is less than 1 in 100 using a chi-squared test.</w:t>
      </w:r>
    </w:p>
  </w:footnote>
  <w:footnote w:id="199">
    <w:p w14:paraId="4368DD28" w14:textId="77777777" w:rsidR="00560FBA" w:rsidRPr="002552EA" w:rsidRDefault="00560FBA" w:rsidP="002D1617">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 unemployment rate fell from 9.4% in June of 2010 to 7.5% in June of 2013. http://data.bls.gov/timeseries/LNS14000000.  The S&amp;P/Case-Shiller U.S. National Home Price Index also rose from 147.68 in June of 2010 to 156.49 in June of 2013. http://us.spindices.com/indices/real-estate/sp-case-shiller-us-national-home-price-index</w:t>
      </w:r>
    </w:p>
  </w:footnote>
  <w:footnote w:id="200">
    <w:p w14:paraId="28F91FF3" w14:textId="77777777" w:rsidR="00560FBA" w:rsidRPr="002552EA" w:rsidRDefault="00560FBA" w:rsidP="002D1617">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See supra</w:t>
      </w:r>
      <w:r w:rsidRPr="002552EA">
        <w:rPr>
          <w:rFonts w:cstheme="minorHAnsi"/>
          <w:sz w:val="20"/>
          <w:szCs w:val="20"/>
        </w:rPr>
        <w:t xml:space="preserve"> Table 1.</w:t>
      </w:r>
    </w:p>
  </w:footnote>
  <w:footnote w:id="201">
    <w:p w14:paraId="71011A74" w14:textId="77777777" w:rsidR="00560FBA" w:rsidRPr="002552EA" w:rsidRDefault="00560FBA" w:rsidP="00CE6237">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See, e.g.,</w:t>
      </w:r>
      <w:r w:rsidRPr="002552EA">
        <w:rPr>
          <w:rFonts w:cstheme="minorHAnsi"/>
          <w:sz w:val="20"/>
          <w:szCs w:val="20"/>
        </w:rPr>
        <w:t xml:space="preserve"> Magdalena Szumilas, </w:t>
      </w:r>
      <w:r w:rsidRPr="002552EA">
        <w:rPr>
          <w:rFonts w:cstheme="minorHAnsi"/>
          <w:i/>
          <w:sz w:val="20"/>
          <w:szCs w:val="20"/>
        </w:rPr>
        <w:t>Explaining Odds Ratios</w:t>
      </w:r>
      <w:r w:rsidRPr="002552EA">
        <w:rPr>
          <w:rFonts w:cstheme="minorHAnsi"/>
          <w:sz w:val="20"/>
          <w:szCs w:val="20"/>
        </w:rPr>
        <w:t xml:space="preserve">, 19 </w:t>
      </w:r>
      <w:r w:rsidRPr="002552EA">
        <w:rPr>
          <w:rFonts w:cstheme="minorHAnsi"/>
          <w:smallCaps/>
          <w:sz w:val="20"/>
          <w:szCs w:val="20"/>
        </w:rPr>
        <w:t>J. Can. Acad. Child. Adolesc. Psychiatry</w:t>
      </w:r>
      <w:r w:rsidRPr="002552EA">
        <w:rPr>
          <w:rFonts w:cstheme="minorHAnsi"/>
          <w:sz w:val="20"/>
          <w:szCs w:val="20"/>
        </w:rPr>
        <w:t xml:space="preserve"> 227 (2010).</w:t>
      </w:r>
    </w:p>
  </w:footnote>
  <w:footnote w:id="202">
    <w:p w14:paraId="13607535" w14:textId="77777777" w:rsidR="00560FBA" w:rsidRPr="002552EA" w:rsidRDefault="00560FBA" w:rsidP="00CE6237">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 PACER case reports left this field blank for eleven individual Chapter 11 cases.  Three of these eleven (27.27%) could be considered successful.</w:t>
      </w:r>
    </w:p>
  </w:footnote>
  <w:footnote w:id="203">
    <w:p w14:paraId="767D2B92" w14:textId="60E54DBE" w:rsidR="00560FBA" w:rsidRPr="002552EA" w:rsidRDefault="00560FBA" w:rsidP="00CE6237">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See</w:t>
      </w:r>
      <w:r w:rsidRPr="002552EA">
        <w:rPr>
          <w:rFonts w:cstheme="minorHAnsi"/>
          <w:sz w:val="20"/>
          <w:szCs w:val="20"/>
        </w:rPr>
        <w:t xml:space="preserve"> Section IV.B.2, </w:t>
      </w:r>
      <w:r w:rsidRPr="002552EA">
        <w:rPr>
          <w:rFonts w:cstheme="minorHAnsi"/>
          <w:i/>
          <w:sz w:val="20"/>
          <w:szCs w:val="20"/>
        </w:rPr>
        <w:t>infra</w:t>
      </w:r>
      <w:r w:rsidRPr="002552EA">
        <w:rPr>
          <w:rFonts w:cstheme="minorHAnsi"/>
          <w:sz w:val="20"/>
          <w:szCs w:val="20"/>
        </w:rPr>
        <w:t xml:space="preserve">. We suspect that this difference is due in part to some coding errors in the PACER reports.  </w:t>
      </w:r>
      <w:r w:rsidRPr="002552EA">
        <w:rPr>
          <w:rFonts w:cstheme="minorHAnsi"/>
          <w:i/>
          <w:sz w:val="20"/>
          <w:szCs w:val="20"/>
        </w:rPr>
        <w:t>See</w:t>
      </w:r>
      <w:r w:rsidRPr="002552EA">
        <w:rPr>
          <w:rFonts w:cstheme="minorHAnsi"/>
          <w:sz w:val="20"/>
          <w:szCs w:val="20"/>
        </w:rPr>
        <w:t xml:space="preserve"> </w:t>
      </w:r>
      <w:r w:rsidRPr="00C309F1">
        <w:rPr>
          <w:rFonts w:cstheme="minorHAnsi"/>
          <w:i/>
          <w:sz w:val="20"/>
          <w:szCs w:val="20"/>
        </w:rPr>
        <w:t>infra</w:t>
      </w:r>
      <w:r w:rsidRPr="002552EA">
        <w:rPr>
          <w:rFonts w:cstheme="minorHAnsi"/>
          <w:sz w:val="20"/>
          <w:szCs w:val="20"/>
        </w:rPr>
        <w:t xml:space="preserve"> Tables 39-41, and accompanying text.</w:t>
      </w:r>
    </w:p>
  </w:footnote>
  <w:footnote w:id="204">
    <w:p w14:paraId="3AFD7E85" w14:textId="46CED638" w:rsidR="00560FBA" w:rsidRPr="002552EA" w:rsidRDefault="00560FBA" w:rsidP="00CE6237">
      <w:pPr>
        <w:rPr>
          <w:rFonts w:ascii="Times New Roman" w:hAnsi="Times New Roman" w:cs="Times New Roman"/>
          <w:color w:val="000000"/>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ascii="Times New Roman" w:hAnsi="Times New Roman" w:cs="Times New Roman"/>
          <w:i/>
          <w:sz w:val="20"/>
          <w:szCs w:val="20"/>
        </w:rPr>
        <w:t>See</w:t>
      </w:r>
      <w:r w:rsidRPr="002552EA">
        <w:rPr>
          <w:rFonts w:ascii="Times New Roman" w:hAnsi="Times New Roman" w:cs="Times New Roman"/>
          <w:sz w:val="20"/>
          <w:szCs w:val="20"/>
        </w:rPr>
        <w:t xml:space="preserve"> </w:t>
      </w:r>
      <w:r w:rsidRPr="002552EA">
        <w:rPr>
          <w:rFonts w:cstheme="minorHAnsi"/>
          <w:sz w:val="20"/>
          <w:szCs w:val="20"/>
        </w:rPr>
        <w:t>1997 Commission Report</w:t>
      </w:r>
      <w:r w:rsidRPr="002552EA">
        <w:rPr>
          <w:rFonts w:ascii="Times New Roman" w:hAnsi="Times New Roman" w:cs="Times New Roman"/>
          <w:sz w:val="20"/>
          <w:szCs w:val="20"/>
        </w:rPr>
        <w:t xml:space="preserve">, </w:t>
      </w:r>
      <w:r w:rsidRPr="002552EA">
        <w:rPr>
          <w:rFonts w:ascii="Times New Roman" w:hAnsi="Times New Roman" w:cs="Times New Roman"/>
          <w:i/>
          <w:sz w:val="20"/>
          <w:szCs w:val="20"/>
        </w:rPr>
        <w:t xml:space="preserve">supra </w:t>
      </w:r>
      <w:r w:rsidRPr="002552EA">
        <w:rPr>
          <w:rFonts w:ascii="Times New Roman" w:hAnsi="Times New Roman" w:cs="Times New Roman"/>
          <w:sz w:val="20"/>
          <w:szCs w:val="20"/>
        </w:rPr>
        <w:t xml:space="preserve">note </w:t>
      </w:r>
      <w:r w:rsidRPr="00563914">
        <w:rPr>
          <w:rFonts w:ascii="Times New Roman" w:hAnsi="Times New Roman" w:cs="Times New Roman"/>
          <w:sz w:val="20"/>
          <w:szCs w:val="20"/>
        </w:rPr>
        <w:fldChar w:fldCharType="begin"/>
      </w:r>
      <w:r w:rsidRPr="002552EA">
        <w:rPr>
          <w:rFonts w:ascii="Times New Roman" w:hAnsi="Times New Roman" w:cs="Times New Roman"/>
          <w:sz w:val="20"/>
          <w:szCs w:val="20"/>
        </w:rPr>
        <w:instrText xml:space="preserve"> NOTEREF _Ref333753489 \h </w:instrText>
      </w:r>
      <w:r w:rsidRPr="00563914">
        <w:rPr>
          <w:rFonts w:ascii="Times New Roman" w:hAnsi="Times New Roman" w:cs="Times New Roman"/>
          <w:sz w:val="20"/>
          <w:szCs w:val="20"/>
        </w:rPr>
      </w:r>
      <w:r w:rsidRPr="00563914">
        <w:rPr>
          <w:rFonts w:ascii="Times New Roman" w:hAnsi="Times New Roman" w:cs="Times New Roman"/>
          <w:sz w:val="20"/>
          <w:szCs w:val="20"/>
        </w:rPr>
        <w:fldChar w:fldCharType="separate"/>
      </w:r>
      <w:r>
        <w:rPr>
          <w:rFonts w:ascii="Times New Roman" w:hAnsi="Times New Roman" w:cs="Times New Roman"/>
          <w:sz w:val="20"/>
          <w:szCs w:val="20"/>
        </w:rPr>
        <w:t>184</w:t>
      </w:r>
      <w:r w:rsidRPr="00563914">
        <w:rPr>
          <w:rFonts w:ascii="Times New Roman" w:hAnsi="Times New Roman" w:cs="Times New Roman"/>
          <w:sz w:val="20"/>
          <w:szCs w:val="20"/>
        </w:rPr>
        <w:fldChar w:fldCharType="end"/>
      </w:r>
      <w:r w:rsidRPr="002552EA">
        <w:rPr>
          <w:rFonts w:ascii="Times New Roman" w:hAnsi="Times New Roman" w:cs="Times New Roman"/>
          <w:sz w:val="20"/>
          <w:szCs w:val="20"/>
        </w:rPr>
        <w:t>, at 235 (“Some courts confirm plans paying zero percent to unsecured creditors. Other courts condition confirmation on payment of high percentages of unsecured debt.”). </w:t>
      </w:r>
    </w:p>
  </w:footnote>
  <w:footnote w:id="205">
    <w:p w14:paraId="29EB7F2C" w14:textId="77777777" w:rsidR="00560FBA" w:rsidRPr="002552EA" w:rsidRDefault="00560FBA" w:rsidP="00CE6237">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1126(g) (2012).</w:t>
      </w:r>
    </w:p>
  </w:footnote>
  <w:footnote w:id="206">
    <w:p w14:paraId="4A7A8011" w14:textId="77777777" w:rsidR="00560FBA" w:rsidRPr="002552EA" w:rsidRDefault="00560FBA" w:rsidP="00CE6237">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Id.</w:t>
      </w:r>
      <w:r w:rsidRPr="002552EA">
        <w:rPr>
          <w:rFonts w:cstheme="minorHAnsi"/>
          <w:sz w:val="20"/>
          <w:szCs w:val="20"/>
        </w:rPr>
        <w:t xml:space="preserve"> § 1129(b).</w:t>
      </w:r>
    </w:p>
  </w:footnote>
  <w:footnote w:id="207">
    <w:p w14:paraId="5FFA1F8E" w14:textId="4B326353" w:rsidR="00560FBA" w:rsidRPr="00C309F1" w:rsidRDefault="00560FBA">
      <w:pPr>
        <w:pStyle w:val="FootnoteText"/>
        <w:rPr>
          <w:sz w:val="20"/>
          <w:szCs w:val="20"/>
        </w:rPr>
      </w:pPr>
      <w:r w:rsidRPr="00C309F1">
        <w:rPr>
          <w:rStyle w:val="FootnoteReference"/>
          <w:sz w:val="20"/>
          <w:szCs w:val="20"/>
        </w:rPr>
        <w:footnoteRef/>
      </w:r>
      <w:r w:rsidRPr="00C309F1">
        <w:rPr>
          <w:sz w:val="20"/>
          <w:szCs w:val="20"/>
        </w:rPr>
        <w:t xml:space="preserve"> </w:t>
      </w:r>
      <w:r w:rsidRPr="00C309F1">
        <w:rPr>
          <w:i/>
          <w:sz w:val="20"/>
          <w:szCs w:val="20"/>
        </w:rPr>
        <w:t xml:space="preserve">See supra </w:t>
      </w:r>
      <w:r w:rsidRPr="00C309F1">
        <w:rPr>
          <w:sz w:val="20"/>
          <w:szCs w:val="20"/>
        </w:rPr>
        <w:t xml:space="preserve">note </w:t>
      </w:r>
      <w:r w:rsidRPr="00C309F1">
        <w:rPr>
          <w:sz w:val="20"/>
          <w:szCs w:val="20"/>
        </w:rPr>
        <w:fldChar w:fldCharType="begin"/>
      </w:r>
      <w:r w:rsidRPr="00C309F1">
        <w:rPr>
          <w:sz w:val="20"/>
          <w:szCs w:val="20"/>
        </w:rPr>
        <w:instrText xml:space="preserve"> NOTEREF _Ref333766993 \h </w:instrText>
      </w:r>
      <w:r w:rsidRPr="00C309F1">
        <w:rPr>
          <w:sz w:val="20"/>
          <w:szCs w:val="20"/>
        </w:rPr>
      </w:r>
      <w:r w:rsidRPr="00C309F1">
        <w:rPr>
          <w:sz w:val="20"/>
          <w:szCs w:val="20"/>
        </w:rPr>
        <w:fldChar w:fldCharType="separate"/>
      </w:r>
      <w:r>
        <w:rPr>
          <w:sz w:val="20"/>
          <w:szCs w:val="20"/>
        </w:rPr>
        <w:t>149</w:t>
      </w:r>
      <w:r w:rsidRPr="00C309F1">
        <w:rPr>
          <w:sz w:val="20"/>
          <w:szCs w:val="20"/>
        </w:rPr>
        <w:fldChar w:fldCharType="end"/>
      </w:r>
      <w:r w:rsidRPr="00C309F1">
        <w:rPr>
          <w:sz w:val="20"/>
          <w:szCs w:val="20"/>
        </w:rPr>
        <w:t>.</w:t>
      </w:r>
    </w:p>
  </w:footnote>
  <w:footnote w:id="208">
    <w:p w14:paraId="590960F5" w14:textId="2E77E36C"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302(a) (2012).</w:t>
      </w:r>
    </w:p>
  </w:footnote>
  <w:footnote w:id="209">
    <w:p w14:paraId="57D985D2" w14:textId="69BBC5CC"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supra </w:t>
      </w:r>
      <w:r w:rsidRPr="002552EA">
        <w:rPr>
          <w:rFonts w:cstheme="minorHAnsi"/>
          <w:sz w:val="20"/>
          <w:szCs w:val="20"/>
        </w:rPr>
        <w:t xml:space="preserve">note </w:t>
      </w:r>
      <w:r w:rsidRPr="00563914">
        <w:rPr>
          <w:rFonts w:cstheme="minorHAnsi"/>
          <w:sz w:val="20"/>
          <w:szCs w:val="20"/>
        </w:rPr>
        <w:fldChar w:fldCharType="begin"/>
      </w:r>
      <w:r w:rsidRPr="002552EA">
        <w:rPr>
          <w:rFonts w:cstheme="minorHAnsi"/>
          <w:sz w:val="20"/>
          <w:szCs w:val="20"/>
        </w:rPr>
        <w:instrText xml:space="preserve"> NOTEREF _Ref333765111 \h </w:instrText>
      </w:r>
      <w:r w:rsidRPr="00563914">
        <w:rPr>
          <w:rFonts w:cstheme="minorHAnsi"/>
          <w:sz w:val="20"/>
          <w:szCs w:val="20"/>
        </w:rPr>
      </w:r>
      <w:r w:rsidRPr="00563914">
        <w:rPr>
          <w:rFonts w:cstheme="minorHAnsi"/>
          <w:sz w:val="20"/>
          <w:szCs w:val="20"/>
        </w:rPr>
        <w:fldChar w:fldCharType="separate"/>
      </w:r>
      <w:r>
        <w:rPr>
          <w:rFonts w:cstheme="minorHAnsi"/>
          <w:sz w:val="20"/>
          <w:szCs w:val="20"/>
        </w:rPr>
        <w:t>109</w:t>
      </w:r>
      <w:r w:rsidRPr="00563914">
        <w:rPr>
          <w:rFonts w:cstheme="minorHAnsi"/>
          <w:sz w:val="20"/>
          <w:szCs w:val="20"/>
        </w:rPr>
        <w:fldChar w:fldCharType="end"/>
      </w:r>
      <w:r w:rsidRPr="002552EA">
        <w:rPr>
          <w:rFonts w:cstheme="minorHAnsi"/>
          <w:sz w:val="20"/>
          <w:szCs w:val="20"/>
        </w:rPr>
        <w:t xml:space="preserve"> and accompanying text.</w:t>
      </w:r>
    </w:p>
  </w:footnote>
  <w:footnote w:id="210">
    <w:p w14:paraId="2B14E898" w14:textId="48879754"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 measure we use here was not manually cleaned by our research assistants and so does not precisely match the results in Table 8.</w:t>
      </w:r>
    </w:p>
  </w:footnote>
  <w:footnote w:id="211">
    <w:p w14:paraId="4026C314" w14:textId="77777777" w:rsidR="00560FBA" w:rsidRPr="002552EA" w:rsidRDefault="00560FBA" w:rsidP="00DC4216">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1129(b)(2)(B)(2)(ii) (2012).</w:t>
      </w:r>
    </w:p>
  </w:footnote>
  <w:footnote w:id="212">
    <w:p w14:paraId="2A16B820" w14:textId="01FA8E35" w:rsidR="00560FBA" w:rsidRPr="002552EA" w:rsidRDefault="00560FBA" w:rsidP="00DC4216">
      <w:pPr>
        <w:pStyle w:val="FootnoteText"/>
        <w:rPr>
          <w:rFonts w:cstheme="minorHAnsi"/>
          <w:sz w:val="20"/>
          <w:szCs w:val="20"/>
        </w:rPr>
      </w:pPr>
      <w:r w:rsidRPr="002552EA">
        <w:rPr>
          <w:rStyle w:val="FootnoteReference"/>
          <w:rFonts w:cstheme="minorHAnsi"/>
          <w:sz w:val="20"/>
          <w:szCs w:val="20"/>
        </w:rPr>
        <w:footnoteRef/>
      </w:r>
      <w:r w:rsidRPr="00DC4216">
        <w:rPr>
          <w:rFonts w:cstheme="minorHAnsi"/>
          <w:i/>
          <w:sz w:val="20"/>
          <w:szCs w:val="20"/>
        </w:rPr>
        <w:t>Id</w:t>
      </w:r>
      <w:r>
        <w:rPr>
          <w:rFonts w:cstheme="minorHAnsi"/>
          <w:sz w:val="20"/>
          <w:szCs w:val="20"/>
        </w:rPr>
        <w:t xml:space="preserve">. at </w:t>
      </w:r>
      <w:r w:rsidRPr="002552EA">
        <w:rPr>
          <w:rFonts w:cstheme="minorHAnsi"/>
          <w:sz w:val="20"/>
          <w:szCs w:val="20"/>
        </w:rPr>
        <w:t xml:space="preserve">§ 1129(b)(2)(B)(2)(ii). One of the statutory puzzles is whether the drafters meant to cross-reference § 1129(a)(15) rather than subsection (a)(14). The latter mandates payment of postpetition domestic support obligations, as a prerequisite for plan confirmation. Subsection (a)(15), on the other hand, is the disposable income test, discussed below. </w:t>
      </w:r>
      <w:r w:rsidRPr="002552EA">
        <w:rPr>
          <w:rFonts w:cstheme="minorHAnsi"/>
          <w:i/>
          <w:sz w:val="20"/>
          <w:szCs w:val="20"/>
        </w:rPr>
        <w:t xml:space="preserve">See infra </w:t>
      </w:r>
      <w:r w:rsidRPr="002552EA">
        <w:rPr>
          <w:rFonts w:cstheme="minorHAnsi"/>
          <w:sz w:val="20"/>
          <w:szCs w:val="20"/>
        </w:rPr>
        <w:t xml:space="preserve">notes </w:t>
      </w:r>
      <w:r w:rsidRPr="00563914">
        <w:rPr>
          <w:rFonts w:cstheme="minorHAnsi"/>
          <w:sz w:val="20"/>
          <w:szCs w:val="20"/>
        </w:rPr>
        <w:fldChar w:fldCharType="begin"/>
      </w:r>
      <w:r w:rsidRPr="002552EA">
        <w:rPr>
          <w:rFonts w:cstheme="minorHAnsi"/>
          <w:sz w:val="20"/>
          <w:szCs w:val="20"/>
        </w:rPr>
        <w:instrText xml:space="preserve"> NOTEREF _Ref333767898 \h </w:instrText>
      </w:r>
      <w:r w:rsidRPr="00563914">
        <w:rPr>
          <w:rFonts w:cstheme="minorHAnsi"/>
          <w:sz w:val="20"/>
          <w:szCs w:val="20"/>
        </w:rPr>
      </w:r>
      <w:r w:rsidRPr="00563914">
        <w:rPr>
          <w:rFonts w:cstheme="minorHAnsi"/>
          <w:sz w:val="20"/>
          <w:szCs w:val="20"/>
        </w:rPr>
        <w:fldChar w:fldCharType="separate"/>
      </w:r>
      <w:r>
        <w:rPr>
          <w:rFonts w:cstheme="minorHAnsi"/>
          <w:sz w:val="20"/>
          <w:szCs w:val="20"/>
        </w:rPr>
        <w:t>249</w:t>
      </w:r>
      <w:r w:rsidRPr="00563914">
        <w:rPr>
          <w:rFonts w:cstheme="minorHAnsi"/>
          <w:sz w:val="20"/>
          <w:szCs w:val="20"/>
        </w:rPr>
        <w:fldChar w:fldCharType="end"/>
      </w:r>
      <w:r w:rsidRPr="002552EA">
        <w:rPr>
          <w:rFonts w:cstheme="minorHAnsi"/>
          <w:sz w:val="20"/>
          <w:szCs w:val="20"/>
        </w:rPr>
        <w:t>-</w:t>
      </w:r>
      <w:r w:rsidRPr="00563914">
        <w:rPr>
          <w:rFonts w:cstheme="minorHAnsi"/>
          <w:sz w:val="20"/>
          <w:szCs w:val="20"/>
        </w:rPr>
        <w:fldChar w:fldCharType="begin"/>
      </w:r>
      <w:r w:rsidRPr="002552EA">
        <w:rPr>
          <w:rFonts w:cstheme="minorHAnsi"/>
          <w:sz w:val="20"/>
          <w:szCs w:val="20"/>
        </w:rPr>
        <w:instrText xml:space="preserve"> NOTEREF _Ref332100934 \h </w:instrText>
      </w:r>
      <w:r w:rsidRPr="00563914">
        <w:rPr>
          <w:rFonts w:cstheme="minorHAnsi"/>
          <w:sz w:val="20"/>
          <w:szCs w:val="20"/>
        </w:rPr>
      </w:r>
      <w:r w:rsidRPr="00563914">
        <w:rPr>
          <w:rFonts w:cstheme="minorHAnsi"/>
          <w:sz w:val="20"/>
          <w:szCs w:val="20"/>
        </w:rPr>
        <w:fldChar w:fldCharType="separate"/>
      </w:r>
      <w:r>
        <w:rPr>
          <w:rFonts w:cstheme="minorHAnsi"/>
          <w:sz w:val="20"/>
          <w:szCs w:val="20"/>
        </w:rPr>
        <w:t>250</w:t>
      </w:r>
      <w:r w:rsidRPr="00563914">
        <w:rPr>
          <w:rFonts w:cstheme="minorHAnsi"/>
          <w:sz w:val="20"/>
          <w:szCs w:val="20"/>
        </w:rPr>
        <w:fldChar w:fldCharType="end"/>
      </w:r>
      <w:r w:rsidRPr="002552EA">
        <w:rPr>
          <w:rFonts w:cstheme="minorHAnsi"/>
          <w:sz w:val="20"/>
          <w:szCs w:val="20"/>
        </w:rPr>
        <w:t xml:space="preserve"> and accompanying text.</w:t>
      </w:r>
    </w:p>
  </w:footnote>
  <w:footnote w:id="213">
    <w:p w14:paraId="44A25FA5" w14:textId="3E3C04C9" w:rsidR="00560FBA" w:rsidRPr="002552EA" w:rsidRDefault="00560FBA" w:rsidP="00DC4216">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§1115 (2015).</w:t>
      </w:r>
    </w:p>
  </w:footnote>
  <w:footnote w:id="214">
    <w:p w14:paraId="1B313AC8" w14:textId="10BA6B68" w:rsidR="00560FBA" w:rsidRPr="002552EA" w:rsidRDefault="00560FBA" w:rsidP="00DC4216">
      <w:pPr>
        <w:pStyle w:val="FootnoteText"/>
        <w:rPr>
          <w:rFonts w:cstheme="minorHAnsi"/>
          <w: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infra </w:t>
      </w:r>
      <w:r w:rsidRPr="002552EA">
        <w:rPr>
          <w:rFonts w:cstheme="minorHAnsi"/>
          <w:sz w:val="20"/>
          <w:szCs w:val="20"/>
        </w:rPr>
        <w:t xml:space="preserve">Appendix C for a list of jurisdictions that have adopted either the narrow or broad interpretation of the exception to the absolute priority rule. </w:t>
      </w:r>
    </w:p>
  </w:footnote>
  <w:footnote w:id="215">
    <w:p w14:paraId="4AA8B896" w14:textId="57E458C0" w:rsidR="00560FBA" w:rsidRPr="002552EA" w:rsidRDefault="00560FBA" w:rsidP="00DC4216">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See infra</w:t>
      </w:r>
      <w:r w:rsidRPr="002552EA">
        <w:rPr>
          <w:rFonts w:cstheme="minorHAnsi"/>
          <w:sz w:val="20"/>
          <w:szCs w:val="20"/>
        </w:rPr>
        <w:t xml:space="preserve"> Table 55, and accompanying text.</w:t>
      </w:r>
    </w:p>
  </w:footnote>
  <w:footnote w:id="216">
    <w:p w14:paraId="45BE3998" w14:textId="18D600B2" w:rsidR="00560FBA" w:rsidRPr="002552EA" w:rsidRDefault="00560FBA" w:rsidP="00DC4216">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If a predictive model leaves out one or more relevant variables, then bias results. The model makes up for the omission by either overestimating or underestimating the impact of the other variables in the model.  </w:t>
      </w:r>
    </w:p>
  </w:footnote>
  <w:footnote w:id="217">
    <w:p w14:paraId="2DB453A9" w14:textId="4459B9A0"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We present linear probability models because they are much easier to interpret. The results of logit specifications are not materially different. </w:t>
      </w:r>
    </w:p>
  </w:footnote>
  <w:footnote w:id="218">
    <w:p w14:paraId="79FA5342" w14:textId="220E7D10"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 coefficient on </w:t>
      </w:r>
      <w:r>
        <w:rPr>
          <w:rFonts w:cstheme="minorHAnsi"/>
          <w:sz w:val="20"/>
          <w:szCs w:val="20"/>
        </w:rPr>
        <w:t>“</w:t>
      </w:r>
      <w:r w:rsidRPr="002552EA">
        <w:rPr>
          <w:rFonts w:cstheme="minorHAnsi"/>
          <w:sz w:val="20"/>
          <w:szCs w:val="20"/>
        </w:rPr>
        <w:t>broad</w:t>
      </w:r>
      <w:r>
        <w:rPr>
          <w:rFonts w:cstheme="minorHAnsi"/>
          <w:sz w:val="20"/>
          <w:szCs w:val="20"/>
        </w:rPr>
        <w:t>”</w:t>
      </w:r>
      <w:r w:rsidRPr="002552EA">
        <w:rPr>
          <w:rFonts w:cstheme="minorHAnsi"/>
          <w:sz w:val="20"/>
          <w:szCs w:val="20"/>
        </w:rPr>
        <w:t xml:space="preserve"> is similar if one uses these same legal measures on the full data set with </w:t>
      </w:r>
      <w:r w:rsidRPr="002552EA">
        <w:rPr>
          <w:rFonts w:cstheme="minorHAnsi"/>
          <w:i/>
          <w:sz w:val="20"/>
          <w:szCs w:val="20"/>
        </w:rPr>
        <w:t xml:space="preserve">survive545 </w:t>
      </w:r>
      <w:r w:rsidRPr="002552EA">
        <w:rPr>
          <w:rFonts w:cstheme="minorHAnsi"/>
          <w:sz w:val="20"/>
          <w:szCs w:val="20"/>
        </w:rPr>
        <w:t xml:space="preserve">as the dependent variable, but the coefficient on </w:t>
      </w:r>
      <w:r>
        <w:rPr>
          <w:rFonts w:cstheme="minorHAnsi"/>
          <w:sz w:val="20"/>
          <w:szCs w:val="20"/>
        </w:rPr>
        <w:t>“</w:t>
      </w:r>
      <w:r w:rsidRPr="002552EA">
        <w:rPr>
          <w:rFonts w:cstheme="minorHAnsi"/>
          <w:sz w:val="20"/>
          <w:szCs w:val="20"/>
        </w:rPr>
        <w:t>narrow</w:t>
      </w:r>
      <w:r>
        <w:rPr>
          <w:rFonts w:cstheme="minorHAnsi"/>
          <w:sz w:val="20"/>
          <w:szCs w:val="20"/>
        </w:rPr>
        <w:t>”</w:t>
      </w:r>
      <w:r w:rsidRPr="002552EA">
        <w:rPr>
          <w:rFonts w:cstheme="minorHAnsi"/>
          <w:sz w:val="20"/>
          <w:szCs w:val="20"/>
        </w:rPr>
        <w:t xml:space="preserve"> is no longer statistically significant.</w:t>
      </w:r>
    </w:p>
  </w:footnote>
  <w:footnote w:id="219">
    <w:p w14:paraId="1358F527"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 xml:space="preserve">F 2081-1.PLAN </w:t>
      </w:r>
      <w:r w:rsidRPr="002552EA">
        <w:rPr>
          <w:rFonts w:cstheme="minorHAnsi"/>
          <w:i/>
          <w:sz w:val="20"/>
          <w:szCs w:val="20"/>
        </w:rPr>
        <w:t xml:space="preserve">available at </w:t>
      </w:r>
      <w:hyperlink r:id="rId6" w:history="1">
        <w:r w:rsidRPr="009C5468">
          <w:rPr>
            <w:rStyle w:val="Hyperlink"/>
            <w:rFonts w:cstheme="minorHAnsi"/>
            <w:sz w:val="20"/>
            <w:szCs w:val="20"/>
          </w:rPr>
          <w:t>http://www.cacb.uscourts.gov/forms/individual-debtors-chapter-11-plan-reorganization</w:t>
        </w:r>
      </w:hyperlink>
      <w:r w:rsidRPr="009C5468">
        <w:rPr>
          <w:rFonts w:cstheme="minorHAnsi"/>
          <w:sz w:val="20"/>
          <w:szCs w:val="20"/>
        </w:rPr>
        <w:t xml:space="preserve"> </w:t>
      </w:r>
    </w:p>
  </w:footnote>
  <w:footnote w:id="220">
    <w:p w14:paraId="56C19B7A"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In re </w:t>
      </w:r>
      <w:r w:rsidRPr="005E055B">
        <w:rPr>
          <w:rFonts w:cstheme="minorHAnsi"/>
          <w:sz w:val="20"/>
          <w:szCs w:val="20"/>
        </w:rPr>
        <w:t>Friedman</w:t>
      </w:r>
      <w:r w:rsidRPr="002552EA">
        <w:rPr>
          <w:rFonts w:cstheme="minorHAnsi"/>
          <w:i/>
          <w:sz w:val="20"/>
          <w:szCs w:val="20"/>
        </w:rPr>
        <w:t xml:space="preserve">, </w:t>
      </w:r>
      <w:r w:rsidRPr="002552EA">
        <w:rPr>
          <w:rFonts w:cstheme="minorHAnsi"/>
          <w:sz w:val="20"/>
          <w:szCs w:val="20"/>
        </w:rPr>
        <w:t>466 B.R. 471 (B.A.P. 9</w:t>
      </w:r>
      <w:r w:rsidRPr="005E055B">
        <w:rPr>
          <w:rFonts w:cstheme="minorHAnsi"/>
          <w:sz w:val="20"/>
          <w:szCs w:val="20"/>
        </w:rPr>
        <w:t>th</w:t>
      </w:r>
      <w:r w:rsidRPr="002552EA">
        <w:rPr>
          <w:rFonts w:cstheme="minorHAnsi"/>
          <w:sz w:val="20"/>
          <w:szCs w:val="20"/>
        </w:rPr>
        <w:t xml:space="preserve"> Cir. 2012). </w:t>
      </w:r>
    </w:p>
  </w:footnote>
  <w:footnote w:id="221">
    <w:p w14:paraId="00A260C7" w14:textId="7472744A" w:rsidR="00560FBA" w:rsidRPr="002552EA" w:rsidRDefault="00560FBA" w:rsidP="00AD05A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 standard errors in </w:t>
      </w:r>
      <w:r>
        <w:rPr>
          <w:rFonts w:cstheme="minorHAnsi"/>
          <w:sz w:val="20"/>
          <w:szCs w:val="20"/>
        </w:rPr>
        <w:t>C</w:t>
      </w:r>
      <w:r w:rsidRPr="002552EA">
        <w:rPr>
          <w:rFonts w:cstheme="minorHAnsi"/>
          <w:sz w:val="20"/>
          <w:szCs w:val="20"/>
        </w:rPr>
        <w:t>olumns (C) through (F) are clustered at the district level.</w:t>
      </w:r>
    </w:p>
  </w:footnote>
  <w:footnote w:id="222">
    <w:p w14:paraId="706756EE" w14:textId="77777777" w:rsidR="00560FBA" w:rsidRPr="002552EA" w:rsidRDefault="00560FBA" w:rsidP="00AD05A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supra </w:t>
      </w:r>
      <w:r w:rsidRPr="002552EA">
        <w:rPr>
          <w:rFonts w:cstheme="minorHAnsi"/>
          <w:sz w:val="20"/>
          <w:szCs w:val="20"/>
        </w:rPr>
        <w:t xml:space="preserve">Table 41. </w:t>
      </w:r>
    </w:p>
  </w:footnote>
  <w:footnote w:id="223">
    <w:p w14:paraId="4F278C64" w14:textId="493E285D" w:rsidR="00560FBA" w:rsidRPr="002552EA" w:rsidRDefault="00560FBA" w:rsidP="0077281D">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466 B.R. 471 (B.A.P. 9th Cir. 2012).  The Ninth Circuit overruled </w:t>
      </w:r>
      <w:r w:rsidRPr="002552EA">
        <w:rPr>
          <w:rFonts w:cstheme="minorHAnsi"/>
          <w:i/>
          <w:sz w:val="20"/>
          <w:szCs w:val="20"/>
        </w:rPr>
        <w:t>Friedman</w:t>
      </w:r>
      <w:r w:rsidRPr="002552EA">
        <w:rPr>
          <w:rFonts w:cstheme="minorHAnsi"/>
          <w:sz w:val="20"/>
          <w:szCs w:val="20"/>
        </w:rPr>
        <w:t xml:space="preserve"> in </w:t>
      </w:r>
      <w:r w:rsidRPr="002552EA">
        <w:rPr>
          <w:rFonts w:cstheme="minorHAnsi"/>
          <w:i/>
          <w:sz w:val="20"/>
          <w:szCs w:val="20"/>
        </w:rPr>
        <w:t xml:space="preserve">Zachary v. California Bank &amp; Trust, </w:t>
      </w:r>
      <w:r w:rsidRPr="002552EA">
        <w:rPr>
          <w:rFonts w:cstheme="minorHAnsi"/>
          <w:sz w:val="20"/>
          <w:szCs w:val="20"/>
        </w:rPr>
        <w:t>811 F.3d 1191 (9th Cir. 2016).</w:t>
      </w:r>
    </w:p>
  </w:footnote>
  <w:footnote w:id="224">
    <w:p w14:paraId="53751777" w14:textId="619ED166"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We tested this proposition using quarterly non-business bankruptcy filings between 2006 and the first quarter of 2016</w:t>
      </w:r>
      <w:r>
        <w:rPr>
          <w:rFonts w:cstheme="minorHAnsi"/>
          <w:sz w:val="20"/>
          <w:szCs w:val="20"/>
        </w:rPr>
        <w:t>,</w:t>
      </w:r>
      <w:r w:rsidRPr="002552EA">
        <w:rPr>
          <w:rFonts w:cstheme="minorHAnsi"/>
          <w:sz w:val="20"/>
          <w:szCs w:val="20"/>
        </w:rPr>
        <w:t xml:space="preserve"> and found some evidence that the court’s interpretation of the APR affected the debtors’ choice of chapter.  </w:t>
      </w:r>
    </w:p>
  </w:footnote>
  <w:footnote w:id="225">
    <w:p w14:paraId="4E12154F" w14:textId="115E7F7C"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Compare </w:t>
      </w:r>
      <w:r w:rsidRPr="002552EA">
        <w:rPr>
          <w:rFonts w:cstheme="minorHAnsi"/>
          <w:sz w:val="20"/>
          <w:szCs w:val="20"/>
        </w:rPr>
        <w:t xml:space="preserve">“Total Number of Cases” for Table 39 </w:t>
      </w:r>
      <w:r w:rsidRPr="002552EA">
        <w:rPr>
          <w:rFonts w:cstheme="minorHAnsi"/>
          <w:i/>
          <w:sz w:val="20"/>
          <w:szCs w:val="20"/>
        </w:rPr>
        <w:t xml:space="preserve">with </w:t>
      </w:r>
      <w:r w:rsidRPr="002552EA">
        <w:rPr>
          <w:rFonts w:cstheme="minorHAnsi"/>
          <w:sz w:val="20"/>
          <w:szCs w:val="20"/>
        </w:rPr>
        <w:t xml:space="preserve">“Total Number of Cases” for Table 40 (showing that in our sample the ratio of chapter 13 cases to individual chapter 11 cases was more than 100 to 1.) </w:t>
      </w:r>
    </w:p>
  </w:footnote>
  <w:footnote w:id="226">
    <w:p w14:paraId="26C852D0" w14:textId="697ACA5B"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supra </w:t>
      </w:r>
      <w:r w:rsidRPr="002552EA">
        <w:rPr>
          <w:rFonts w:cstheme="minorHAnsi"/>
          <w:sz w:val="20"/>
          <w:szCs w:val="20"/>
        </w:rPr>
        <w:t xml:space="preserve">Table 40. </w:t>
      </w:r>
    </w:p>
  </w:footnote>
  <w:footnote w:id="227">
    <w:p w14:paraId="6E1DCA9B" w14:textId="174A8FA0"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Our variables also seem to predict success in chapter 13. The one exception is that business chapter 13 cases appear more likely to fail, while business individual chapter 11 cases appear more likely to succeed. We defined the attorney experience variables for chapter 13 to match those of chapter 11 (one or two chapter 13 cases means low, three to ten means mid-level experience), because we were trying to run a placebo test and not trying to understand the determinants of success in chapter 13.</w:t>
      </w:r>
    </w:p>
  </w:footnote>
  <w:footnote w:id="228">
    <w:p w14:paraId="60A7C101" w14:textId="196A5AE6" w:rsidR="00560FBA" w:rsidRPr="002552EA" w:rsidRDefault="00560FBA" w:rsidP="003E3443">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See</w:t>
      </w:r>
      <w:r w:rsidRPr="002552EA">
        <w:rPr>
          <w:rFonts w:cstheme="minorHAnsi"/>
          <w:sz w:val="20"/>
          <w:szCs w:val="20"/>
        </w:rPr>
        <w:t xml:space="preserve"> Section IV.A.2, </w:t>
      </w:r>
      <w:r w:rsidRPr="002552EA">
        <w:rPr>
          <w:rFonts w:cstheme="minorHAnsi"/>
          <w:i/>
          <w:sz w:val="20"/>
          <w:szCs w:val="20"/>
        </w:rPr>
        <w:t>supra</w:t>
      </w:r>
      <w:r w:rsidRPr="002552EA">
        <w:rPr>
          <w:rFonts w:cstheme="minorHAnsi"/>
          <w:sz w:val="20"/>
          <w:szCs w:val="20"/>
        </w:rPr>
        <w:t>.</w:t>
      </w:r>
    </w:p>
  </w:footnote>
  <w:footnote w:id="229">
    <w:p w14:paraId="07F27C5F" w14:textId="1E38F4BC"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In re </w:t>
      </w:r>
      <w:r w:rsidRPr="009C5468">
        <w:rPr>
          <w:rFonts w:cstheme="minorHAnsi"/>
          <w:sz w:val="20"/>
          <w:szCs w:val="20"/>
        </w:rPr>
        <w:t>Blonder</w:t>
      </w:r>
      <w:r w:rsidRPr="002552EA">
        <w:rPr>
          <w:rFonts w:cstheme="minorHAnsi"/>
          <w:i/>
          <w:sz w:val="20"/>
          <w:szCs w:val="20"/>
        </w:rPr>
        <w:t xml:space="preserve">, </w:t>
      </w:r>
      <w:r w:rsidRPr="002552EA">
        <w:rPr>
          <w:rFonts w:cstheme="minorHAnsi"/>
          <w:sz w:val="20"/>
          <w:szCs w:val="20"/>
        </w:rPr>
        <w:t xml:space="preserve">No. 13-76658 (Bankr. N.D. Ga. Dec. 9, 2013); </w:t>
      </w:r>
      <w:r w:rsidRPr="002552EA">
        <w:rPr>
          <w:rFonts w:cstheme="minorHAnsi"/>
          <w:i/>
          <w:sz w:val="20"/>
          <w:szCs w:val="20"/>
        </w:rPr>
        <w:t xml:space="preserve">In re </w:t>
      </w:r>
      <w:r w:rsidRPr="009C5468">
        <w:rPr>
          <w:rFonts w:cstheme="minorHAnsi"/>
          <w:sz w:val="20"/>
          <w:szCs w:val="20"/>
        </w:rPr>
        <w:t>Anderson</w:t>
      </w:r>
      <w:r w:rsidRPr="002552EA">
        <w:rPr>
          <w:rFonts w:cstheme="minorHAnsi"/>
          <w:i/>
          <w:sz w:val="20"/>
          <w:szCs w:val="20"/>
        </w:rPr>
        <w:t xml:space="preserve">, </w:t>
      </w:r>
      <w:r w:rsidRPr="002552EA">
        <w:rPr>
          <w:rFonts w:cstheme="minorHAnsi"/>
          <w:sz w:val="20"/>
          <w:szCs w:val="20"/>
        </w:rPr>
        <w:t xml:space="preserve">No. 13-38712 (Bankr. N.D. Ill. Nov. 12, 2013); </w:t>
      </w:r>
      <w:r w:rsidRPr="002552EA">
        <w:rPr>
          <w:rFonts w:cstheme="minorHAnsi"/>
          <w:i/>
          <w:sz w:val="20"/>
          <w:szCs w:val="20"/>
        </w:rPr>
        <w:t xml:space="preserve">In re </w:t>
      </w:r>
      <w:r w:rsidRPr="009C5468">
        <w:rPr>
          <w:rFonts w:cstheme="minorHAnsi"/>
          <w:sz w:val="20"/>
          <w:szCs w:val="20"/>
        </w:rPr>
        <w:t>Jenkinson</w:t>
      </w:r>
      <w:r w:rsidRPr="002552EA">
        <w:rPr>
          <w:rFonts w:cstheme="minorHAnsi"/>
          <w:i/>
          <w:sz w:val="20"/>
          <w:szCs w:val="20"/>
        </w:rPr>
        <w:t xml:space="preserve">, </w:t>
      </w:r>
      <w:r w:rsidRPr="002552EA">
        <w:rPr>
          <w:rFonts w:cstheme="minorHAnsi"/>
          <w:sz w:val="20"/>
          <w:szCs w:val="20"/>
        </w:rPr>
        <w:t>No. 13-2470</w:t>
      </w:r>
      <w:r>
        <w:rPr>
          <w:rFonts w:cstheme="minorHAnsi"/>
          <w:sz w:val="20"/>
          <w:szCs w:val="20"/>
        </w:rPr>
        <w:t>1 (Bankr. D. N.J. July 2, 2013)</w:t>
      </w:r>
      <w:r w:rsidRPr="002552EA">
        <w:rPr>
          <w:rFonts w:cstheme="minorHAnsi"/>
          <w:sz w:val="20"/>
          <w:szCs w:val="20"/>
        </w:rPr>
        <w:t xml:space="preserve">. The </w:t>
      </w:r>
      <w:r w:rsidRPr="002552EA">
        <w:rPr>
          <w:rFonts w:cstheme="minorHAnsi"/>
          <w:i/>
          <w:sz w:val="20"/>
          <w:szCs w:val="20"/>
        </w:rPr>
        <w:t xml:space="preserve">Jenkinson </w:t>
      </w:r>
      <w:r w:rsidRPr="002552EA">
        <w:rPr>
          <w:rFonts w:cstheme="minorHAnsi"/>
          <w:sz w:val="20"/>
          <w:szCs w:val="20"/>
        </w:rPr>
        <w:t xml:space="preserve">case began in chapter 13. On October 28, 2013, the bankruptcy court converted the case to chapter 11. </w:t>
      </w:r>
      <w:r w:rsidRPr="002552EA">
        <w:rPr>
          <w:rFonts w:cstheme="minorHAnsi"/>
          <w:i/>
          <w:sz w:val="20"/>
          <w:szCs w:val="20"/>
        </w:rPr>
        <w:t xml:space="preserve">See </w:t>
      </w:r>
      <w:r w:rsidRPr="002552EA">
        <w:rPr>
          <w:rFonts w:cstheme="minorHAnsi"/>
          <w:sz w:val="20"/>
          <w:szCs w:val="20"/>
        </w:rPr>
        <w:t xml:space="preserve">Order Converting Case to Chapter 11, </w:t>
      </w:r>
      <w:r w:rsidRPr="002552EA">
        <w:rPr>
          <w:rFonts w:cstheme="minorHAnsi"/>
          <w:i/>
          <w:sz w:val="20"/>
          <w:szCs w:val="20"/>
        </w:rPr>
        <w:t xml:space="preserve">In re </w:t>
      </w:r>
      <w:r w:rsidRPr="009C5468">
        <w:rPr>
          <w:rFonts w:cstheme="minorHAnsi"/>
          <w:sz w:val="20"/>
          <w:szCs w:val="20"/>
        </w:rPr>
        <w:t>Jenksinson</w:t>
      </w:r>
      <w:r w:rsidRPr="002552EA">
        <w:rPr>
          <w:rFonts w:cstheme="minorHAnsi"/>
          <w:i/>
          <w:sz w:val="20"/>
          <w:szCs w:val="20"/>
        </w:rPr>
        <w:t xml:space="preserve">, </w:t>
      </w:r>
      <w:r w:rsidRPr="002552EA">
        <w:rPr>
          <w:rFonts w:cstheme="minorHAnsi"/>
          <w:sz w:val="20"/>
          <w:szCs w:val="20"/>
        </w:rPr>
        <w:t xml:space="preserve">No. 13-24701 (Bankr. D. N.J. Oct. 28, 2013) (Docket No. 36). </w:t>
      </w:r>
    </w:p>
  </w:footnote>
  <w:footnote w:id="230">
    <w:p w14:paraId="7C99F6E4" w14:textId="6F5305EA"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Confirmation does not provide a discharge in an individual chapter 11 case. 11 U.S.C. </w:t>
      </w:r>
      <w:r>
        <w:rPr>
          <w:rFonts w:cstheme="minorHAnsi"/>
          <w:sz w:val="20"/>
          <w:szCs w:val="20"/>
        </w:rPr>
        <w:t>§ </w:t>
      </w:r>
      <w:r w:rsidRPr="002552EA">
        <w:rPr>
          <w:rFonts w:cstheme="minorHAnsi"/>
          <w:sz w:val="20"/>
          <w:szCs w:val="20"/>
        </w:rPr>
        <w:t>1141(d)(5) (2012).</w:t>
      </w:r>
    </w:p>
  </w:footnote>
  <w:footnote w:id="231">
    <w:p w14:paraId="46931B6C" w14:textId="292C0DC1" w:rsidR="00560FBA" w:rsidRPr="002552EA" w:rsidRDefault="00560FBA" w:rsidP="00496350">
      <w:pPr>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There is, of course, a long tradition of bankruptcy courts reading statutes broadly to allow some play in the joints of the machine. </w:t>
      </w:r>
      <w:r w:rsidRPr="002552EA">
        <w:rPr>
          <w:rFonts w:cstheme="minorHAnsi"/>
          <w:i/>
          <w:sz w:val="20"/>
          <w:szCs w:val="20"/>
        </w:rPr>
        <w:t xml:space="preserve">See, e.g., </w:t>
      </w:r>
      <w:r w:rsidRPr="002552EA">
        <w:rPr>
          <w:rFonts w:eastAsia="Times New Roman" w:cstheme="minorHAnsi"/>
          <w:color w:val="000000"/>
          <w:sz w:val="20"/>
          <w:szCs w:val="20"/>
          <w:shd w:val="clear" w:color="auto" w:fill="FFFFFF"/>
        </w:rPr>
        <w:t>Missouri, Kansas &amp; Texas Ry. Co. v. May, 194 U.S. 267, 270, 24 S.</w:t>
      </w:r>
      <w:r>
        <w:rPr>
          <w:rFonts w:eastAsia="Times New Roman" w:cstheme="minorHAnsi"/>
          <w:color w:val="000000"/>
          <w:sz w:val="20"/>
          <w:szCs w:val="20"/>
          <w:shd w:val="clear" w:color="auto" w:fill="FFFFFF"/>
        </w:rPr>
        <w:t xml:space="preserve"> </w:t>
      </w:r>
      <w:r w:rsidRPr="002552EA">
        <w:rPr>
          <w:rFonts w:eastAsia="Times New Roman" w:cstheme="minorHAnsi"/>
          <w:color w:val="000000"/>
          <w:sz w:val="20"/>
          <w:szCs w:val="20"/>
          <w:shd w:val="clear" w:color="auto" w:fill="FFFFFF"/>
        </w:rPr>
        <w:t>Ct. 638, 639, 48 L.Ed. 971 (1904).</w:t>
      </w:r>
    </w:p>
  </w:footnote>
  <w:footnote w:id="232">
    <w:p w14:paraId="41B35AC0"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1129(b)(1) (2012). </w:t>
      </w:r>
    </w:p>
  </w:footnote>
  <w:footnote w:id="233">
    <w:p w14:paraId="18AD520B" w14:textId="03568D2E"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Id.</w:t>
      </w:r>
      <w:r w:rsidRPr="002552EA">
        <w:rPr>
          <w:rFonts w:cstheme="minorHAnsi"/>
          <w:sz w:val="20"/>
          <w:szCs w:val="20"/>
        </w:rPr>
        <w:t xml:space="preserve"> § 1126(c) (2012). </w:t>
      </w:r>
    </w:p>
  </w:footnote>
  <w:footnote w:id="234">
    <w:p w14:paraId="3A15B589" w14:textId="42BD9DE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No. 13-10897 (Bankr. D. Colo. Jan. 23, 2013).</w:t>
      </w:r>
    </w:p>
  </w:footnote>
  <w:footnote w:id="235">
    <w:p w14:paraId="191E3E78" w14:textId="3F5EEF8A"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Debtor’s Summary of Voting Results ¶¶</w:t>
      </w:r>
      <w:r>
        <w:rPr>
          <w:rFonts w:cstheme="minorHAnsi"/>
          <w:sz w:val="20"/>
          <w:szCs w:val="20"/>
        </w:rPr>
        <w:t> </w:t>
      </w:r>
      <w:r w:rsidRPr="002552EA">
        <w:rPr>
          <w:rFonts w:cstheme="minorHAnsi"/>
          <w:sz w:val="20"/>
          <w:szCs w:val="20"/>
        </w:rPr>
        <w:t xml:space="preserve">2, 5 &amp; 6, </w:t>
      </w:r>
      <w:r w:rsidRPr="002552EA">
        <w:rPr>
          <w:rFonts w:cstheme="minorHAnsi"/>
          <w:i/>
          <w:sz w:val="20"/>
          <w:szCs w:val="20"/>
        </w:rPr>
        <w:t xml:space="preserve">In re </w:t>
      </w:r>
      <w:r w:rsidRPr="005C1CCB">
        <w:rPr>
          <w:rFonts w:cstheme="minorHAnsi"/>
          <w:sz w:val="20"/>
          <w:szCs w:val="20"/>
        </w:rPr>
        <w:t>Parker</w:t>
      </w:r>
      <w:r w:rsidRPr="002552EA">
        <w:rPr>
          <w:rFonts w:cstheme="minorHAnsi"/>
          <w:i/>
          <w:sz w:val="20"/>
          <w:szCs w:val="20"/>
        </w:rPr>
        <w:t xml:space="preserve">, </w:t>
      </w:r>
      <w:r w:rsidRPr="002552EA">
        <w:rPr>
          <w:rFonts w:cstheme="minorHAnsi"/>
          <w:sz w:val="20"/>
          <w:szCs w:val="20"/>
        </w:rPr>
        <w:t xml:space="preserve">No. 13-10897 (Bankr. D. Colo. Nov. 11, 2014) (Docket No. 582). The debtor cited </w:t>
      </w:r>
      <w:r w:rsidRPr="002552EA">
        <w:rPr>
          <w:rFonts w:cstheme="minorHAnsi"/>
          <w:i/>
          <w:sz w:val="20"/>
          <w:szCs w:val="20"/>
        </w:rPr>
        <w:t xml:space="preserve">In re Ruti-Sweetwater, Inc., </w:t>
      </w:r>
      <w:r w:rsidRPr="002552EA">
        <w:rPr>
          <w:rFonts w:cstheme="minorHAnsi"/>
          <w:sz w:val="20"/>
          <w:szCs w:val="20"/>
        </w:rPr>
        <w:t>836 F.2d 1263 (10th Cir. 1988)</w:t>
      </w:r>
      <w:r>
        <w:rPr>
          <w:rFonts w:cstheme="minorHAnsi"/>
          <w:sz w:val="20"/>
          <w:szCs w:val="20"/>
        </w:rPr>
        <w:t>,</w:t>
      </w:r>
      <w:r w:rsidRPr="002552EA">
        <w:rPr>
          <w:rFonts w:cstheme="minorHAnsi"/>
          <w:sz w:val="20"/>
          <w:szCs w:val="20"/>
        </w:rPr>
        <w:t xml:space="preserve"> in support of this assertion.  In </w:t>
      </w:r>
      <w:r w:rsidRPr="002552EA">
        <w:rPr>
          <w:rFonts w:cstheme="minorHAnsi"/>
          <w:i/>
          <w:sz w:val="20"/>
          <w:szCs w:val="20"/>
        </w:rPr>
        <w:t xml:space="preserve">Ruti-Sweetwater, </w:t>
      </w:r>
      <w:r w:rsidRPr="002552EA">
        <w:rPr>
          <w:rFonts w:cstheme="minorHAnsi"/>
          <w:sz w:val="20"/>
          <w:szCs w:val="20"/>
        </w:rPr>
        <w:t xml:space="preserve">the Tenth Circuit found that an impaired creditor who neither objected to nor voted to reject the debtor’s plan was presumed to have accepted the plan. The court explained that because acceptance of the non-voting creditor was presumed, the bankruptcy court did not have to conduct a cram down analysis. </w:t>
      </w:r>
      <w:r w:rsidRPr="002552EA">
        <w:rPr>
          <w:rFonts w:cstheme="minorHAnsi"/>
          <w:i/>
          <w:sz w:val="20"/>
          <w:szCs w:val="20"/>
        </w:rPr>
        <w:t xml:space="preserve">See id. </w:t>
      </w:r>
      <w:r w:rsidRPr="002552EA">
        <w:rPr>
          <w:rFonts w:cstheme="minorHAnsi"/>
          <w:sz w:val="20"/>
          <w:szCs w:val="20"/>
        </w:rPr>
        <w:t xml:space="preserve">at 1268. </w:t>
      </w:r>
      <w:r w:rsidRPr="002552EA">
        <w:rPr>
          <w:rFonts w:cstheme="minorHAnsi"/>
          <w:i/>
          <w:sz w:val="20"/>
          <w:szCs w:val="20"/>
        </w:rPr>
        <w:t xml:space="preserve">See also In re </w:t>
      </w:r>
      <w:r w:rsidRPr="002552EA">
        <w:rPr>
          <w:rFonts w:cstheme="minorHAnsi"/>
          <w:sz w:val="20"/>
          <w:szCs w:val="20"/>
        </w:rPr>
        <w:t>Campbell</w:t>
      </w:r>
      <w:r w:rsidRPr="002552EA">
        <w:rPr>
          <w:rFonts w:cstheme="minorHAnsi"/>
          <w:i/>
          <w:sz w:val="20"/>
          <w:szCs w:val="20"/>
        </w:rPr>
        <w:t xml:space="preserve">, </w:t>
      </w:r>
      <w:r w:rsidRPr="002552EA">
        <w:rPr>
          <w:rFonts w:cstheme="minorHAnsi"/>
          <w:sz w:val="20"/>
          <w:szCs w:val="20"/>
        </w:rPr>
        <w:t xml:space="preserve">89 B.R. 187 (Bankr. N.D. Fla. 1988) (holding that “impaired classes which failed to vote and did not object to confirmation of the plan are deemed to have accepted the plan for purposes of meeting the requirements of § 1129(a)(8) of the Bankruptcy Code” and, therefore, the court did not have to conduct a cram down analysis); </w:t>
      </w:r>
      <w:r w:rsidRPr="002552EA">
        <w:rPr>
          <w:rFonts w:cstheme="minorHAnsi"/>
          <w:i/>
          <w:sz w:val="20"/>
          <w:szCs w:val="20"/>
        </w:rPr>
        <w:t xml:space="preserve">but see In re </w:t>
      </w:r>
      <w:r w:rsidRPr="002552EA">
        <w:rPr>
          <w:rFonts w:cstheme="minorHAnsi"/>
          <w:sz w:val="20"/>
          <w:szCs w:val="20"/>
        </w:rPr>
        <w:t>Friese</w:t>
      </w:r>
      <w:r w:rsidRPr="002552EA">
        <w:rPr>
          <w:rFonts w:cstheme="minorHAnsi"/>
          <w:i/>
          <w:sz w:val="20"/>
          <w:szCs w:val="20"/>
        </w:rPr>
        <w:t xml:space="preserve">, </w:t>
      </w:r>
      <w:r w:rsidRPr="002552EA">
        <w:rPr>
          <w:rFonts w:cstheme="minorHAnsi"/>
          <w:sz w:val="20"/>
          <w:szCs w:val="20"/>
        </w:rPr>
        <w:t xml:space="preserve">103 B.R. 90, 92 (Bankr. S.D.N.Y. 1989) (stating that rationale of </w:t>
      </w:r>
      <w:r w:rsidRPr="002552EA">
        <w:rPr>
          <w:rFonts w:cstheme="minorHAnsi"/>
          <w:i/>
          <w:sz w:val="20"/>
          <w:szCs w:val="20"/>
        </w:rPr>
        <w:t xml:space="preserve">Ruti-Sweetwater </w:t>
      </w:r>
      <w:r w:rsidRPr="002552EA">
        <w:rPr>
          <w:rFonts w:cstheme="minorHAnsi"/>
          <w:sz w:val="20"/>
          <w:szCs w:val="20"/>
        </w:rPr>
        <w:t xml:space="preserve">decision is “faulty” and disagreeing with </w:t>
      </w:r>
      <w:r w:rsidRPr="002552EA">
        <w:rPr>
          <w:rFonts w:cstheme="minorHAnsi"/>
          <w:i/>
          <w:sz w:val="20"/>
          <w:szCs w:val="20"/>
        </w:rPr>
        <w:t>Campbell</w:t>
      </w:r>
      <w:r w:rsidRPr="002552EA">
        <w:rPr>
          <w:rFonts w:cstheme="minorHAnsi"/>
          <w:sz w:val="20"/>
          <w:szCs w:val="20"/>
        </w:rPr>
        <w:t>).</w:t>
      </w:r>
    </w:p>
  </w:footnote>
  <w:footnote w:id="236">
    <w:p w14:paraId="384F4BA0"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Order Confirming Third Amended Plan of Reorganization Dated August 22, 2014 ¶8, </w:t>
      </w:r>
      <w:r w:rsidRPr="002552EA">
        <w:rPr>
          <w:rFonts w:cstheme="minorHAnsi"/>
          <w:i/>
          <w:sz w:val="20"/>
          <w:szCs w:val="20"/>
        </w:rPr>
        <w:t xml:space="preserve">In re </w:t>
      </w:r>
      <w:r w:rsidRPr="005C1CCB">
        <w:rPr>
          <w:rFonts w:cstheme="minorHAnsi"/>
          <w:sz w:val="20"/>
          <w:szCs w:val="20"/>
        </w:rPr>
        <w:t>Parker</w:t>
      </w:r>
      <w:r w:rsidRPr="002552EA">
        <w:rPr>
          <w:rFonts w:cstheme="minorHAnsi"/>
          <w:i/>
          <w:sz w:val="20"/>
          <w:szCs w:val="20"/>
        </w:rPr>
        <w:t xml:space="preserve">, </w:t>
      </w:r>
      <w:r w:rsidRPr="002552EA">
        <w:rPr>
          <w:rFonts w:cstheme="minorHAnsi"/>
          <w:sz w:val="20"/>
          <w:szCs w:val="20"/>
        </w:rPr>
        <w:t xml:space="preserve">No. 13-10897 (Bankr. D. Colo. Nov. 18, 2014) (Docket No. 584). </w:t>
      </w:r>
    </w:p>
  </w:footnote>
  <w:footnote w:id="237">
    <w:p w14:paraId="5514FE48"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id. </w:t>
      </w:r>
    </w:p>
  </w:footnote>
  <w:footnote w:id="238">
    <w:p w14:paraId="2271860E" w14:textId="10C32D34"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1129(a)(15)(B) (2012). This subsection applies only if an unsecured creditor objects to confirmation of the plan; merely voting against the plan is insufficient</w:t>
      </w:r>
      <w:r w:rsidRPr="002552EA">
        <w:rPr>
          <w:rFonts w:cstheme="minorHAnsi"/>
          <w:i/>
          <w:sz w:val="20"/>
          <w:szCs w:val="20"/>
        </w:rPr>
        <w:t xml:space="preserve">.  </w:t>
      </w:r>
      <w:r w:rsidRPr="002552EA">
        <w:rPr>
          <w:rFonts w:cstheme="minorHAnsi"/>
          <w:i/>
          <w:color w:val="000000"/>
          <w:sz w:val="20"/>
          <w:szCs w:val="20"/>
        </w:rPr>
        <w:t>In re</w:t>
      </w:r>
      <w:r w:rsidRPr="002552EA">
        <w:rPr>
          <w:rFonts w:cstheme="minorHAnsi"/>
          <w:color w:val="000000"/>
          <w:sz w:val="20"/>
          <w:szCs w:val="20"/>
        </w:rPr>
        <w:t xml:space="preserve"> Roedemeier</w:t>
      </w:r>
      <w:r w:rsidRPr="002552EA">
        <w:rPr>
          <w:rFonts w:cstheme="minorHAnsi"/>
          <w:sz w:val="20"/>
          <w:szCs w:val="20"/>
        </w:rPr>
        <w:t xml:space="preserve">, </w:t>
      </w:r>
      <w:r w:rsidRPr="002552EA">
        <w:rPr>
          <w:rFonts w:cstheme="minorHAnsi"/>
          <w:bCs/>
          <w:sz w:val="20"/>
          <w:szCs w:val="20"/>
        </w:rPr>
        <w:t>374 B.R. 264</w:t>
      </w:r>
      <w:r w:rsidRPr="002552EA">
        <w:rPr>
          <w:rFonts w:cstheme="minorHAnsi"/>
          <w:color w:val="000000"/>
          <w:sz w:val="20"/>
          <w:szCs w:val="20"/>
        </w:rPr>
        <w:t>, 271 (Bankr. D. Kan. 2007) (noting that “this provision applies only when the holder of an allowed unsecured claim objects to confirmation, which [the creditor] did not do in this case”).</w:t>
      </w:r>
      <w:r w:rsidRPr="002552EA">
        <w:rPr>
          <w:rFonts w:cstheme="minorHAnsi"/>
          <w:sz w:val="20"/>
          <w:szCs w:val="20"/>
        </w:rPr>
        <w:t xml:space="preserve"> In the alternative, a debtor may pay all allowed unsecured claims in full, § 1129(a)(15)(A).</w:t>
      </w:r>
    </w:p>
    <w:p w14:paraId="78309588" w14:textId="35107007" w:rsidR="00560FBA" w:rsidRPr="002552EA" w:rsidRDefault="00560FBA" w:rsidP="00106D9A">
      <w:pPr>
        <w:pStyle w:val="FootnoteText"/>
        <w:rPr>
          <w:rFonts w:cstheme="minorHAnsi"/>
          <w:sz w:val="20"/>
          <w:szCs w:val="20"/>
        </w:rPr>
      </w:pPr>
      <w:r w:rsidRPr="002552EA">
        <w:rPr>
          <w:rFonts w:cstheme="minorHAnsi"/>
          <w:sz w:val="20"/>
          <w:szCs w:val="20"/>
        </w:rPr>
        <w:tab/>
        <w:t>This is quite different than chapter 13’s parallel provision—§ 1325(b)—which limits the applicable commitment period to no more than five years. 11 U.S.C. § 1325(b) (2012). Subsection § 1325(b)(1)(B) requires that a debtor devote all projected disposable income, during the applicable commitment period, to payment of unsecured claims. This provision is triggered when the trustee or an unsecured creditor raises an objection to plan confirmation, and the debtor does not repay unsecured claims in full.</w:t>
      </w:r>
    </w:p>
  </w:footnote>
  <w:footnote w:id="239">
    <w:p w14:paraId="7AE5896C"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w:t>
      </w:r>
      <w:r w:rsidRPr="002552EA">
        <w:rPr>
          <w:rFonts w:cstheme="minorHAnsi"/>
          <w:sz w:val="20"/>
          <w:szCs w:val="20"/>
        </w:rPr>
        <w:t xml:space="preserve">Order Confirming Chapter 11 Plan of Reorganization of Shane L. Blackbird and Tracy A. Blackbird at 9, </w:t>
      </w:r>
      <w:r w:rsidRPr="002552EA">
        <w:rPr>
          <w:rFonts w:cstheme="minorHAnsi"/>
          <w:i/>
          <w:sz w:val="20"/>
          <w:szCs w:val="20"/>
        </w:rPr>
        <w:t xml:space="preserve">In re </w:t>
      </w:r>
      <w:r w:rsidRPr="002552EA">
        <w:rPr>
          <w:rFonts w:cstheme="minorHAnsi"/>
          <w:sz w:val="20"/>
          <w:szCs w:val="20"/>
        </w:rPr>
        <w:t>Blackbird</w:t>
      </w:r>
      <w:r w:rsidRPr="002552EA">
        <w:rPr>
          <w:rFonts w:cstheme="minorHAnsi"/>
          <w:i/>
          <w:sz w:val="20"/>
          <w:szCs w:val="20"/>
        </w:rPr>
        <w:t xml:space="preserve">, </w:t>
      </w:r>
      <w:r w:rsidRPr="002552EA">
        <w:rPr>
          <w:rFonts w:cstheme="minorHAnsi"/>
          <w:sz w:val="20"/>
          <w:szCs w:val="20"/>
        </w:rPr>
        <w:t xml:space="preserve">No. 13-18854 (Bankr. D. Nev. Mar. 25, 2015) (Docket No. 120) (paying secured creditor over 30 years).  </w:t>
      </w:r>
    </w:p>
  </w:footnote>
  <w:footnote w:id="240">
    <w:p w14:paraId="52D600B9"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id. </w:t>
      </w:r>
      <w:r w:rsidRPr="002552EA">
        <w:rPr>
          <w:rFonts w:cstheme="minorHAnsi"/>
          <w:sz w:val="20"/>
          <w:szCs w:val="20"/>
        </w:rPr>
        <w:t>at 10-11(paying Class 7 unsecured creditors over five years, starting payments in month 54 from the effective date).</w:t>
      </w:r>
    </w:p>
  </w:footnote>
  <w:footnote w:id="241">
    <w:p w14:paraId="21187941" w14:textId="278D0C4B" w:rsidR="00560FBA" w:rsidRPr="002552EA" w:rsidRDefault="00560FB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1325(b)(1)(B) (2012).</w:t>
      </w:r>
    </w:p>
  </w:footnote>
  <w:footnote w:id="242">
    <w:p w14:paraId="5EF7069A" w14:textId="1E2295DD"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Pr>
          <w:rFonts w:cstheme="minorHAnsi"/>
          <w:i/>
          <w:sz w:val="20"/>
          <w:szCs w:val="20"/>
        </w:rPr>
        <w:t xml:space="preserve">Id. </w:t>
      </w:r>
      <w:r w:rsidRPr="002552EA">
        <w:rPr>
          <w:rFonts w:cstheme="minorHAnsi"/>
          <w:sz w:val="20"/>
          <w:szCs w:val="20"/>
        </w:rPr>
        <w:t xml:space="preserve">§ 1322(d) (2012).  </w:t>
      </w:r>
    </w:p>
  </w:footnote>
  <w:footnote w:id="243">
    <w:p w14:paraId="45C51E8F" w14:textId="6F8FF5D6"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Id. </w:t>
      </w:r>
      <w:r w:rsidRPr="002552EA">
        <w:rPr>
          <w:rFonts w:cstheme="minorHAnsi"/>
          <w:sz w:val="20"/>
          <w:szCs w:val="20"/>
        </w:rPr>
        <w:t xml:space="preserve">§ 1141(d)(5).  </w:t>
      </w:r>
    </w:p>
  </w:footnote>
  <w:footnote w:id="244">
    <w:p w14:paraId="36321AE8" w14:textId="5563969C"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In ascertaining “cause,” courts generally focus on the likelihood that creditors will be paid in accordance with the plan. </w:t>
      </w:r>
      <w:r w:rsidRPr="002552EA">
        <w:rPr>
          <w:rFonts w:cstheme="minorHAnsi"/>
          <w:i/>
          <w:sz w:val="20"/>
          <w:szCs w:val="20"/>
        </w:rPr>
        <w:t>See, e.g</w:t>
      </w:r>
      <w:r w:rsidRPr="002552EA">
        <w:rPr>
          <w:rFonts w:cstheme="minorHAnsi"/>
          <w:sz w:val="20"/>
          <w:szCs w:val="20"/>
        </w:rPr>
        <w:t xml:space="preserve">., </w:t>
      </w:r>
      <w:r w:rsidRPr="002552EA">
        <w:rPr>
          <w:rFonts w:cstheme="minorHAnsi"/>
          <w:i/>
          <w:sz w:val="20"/>
          <w:szCs w:val="20"/>
        </w:rPr>
        <w:t xml:space="preserve">In re </w:t>
      </w:r>
      <w:r w:rsidRPr="002552EA">
        <w:rPr>
          <w:rFonts w:cstheme="minorHAnsi"/>
          <w:sz w:val="20"/>
          <w:szCs w:val="20"/>
        </w:rPr>
        <w:t>Grogan, BR 11-65409-FRA, 2013 WL 4854313 (Bankr. D. Or. Sept. 10, 2013) (based on totality of the circumstances, debtor must establish “ability to make plan payments with a high degree of certainty”). Most courts do not permit early discharge</w:t>
      </w:r>
      <w:r w:rsidRPr="002552EA">
        <w:rPr>
          <w:rFonts w:cstheme="minorHAnsi"/>
          <w:i/>
          <w:sz w:val="20"/>
          <w:szCs w:val="20"/>
        </w:rPr>
        <w:t>.  See, e.g</w:t>
      </w:r>
      <w:r w:rsidRPr="002552EA">
        <w:rPr>
          <w:rFonts w:cstheme="minorHAnsi"/>
          <w:sz w:val="20"/>
          <w:szCs w:val="20"/>
        </w:rPr>
        <w:t xml:space="preserve">., </w:t>
      </w:r>
      <w:r w:rsidRPr="002552EA">
        <w:rPr>
          <w:rFonts w:cstheme="minorHAnsi"/>
          <w:i/>
          <w:sz w:val="20"/>
          <w:szCs w:val="20"/>
        </w:rPr>
        <w:t xml:space="preserve">In re </w:t>
      </w:r>
      <w:r w:rsidRPr="002552EA">
        <w:rPr>
          <w:rFonts w:cstheme="minorHAnsi"/>
          <w:sz w:val="20"/>
          <w:szCs w:val="20"/>
        </w:rPr>
        <w:t xml:space="preserve">Beyer, 433 B.R. 884, 889 (Bankr. M.D. Fla. 2009) (requiring more than “just substantial consummation” of the plan, but that debtor show ability to “make all future payments with a high degree of certainty”; holding “unknown, potential federal tax liability,” which might be incurred upon surrender of real estate collateral to secured creditors in full satisfaction of obligations, insufficient to support early discharge). </w:t>
      </w:r>
      <w:r w:rsidRPr="002552EA">
        <w:rPr>
          <w:rFonts w:cstheme="minorHAnsi"/>
          <w:i/>
          <w:sz w:val="20"/>
          <w:szCs w:val="20"/>
        </w:rPr>
        <w:t xml:space="preserve">Cf. </w:t>
      </w:r>
      <w:r w:rsidRPr="002552EA">
        <w:rPr>
          <w:rFonts w:cstheme="minorHAnsi"/>
          <w:sz w:val="20"/>
          <w:szCs w:val="20"/>
        </w:rPr>
        <w:t>Order Confirming Debtor’s Plan of Reorganization ¶</w:t>
      </w:r>
      <w:r>
        <w:rPr>
          <w:rFonts w:cstheme="minorHAnsi"/>
          <w:sz w:val="20"/>
          <w:szCs w:val="20"/>
        </w:rPr>
        <w:t> </w:t>
      </w:r>
      <w:r w:rsidRPr="002552EA">
        <w:rPr>
          <w:rFonts w:cstheme="minorHAnsi"/>
          <w:sz w:val="20"/>
          <w:szCs w:val="20"/>
        </w:rPr>
        <w:t xml:space="preserve">14, </w:t>
      </w:r>
      <w:r w:rsidRPr="002552EA">
        <w:rPr>
          <w:rFonts w:cstheme="minorHAnsi"/>
          <w:i/>
          <w:sz w:val="20"/>
          <w:szCs w:val="20"/>
        </w:rPr>
        <w:t xml:space="preserve">In re </w:t>
      </w:r>
      <w:r w:rsidRPr="002552EA">
        <w:rPr>
          <w:rFonts w:cstheme="minorHAnsi"/>
          <w:sz w:val="20"/>
          <w:szCs w:val="20"/>
        </w:rPr>
        <w:t>Robles</w:t>
      </w:r>
      <w:r w:rsidRPr="002552EA">
        <w:rPr>
          <w:rFonts w:cstheme="minorHAnsi"/>
          <w:i/>
          <w:sz w:val="20"/>
          <w:szCs w:val="20"/>
        </w:rPr>
        <w:t xml:space="preserve">, </w:t>
      </w:r>
      <w:r w:rsidRPr="002552EA">
        <w:rPr>
          <w:rFonts w:cstheme="minorHAnsi"/>
          <w:sz w:val="20"/>
          <w:szCs w:val="20"/>
        </w:rPr>
        <w:t xml:space="preserve">No. 13-13476 (Bankr. S.D. Fla. Sept. 18, 2013) (Docket No. 167) (stating that debtor would be discharged from all pre-confirmation debts “upon completion of all payments required under the Plan to Class 7 general unsecured creditors, as well as administrative and priority claimants”).  </w:t>
      </w:r>
    </w:p>
    <w:p w14:paraId="3B3F10A5" w14:textId="0B66ED10" w:rsidR="00560FBA" w:rsidRPr="002552EA" w:rsidRDefault="00560FBA" w:rsidP="00106D9A">
      <w:pPr>
        <w:pStyle w:val="FootnoteText"/>
        <w:rPr>
          <w:rFonts w:cstheme="minorHAnsi"/>
          <w:sz w:val="20"/>
          <w:szCs w:val="20"/>
        </w:rPr>
      </w:pPr>
      <w:r w:rsidRPr="002552EA">
        <w:rPr>
          <w:rFonts w:cstheme="minorHAnsi"/>
          <w:sz w:val="20"/>
          <w:szCs w:val="20"/>
        </w:rPr>
        <w:tab/>
        <w:t>In one of the few cases finding “cause” sufficient to support early discharge,</w:t>
      </w:r>
      <w:r w:rsidRPr="002552EA">
        <w:rPr>
          <w:rFonts w:cstheme="minorHAnsi"/>
          <w:i/>
          <w:sz w:val="20"/>
          <w:szCs w:val="20"/>
        </w:rPr>
        <w:t xml:space="preserve"> In re Sheridan</w:t>
      </w:r>
      <w:r w:rsidRPr="002552EA">
        <w:rPr>
          <w:rFonts w:cstheme="minorHAnsi"/>
          <w:sz w:val="20"/>
          <w:szCs w:val="20"/>
        </w:rPr>
        <w:t>, 391 B.R. 287, 291 (Bankr. E.D.N.C. 2008), the court stated the usual rule—that creditors will receive amounts promised under the plan. The court based its finding of the necessary assurance on the stable income of one debtor (a lawyer), and the securing of obligations to otherwise unsecured creditors by a second deed of trust against the debtors’ home with equity.</w:t>
      </w:r>
    </w:p>
    <w:p w14:paraId="7D6E6606" w14:textId="2CAB9891" w:rsidR="00560FBA" w:rsidRPr="002552EA" w:rsidRDefault="00560FBA" w:rsidP="00106D9A">
      <w:pPr>
        <w:pStyle w:val="FootnoteText"/>
        <w:rPr>
          <w:rFonts w:cstheme="minorHAnsi"/>
          <w:sz w:val="20"/>
          <w:szCs w:val="20"/>
        </w:rPr>
      </w:pPr>
      <w:r w:rsidRPr="002552EA">
        <w:rPr>
          <w:rFonts w:cstheme="minorHAnsi"/>
          <w:sz w:val="20"/>
          <w:szCs w:val="20"/>
        </w:rPr>
        <w:tab/>
        <w:t>A related provision, § 1141(d)(5)(b), permits a hardship discharge much like that available in chapter 13, under § 1328(b). Both §§ 1145(d)(5)(B) and 1328(b) mandate that the debtor satisfy the best interests of creditors test (unlike § 1141(d)(5)(A), which by its terms does not require that the debtor satisfy the best interests test in order to utilize the “cause” exception), and that a modification of the plan is not feasible. Section 1328(b), however, also requires a finding that “the debtor’s failure to complete such payments is due to circumstances for which the debtor should not justly be held accountable.”</w:t>
      </w:r>
    </w:p>
    <w:p w14:paraId="0F4CFD74" w14:textId="75E4A166" w:rsidR="00560FBA" w:rsidRPr="002552EA" w:rsidRDefault="00560FBA" w:rsidP="00106D9A">
      <w:pPr>
        <w:pStyle w:val="FootnoteText"/>
        <w:rPr>
          <w:rFonts w:cstheme="minorHAnsi"/>
          <w:sz w:val="20"/>
          <w:szCs w:val="20"/>
        </w:rPr>
      </w:pPr>
      <w:r w:rsidRPr="002552EA">
        <w:rPr>
          <w:rFonts w:cstheme="minorHAnsi"/>
          <w:sz w:val="20"/>
          <w:szCs w:val="20"/>
        </w:rPr>
        <w:tab/>
        <w:t xml:space="preserve">Although both chapters 11 and 13 grant the court the power to order a hardship discharge, </w:t>
      </w:r>
      <w:r w:rsidRPr="00671872">
        <w:rPr>
          <w:rFonts w:cstheme="minorHAnsi"/>
          <w:i/>
          <w:sz w:val="20"/>
          <w:szCs w:val="20"/>
        </w:rPr>
        <w:t>id</w:t>
      </w:r>
      <w:r>
        <w:rPr>
          <w:rFonts w:cstheme="minorHAnsi"/>
          <w:sz w:val="20"/>
          <w:szCs w:val="20"/>
        </w:rPr>
        <w:t>. §§ 1141(d)(5) &amp;</w:t>
      </w:r>
      <w:r w:rsidRPr="002552EA">
        <w:rPr>
          <w:rFonts w:cstheme="minorHAnsi"/>
          <w:sz w:val="20"/>
          <w:szCs w:val="20"/>
        </w:rPr>
        <w:t xml:space="preserve"> 1328(b), this power is almost never exercised.  </w:t>
      </w:r>
    </w:p>
  </w:footnote>
  <w:footnote w:id="245">
    <w:p w14:paraId="416B9B26" w14:textId="028CD471" w:rsidR="00560FBA" w:rsidRPr="002552EA" w:rsidRDefault="00560FBA">
      <w:pPr>
        <w:pStyle w:val="FootnoteText"/>
        <w:rPr>
          <w:sz w:val="20"/>
          <w:szCs w:val="20"/>
        </w:rPr>
      </w:pPr>
      <w:r w:rsidRPr="002552EA">
        <w:rPr>
          <w:rStyle w:val="FootnoteReference"/>
          <w:sz w:val="20"/>
          <w:szCs w:val="20"/>
        </w:rPr>
        <w:footnoteRef/>
      </w:r>
      <w:r w:rsidRPr="002552EA">
        <w:rPr>
          <w:sz w:val="20"/>
          <w:szCs w:val="20"/>
        </w:rPr>
        <w:t xml:space="preserve"> </w:t>
      </w:r>
      <w:r w:rsidRPr="002552EA">
        <w:rPr>
          <w:rFonts w:ascii="Times New Roman" w:hAnsi="Times New Roman" w:cs="Times New Roman"/>
          <w:i/>
          <w:sz w:val="20"/>
          <w:szCs w:val="20"/>
        </w:rPr>
        <w:t xml:space="preserve">See </w:t>
      </w:r>
      <w:r w:rsidRPr="002552EA">
        <w:rPr>
          <w:rFonts w:ascii="Times New Roman" w:hAnsi="Times New Roman" w:cs="Times New Roman"/>
          <w:sz w:val="20"/>
          <w:szCs w:val="20"/>
        </w:rPr>
        <w:t xml:space="preserve">Section IV.A.2.  </w:t>
      </w:r>
    </w:p>
  </w:footnote>
  <w:footnote w:id="246">
    <w:p w14:paraId="39A17360" w14:textId="6E2D98B6"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supra </w:t>
      </w:r>
      <w:r w:rsidRPr="002552EA">
        <w:rPr>
          <w:rFonts w:cstheme="minorHAnsi"/>
          <w:sz w:val="20"/>
          <w:szCs w:val="20"/>
        </w:rPr>
        <w:t>Section III.A.4, and Table 11 and accompanying text.</w:t>
      </w:r>
    </w:p>
  </w:footnote>
  <w:footnote w:id="247">
    <w:p w14:paraId="01D40F1B"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 total number of cases does not add to 223, because in some cases the debtor checked neither box on the petition. </w:t>
      </w:r>
    </w:p>
  </w:footnote>
  <w:footnote w:id="248">
    <w:p w14:paraId="3F54417F" w14:textId="272717E3"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supra </w:t>
      </w:r>
      <w:r w:rsidRPr="002552EA">
        <w:rPr>
          <w:rFonts w:cstheme="minorHAnsi"/>
          <w:sz w:val="20"/>
          <w:szCs w:val="20"/>
        </w:rPr>
        <w:t xml:space="preserve">note </w:t>
      </w:r>
      <w:r w:rsidRPr="00563914">
        <w:rPr>
          <w:rFonts w:cstheme="minorHAnsi"/>
          <w:sz w:val="20"/>
          <w:szCs w:val="20"/>
        </w:rPr>
        <w:fldChar w:fldCharType="begin"/>
      </w:r>
      <w:r w:rsidRPr="002552EA">
        <w:rPr>
          <w:rFonts w:cstheme="minorHAnsi"/>
          <w:sz w:val="20"/>
          <w:szCs w:val="20"/>
        </w:rPr>
        <w:instrText xml:space="preserve"> NOTEREF _Ref333781806 \h </w:instrText>
      </w:r>
      <w:r w:rsidRPr="00563914">
        <w:rPr>
          <w:rFonts w:cstheme="minorHAnsi"/>
          <w:sz w:val="20"/>
          <w:szCs w:val="20"/>
        </w:rPr>
      </w:r>
      <w:r w:rsidRPr="00563914">
        <w:rPr>
          <w:rFonts w:cstheme="minorHAnsi"/>
          <w:sz w:val="20"/>
          <w:szCs w:val="20"/>
        </w:rPr>
        <w:fldChar w:fldCharType="separate"/>
      </w:r>
      <w:r>
        <w:rPr>
          <w:rFonts w:cstheme="minorHAnsi"/>
          <w:sz w:val="20"/>
          <w:szCs w:val="20"/>
        </w:rPr>
        <w:t>148</w:t>
      </w:r>
      <w:r w:rsidRPr="00563914">
        <w:rPr>
          <w:rFonts w:cstheme="minorHAnsi"/>
          <w:sz w:val="20"/>
          <w:szCs w:val="20"/>
        </w:rPr>
        <w:fldChar w:fldCharType="end"/>
      </w:r>
      <w:r w:rsidRPr="002552EA">
        <w:rPr>
          <w:rFonts w:cstheme="minorHAnsi"/>
          <w:sz w:val="20"/>
          <w:szCs w:val="20"/>
        </w:rPr>
        <w:t xml:space="preserve"> and accompanying text.</w:t>
      </w:r>
    </w:p>
  </w:footnote>
  <w:footnote w:id="249">
    <w:p w14:paraId="1E6171F1" w14:textId="691DEBC1"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One debtor listed his spouse as “common law” and disclosed that they had three children together. We treated this debtor as married. </w:t>
      </w:r>
      <w:r w:rsidRPr="002552EA">
        <w:rPr>
          <w:rFonts w:cstheme="minorHAnsi"/>
          <w:i/>
          <w:sz w:val="20"/>
          <w:szCs w:val="20"/>
        </w:rPr>
        <w:t xml:space="preserve">See </w:t>
      </w:r>
      <w:r w:rsidRPr="002552EA">
        <w:rPr>
          <w:rFonts w:cstheme="minorHAnsi"/>
          <w:sz w:val="20"/>
          <w:szCs w:val="20"/>
        </w:rPr>
        <w:t xml:space="preserve">Schedules and Statements, </w:t>
      </w:r>
      <w:r w:rsidRPr="002552EA">
        <w:rPr>
          <w:rFonts w:cstheme="minorHAnsi"/>
          <w:i/>
          <w:sz w:val="20"/>
          <w:szCs w:val="20"/>
        </w:rPr>
        <w:t xml:space="preserve">In re </w:t>
      </w:r>
      <w:r w:rsidRPr="009C5468">
        <w:rPr>
          <w:rFonts w:cstheme="minorHAnsi"/>
          <w:sz w:val="20"/>
          <w:szCs w:val="20"/>
        </w:rPr>
        <w:t>Etter</w:t>
      </w:r>
      <w:r w:rsidRPr="002552EA">
        <w:rPr>
          <w:rFonts w:cstheme="minorHAnsi"/>
          <w:i/>
          <w:sz w:val="20"/>
          <w:szCs w:val="20"/>
        </w:rPr>
        <w:t xml:space="preserve">, </w:t>
      </w:r>
      <w:r w:rsidRPr="002552EA">
        <w:rPr>
          <w:rFonts w:cstheme="minorHAnsi"/>
          <w:sz w:val="20"/>
          <w:szCs w:val="20"/>
        </w:rPr>
        <w:t>No. 10-15015 (Bankr. D. Ariz. June 7, 2010) (Docket No. 12).</w:t>
      </w:r>
    </w:p>
  </w:footnote>
  <w:footnote w:id="250">
    <w:p w14:paraId="1B5CFC00" w14:textId="66486B96"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See supra</w:t>
      </w:r>
      <w:r w:rsidRPr="002552EA">
        <w:rPr>
          <w:rFonts w:cstheme="minorHAnsi"/>
          <w:sz w:val="20"/>
          <w:szCs w:val="20"/>
        </w:rPr>
        <w:t xml:space="preserve"> Table 24 and accompanying text.</w:t>
      </w:r>
    </w:p>
  </w:footnote>
  <w:footnote w:id="251">
    <w:p w14:paraId="1116B60A" w14:textId="58061AED" w:rsidR="00560FBA" w:rsidRPr="002552EA" w:rsidRDefault="00560FB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See</w:t>
      </w:r>
      <w:r w:rsidRPr="002552EA">
        <w:rPr>
          <w:rFonts w:cstheme="minorHAnsi"/>
          <w:sz w:val="20"/>
          <w:szCs w:val="20"/>
        </w:rPr>
        <w:t xml:space="preserve"> Section IV.A.2, </w:t>
      </w:r>
      <w:r w:rsidRPr="002552EA">
        <w:rPr>
          <w:rFonts w:cstheme="minorHAnsi"/>
          <w:i/>
          <w:sz w:val="20"/>
          <w:szCs w:val="20"/>
        </w:rPr>
        <w:t>supra</w:t>
      </w:r>
      <w:r w:rsidRPr="002552EA">
        <w:rPr>
          <w:rFonts w:cstheme="minorHAnsi"/>
          <w:sz w:val="20"/>
          <w:szCs w:val="20"/>
        </w:rPr>
        <w:t>.</w:t>
      </w:r>
    </w:p>
  </w:footnote>
  <w:footnote w:id="252">
    <w:p w14:paraId="593C507C"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In an omitted specification, we also find a statistically significant relationship between the raw number of appearances and the success rates.</w:t>
      </w:r>
    </w:p>
  </w:footnote>
  <w:footnote w:id="253">
    <w:p w14:paraId="79E87FA2" w14:textId="46AFA525"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1129(a)(9) (2012).</w:t>
      </w:r>
    </w:p>
  </w:footnote>
  <w:footnote w:id="254">
    <w:p w14:paraId="79B6B9C6" w14:textId="3BB3B64A" w:rsidR="00560FBA" w:rsidRPr="00562E26" w:rsidRDefault="00560FBA" w:rsidP="00220106">
      <w:pPr>
        <w:pStyle w:val="FootnoteText"/>
        <w:rPr>
          <w:sz w:val="20"/>
          <w:szCs w:val="20"/>
        </w:rPr>
      </w:pPr>
      <w:r w:rsidRPr="00562E26">
        <w:rPr>
          <w:rStyle w:val="FootnoteReference"/>
          <w:sz w:val="20"/>
          <w:szCs w:val="20"/>
        </w:rPr>
        <w:footnoteRef/>
      </w:r>
      <w:r w:rsidRPr="00562E26">
        <w:rPr>
          <w:sz w:val="20"/>
          <w:szCs w:val="20"/>
        </w:rPr>
        <w:t xml:space="preserve"> See </w:t>
      </w:r>
      <w:r w:rsidRPr="00562E26">
        <w:rPr>
          <w:i/>
          <w:sz w:val="20"/>
          <w:szCs w:val="20"/>
        </w:rPr>
        <w:t>supra</w:t>
      </w:r>
      <w:r w:rsidRPr="00562E26">
        <w:rPr>
          <w:sz w:val="20"/>
          <w:szCs w:val="20"/>
        </w:rPr>
        <w:t xml:space="preserve"> note </w:t>
      </w:r>
      <w:r w:rsidRPr="00562E26">
        <w:rPr>
          <w:sz w:val="20"/>
          <w:szCs w:val="20"/>
        </w:rPr>
        <w:fldChar w:fldCharType="begin"/>
      </w:r>
      <w:r w:rsidRPr="00562E26">
        <w:rPr>
          <w:sz w:val="20"/>
          <w:szCs w:val="20"/>
        </w:rPr>
        <w:instrText xml:space="preserve"> NOTEREF _Ref333823139 \h </w:instrText>
      </w:r>
      <w:r w:rsidRPr="00562E26">
        <w:rPr>
          <w:sz w:val="20"/>
          <w:szCs w:val="20"/>
        </w:rPr>
      </w:r>
      <w:r w:rsidRPr="00562E26">
        <w:rPr>
          <w:sz w:val="20"/>
          <w:szCs w:val="20"/>
        </w:rPr>
        <w:fldChar w:fldCharType="separate"/>
      </w:r>
      <w:r>
        <w:rPr>
          <w:sz w:val="20"/>
          <w:szCs w:val="20"/>
        </w:rPr>
        <w:t>174</w:t>
      </w:r>
      <w:r w:rsidRPr="00562E26">
        <w:rPr>
          <w:sz w:val="20"/>
          <w:szCs w:val="20"/>
        </w:rPr>
        <w:fldChar w:fldCharType="end"/>
      </w:r>
      <w:r w:rsidRPr="00562E26">
        <w:rPr>
          <w:sz w:val="20"/>
          <w:szCs w:val="20"/>
        </w:rPr>
        <w:t xml:space="preserve"> and accompanying text.</w:t>
      </w:r>
    </w:p>
  </w:footnote>
  <w:footnote w:id="255">
    <w:p w14:paraId="1C2AE703" w14:textId="65075A3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Our largest cases had tens of millions of dollars of debt, and so might not be good comparisons. We tried comparing the debtors below the debt limits to those above the limits but below 1.5 times the debt limits. Those below the debt limits had a higher rate of success, but the sample size was very small so the difference was not statistically significant.</w:t>
      </w:r>
    </w:p>
  </w:footnote>
  <w:footnote w:id="256">
    <w:p w14:paraId="1069EAA9" w14:textId="4DEF6B2A" w:rsidR="00560FBA" w:rsidRPr="00562E26" w:rsidRDefault="00560FBA">
      <w:pPr>
        <w:pStyle w:val="FootnoteText"/>
        <w:rPr>
          <w:sz w:val="20"/>
          <w:szCs w:val="20"/>
        </w:rPr>
      </w:pPr>
      <w:r w:rsidRPr="00562E26">
        <w:rPr>
          <w:rStyle w:val="FootnoteReference"/>
          <w:sz w:val="20"/>
          <w:szCs w:val="20"/>
        </w:rPr>
        <w:footnoteRef/>
      </w:r>
      <w:r w:rsidRPr="00562E26">
        <w:rPr>
          <w:sz w:val="20"/>
          <w:szCs w:val="20"/>
        </w:rPr>
        <w:t xml:space="preserve"> </w:t>
      </w:r>
      <w:r w:rsidRPr="00562E26">
        <w:rPr>
          <w:i/>
          <w:sz w:val="20"/>
          <w:szCs w:val="20"/>
        </w:rPr>
        <w:t>See supra</w:t>
      </w:r>
      <w:r w:rsidRPr="00562E26">
        <w:rPr>
          <w:sz w:val="20"/>
          <w:szCs w:val="20"/>
        </w:rPr>
        <w:t xml:space="preserve"> notes </w:t>
      </w:r>
      <w:r w:rsidRPr="00562E26">
        <w:rPr>
          <w:sz w:val="20"/>
          <w:szCs w:val="20"/>
        </w:rPr>
        <w:fldChar w:fldCharType="begin"/>
      </w:r>
      <w:r w:rsidRPr="00562E26">
        <w:rPr>
          <w:sz w:val="20"/>
          <w:szCs w:val="20"/>
        </w:rPr>
        <w:instrText xml:space="preserve"> NOTEREF _Ref333824844 \h </w:instrText>
      </w:r>
      <w:r w:rsidRPr="00562E26">
        <w:rPr>
          <w:sz w:val="20"/>
          <w:szCs w:val="20"/>
        </w:rPr>
      </w:r>
      <w:r w:rsidRPr="00562E26">
        <w:rPr>
          <w:sz w:val="20"/>
          <w:szCs w:val="20"/>
        </w:rPr>
        <w:fldChar w:fldCharType="separate"/>
      </w:r>
      <w:r>
        <w:rPr>
          <w:sz w:val="20"/>
          <w:szCs w:val="20"/>
        </w:rPr>
        <w:t>6</w:t>
      </w:r>
      <w:r w:rsidRPr="00562E26">
        <w:rPr>
          <w:sz w:val="20"/>
          <w:szCs w:val="20"/>
        </w:rPr>
        <w:fldChar w:fldCharType="end"/>
      </w:r>
      <w:r w:rsidRPr="00562E26">
        <w:rPr>
          <w:sz w:val="20"/>
          <w:szCs w:val="20"/>
        </w:rPr>
        <w:t>-</w:t>
      </w:r>
      <w:r w:rsidRPr="00562E26">
        <w:rPr>
          <w:sz w:val="20"/>
          <w:szCs w:val="20"/>
        </w:rPr>
        <w:fldChar w:fldCharType="begin"/>
      </w:r>
      <w:r w:rsidRPr="00562E26">
        <w:rPr>
          <w:sz w:val="20"/>
          <w:szCs w:val="20"/>
        </w:rPr>
        <w:instrText xml:space="preserve"> NOTEREF _Ref333824849 \h </w:instrText>
      </w:r>
      <w:r w:rsidRPr="00562E26">
        <w:rPr>
          <w:sz w:val="20"/>
          <w:szCs w:val="20"/>
        </w:rPr>
      </w:r>
      <w:r w:rsidRPr="00562E26">
        <w:rPr>
          <w:sz w:val="20"/>
          <w:szCs w:val="20"/>
        </w:rPr>
        <w:fldChar w:fldCharType="separate"/>
      </w:r>
      <w:r>
        <w:rPr>
          <w:sz w:val="20"/>
          <w:szCs w:val="20"/>
        </w:rPr>
        <w:t>14</w:t>
      </w:r>
      <w:r w:rsidRPr="00562E26">
        <w:rPr>
          <w:sz w:val="20"/>
          <w:szCs w:val="20"/>
        </w:rPr>
        <w:fldChar w:fldCharType="end"/>
      </w:r>
      <w:r w:rsidRPr="00562E26">
        <w:rPr>
          <w:sz w:val="20"/>
          <w:szCs w:val="20"/>
        </w:rPr>
        <w:t xml:space="preserve"> and accompanying text.</w:t>
      </w:r>
    </w:p>
  </w:footnote>
  <w:footnote w:id="257">
    <w:p w14:paraId="2A33EE6C" w14:textId="5C2961D4" w:rsidR="00560FBA" w:rsidRPr="002552EA" w:rsidRDefault="00560FB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560FBA">
        <w:rPr>
          <w:rFonts w:cstheme="minorHAnsi"/>
          <w:i/>
          <w:sz w:val="20"/>
          <w:szCs w:val="20"/>
        </w:rPr>
        <w:t>See supra</w:t>
      </w:r>
      <w:r w:rsidRPr="002552EA">
        <w:rPr>
          <w:rFonts w:cstheme="minorHAnsi"/>
          <w:sz w:val="20"/>
          <w:szCs w:val="20"/>
        </w:rPr>
        <w:t xml:space="preserve"> note </w:t>
      </w:r>
      <w:r>
        <w:rPr>
          <w:rFonts w:cstheme="minorHAnsi"/>
          <w:sz w:val="20"/>
          <w:szCs w:val="20"/>
        </w:rPr>
        <w:t>254</w:t>
      </w:r>
      <w:r w:rsidRPr="002552EA">
        <w:rPr>
          <w:rFonts w:cstheme="minorHAnsi"/>
          <w:sz w:val="20"/>
          <w:szCs w:val="20"/>
        </w:rPr>
        <w:t xml:space="preserve"> and accompanying text.</w:t>
      </w:r>
    </w:p>
  </w:footnote>
  <w:footnote w:id="258">
    <w:p w14:paraId="0A59A4B7" w14:textId="3382E315"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w:t>
      </w:r>
      <w:r w:rsidRPr="002552EA">
        <w:rPr>
          <w:rFonts w:cstheme="minorHAnsi"/>
          <w:sz w:val="20"/>
          <w:szCs w:val="20"/>
        </w:rPr>
        <w:t>Objection to Confirmation ¶¶</w:t>
      </w:r>
      <w:r>
        <w:rPr>
          <w:rFonts w:cstheme="minorHAnsi"/>
          <w:sz w:val="20"/>
          <w:szCs w:val="20"/>
        </w:rPr>
        <w:t> </w:t>
      </w:r>
      <w:r w:rsidRPr="002552EA">
        <w:rPr>
          <w:rFonts w:cstheme="minorHAnsi"/>
          <w:sz w:val="20"/>
          <w:szCs w:val="20"/>
        </w:rPr>
        <w:t xml:space="preserve">6, 7 &amp; 10, </w:t>
      </w:r>
      <w:r w:rsidRPr="002552EA">
        <w:rPr>
          <w:rFonts w:cstheme="minorHAnsi"/>
          <w:i/>
          <w:sz w:val="20"/>
          <w:szCs w:val="20"/>
        </w:rPr>
        <w:t xml:space="preserve">In re </w:t>
      </w:r>
      <w:r w:rsidRPr="00562E26">
        <w:rPr>
          <w:rFonts w:cstheme="minorHAnsi"/>
          <w:sz w:val="20"/>
          <w:szCs w:val="20"/>
        </w:rPr>
        <w:t>Stickler</w:t>
      </w:r>
      <w:r w:rsidRPr="002552EA">
        <w:rPr>
          <w:rFonts w:cstheme="minorHAnsi"/>
          <w:i/>
          <w:sz w:val="20"/>
          <w:szCs w:val="20"/>
        </w:rPr>
        <w:t xml:space="preserve">, </w:t>
      </w:r>
      <w:r w:rsidRPr="002552EA">
        <w:rPr>
          <w:rFonts w:cstheme="minorHAnsi"/>
          <w:sz w:val="20"/>
          <w:szCs w:val="20"/>
        </w:rPr>
        <w:t>No. 10-10080 (Bankr. M.D. Ala. Dec. 15, 2010) (Docket No. 90) (stating that debtor had non-exempt assets that were not being paid to unsecured creditors and that the plan was not fair and equitable because the plan spread payments to</w:t>
      </w:r>
      <w:r>
        <w:rPr>
          <w:rFonts w:cstheme="minorHAnsi"/>
          <w:sz w:val="20"/>
          <w:szCs w:val="20"/>
        </w:rPr>
        <w:t xml:space="preserve"> the unsecured creditors over eighty-four</w:t>
      </w:r>
      <w:r w:rsidRPr="002552EA">
        <w:rPr>
          <w:rFonts w:cstheme="minorHAnsi"/>
          <w:sz w:val="20"/>
          <w:szCs w:val="20"/>
        </w:rPr>
        <w:t xml:space="preserve"> months while the debtor “continue[d] to live in his $1,000,000 home”).</w:t>
      </w:r>
    </w:p>
  </w:footnote>
  <w:footnote w:id="259">
    <w:p w14:paraId="2C10BE39" w14:textId="7BFBF2D3"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w:t>
      </w:r>
      <w:r w:rsidRPr="002552EA">
        <w:rPr>
          <w:rFonts w:cstheme="minorHAnsi"/>
          <w:sz w:val="20"/>
          <w:szCs w:val="20"/>
        </w:rPr>
        <w:t>Objection to Disclosure Statement ¶</w:t>
      </w:r>
      <w:r>
        <w:rPr>
          <w:rFonts w:cstheme="minorHAnsi"/>
          <w:sz w:val="20"/>
          <w:szCs w:val="20"/>
        </w:rPr>
        <w:t> </w:t>
      </w:r>
      <w:r w:rsidRPr="002552EA">
        <w:rPr>
          <w:rFonts w:cstheme="minorHAnsi"/>
          <w:sz w:val="20"/>
          <w:szCs w:val="20"/>
        </w:rPr>
        <w:t xml:space="preserve">23, </w:t>
      </w:r>
      <w:r w:rsidRPr="002552EA">
        <w:rPr>
          <w:rFonts w:cstheme="minorHAnsi"/>
          <w:i/>
          <w:sz w:val="20"/>
          <w:szCs w:val="20"/>
        </w:rPr>
        <w:t xml:space="preserve">In re </w:t>
      </w:r>
      <w:r w:rsidRPr="00562E26">
        <w:rPr>
          <w:rFonts w:cstheme="minorHAnsi"/>
          <w:sz w:val="20"/>
          <w:szCs w:val="20"/>
        </w:rPr>
        <w:t>Blonder</w:t>
      </w:r>
      <w:r w:rsidRPr="002552EA">
        <w:rPr>
          <w:rFonts w:cstheme="minorHAnsi"/>
          <w:i/>
          <w:sz w:val="20"/>
          <w:szCs w:val="20"/>
        </w:rPr>
        <w:t xml:space="preserve">, </w:t>
      </w:r>
      <w:r w:rsidRPr="002552EA">
        <w:rPr>
          <w:rFonts w:cstheme="minorHAnsi"/>
          <w:sz w:val="20"/>
          <w:szCs w:val="20"/>
        </w:rPr>
        <w:t xml:space="preserve">No. 13-76658 (Bankr. N.D. Ga. Sept, 8, 2914 (Docket No. 84) (under-secured creditor’s objection to failure of disclosure statement to discuss the absolute priority rule); Alan Schlosser’s Objection to Debtors’ Disclosure Statement at 4, </w:t>
      </w:r>
      <w:r w:rsidRPr="002552EA">
        <w:rPr>
          <w:rFonts w:cstheme="minorHAnsi"/>
          <w:i/>
          <w:sz w:val="20"/>
          <w:szCs w:val="20"/>
        </w:rPr>
        <w:t xml:space="preserve">In re </w:t>
      </w:r>
      <w:r w:rsidRPr="00562E26">
        <w:rPr>
          <w:rFonts w:cstheme="minorHAnsi"/>
          <w:sz w:val="20"/>
          <w:szCs w:val="20"/>
        </w:rPr>
        <w:t>Trapp</w:t>
      </w:r>
      <w:r w:rsidRPr="002552EA">
        <w:rPr>
          <w:rFonts w:cstheme="minorHAnsi"/>
          <w:i/>
          <w:sz w:val="20"/>
          <w:szCs w:val="20"/>
        </w:rPr>
        <w:t xml:space="preserve">, </w:t>
      </w:r>
      <w:r w:rsidRPr="002552EA">
        <w:rPr>
          <w:rFonts w:cstheme="minorHAnsi"/>
          <w:sz w:val="20"/>
          <w:szCs w:val="20"/>
        </w:rPr>
        <w:t>No. 13-16412 (Bankr. D. Ariz. July 31, 2014) (Docket No. 80) (noting that debtors had “not applied the Rule or discussed the Rule or its impact in this ca</w:t>
      </w:r>
      <w:r>
        <w:rPr>
          <w:rFonts w:cstheme="minorHAnsi"/>
          <w:sz w:val="20"/>
          <w:szCs w:val="20"/>
        </w:rPr>
        <w:t xml:space="preserve">se”); </w:t>
      </w:r>
      <w:r w:rsidRPr="002552EA">
        <w:rPr>
          <w:rFonts w:cstheme="minorHAnsi"/>
          <w:sz w:val="20"/>
          <w:szCs w:val="20"/>
        </w:rPr>
        <w:t xml:space="preserve">Objection to Amended Plan and Disclosure Statement, </w:t>
      </w:r>
      <w:r w:rsidRPr="002552EA">
        <w:rPr>
          <w:rFonts w:cstheme="minorHAnsi"/>
          <w:i/>
          <w:sz w:val="20"/>
          <w:szCs w:val="20"/>
        </w:rPr>
        <w:t xml:space="preserve">In re </w:t>
      </w:r>
      <w:r w:rsidRPr="00562E26">
        <w:rPr>
          <w:rFonts w:cstheme="minorHAnsi"/>
          <w:sz w:val="20"/>
          <w:szCs w:val="20"/>
        </w:rPr>
        <w:t>Levin</w:t>
      </w:r>
      <w:r w:rsidRPr="002552EA">
        <w:rPr>
          <w:rFonts w:cstheme="minorHAnsi"/>
          <w:i/>
          <w:sz w:val="20"/>
          <w:szCs w:val="20"/>
        </w:rPr>
        <w:t xml:space="preserve">, </w:t>
      </w:r>
      <w:r w:rsidRPr="002552EA">
        <w:rPr>
          <w:rFonts w:cstheme="minorHAnsi"/>
          <w:sz w:val="20"/>
          <w:szCs w:val="20"/>
        </w:rPr>
        <w:t xml:space="preserve">No. 10-33696 (Bankr. S.D. Fla. June 6, 2014) (Docket No. 739) (objection by the SEC, an unsecured creditor, to debtor’s failure to include in the disclosure statement “a discussion of the absolute priority rule” and an explanation of “why the Debtor’s Plan Contribution is a fair and reasonable resolution of the absolute priority issue”).  </w:t>
      </w:r>
    </w:p>
  </w:footnote>
  <w:footnote w:id="260">
    <w:p w14:paraId="4F2552D0" w14:textId="195DF8F6" w:rsidR="00560FBA" w:rsidRPr="00562E26" w:rsidRDefault="00560FBA">
      <w:pPr>
        <w:pStyle w:val="FootnoteText"/>
        <w:rPr>
          <w:sz w:val="20"/>
          <w:szCs w:val="20"/>
        </w:rPr>
      </w:pPr>
      <w:r w:rsidRPr="00562E26">
        <w:rPr>
          <w:rStyle w:val="FootnoteReference"/>
          <w:sz w:val="20"/>
          <w:szCs w:val="20"/>
        </w:rPr>
        <w:footnoteRef/>
      </w:r>
      <w:r w:rsidRPr="00562E26">
        <w:rPr>
          <w:sz w:val="20"/>
          <w:szCs w:val="20"/>
        </w:rPr>
        <w:t xml:space="preserve"> Plans were proposed</w:t>
      </w:r>
      <w:r>
        <w:rPr>
          <w:sz w:val="20"/>
          <w:szCs w:val="20"/>
        </w:rPr>
        <w:t xml:space="preserve"> in 134 cases, and there were twenty-nine</w:t>
      </w:r>
      <w:r w:rsidRPr="00562E26">
        <w:rPr>
          <w:sz w:val="20"/>
          <w:szCs w:val="20"/>
        </w:rPr>
        <w:t xml:space="preserve"> cases with objections</w:t>
      </w:r>
      <w:r>
        <w:rPr>
          <w:sz w:val="20"/>
          <w:szCs w:val="20"/>
        </w:rPr>
        <w:t xml:space="preserve">. That </w:t>
      </w:r>
      <w:r w:rsidRPr="00562E26">
        <w:rPr>
          <w:sz w:val="20"/>
          <w:szCs w:val="20"/>
        </w:rPr>
        <w:t xml:space="preserve">is an objection rate of 21.6%. </w:t>
      </w:r>
    </w:p>
  </w:footnote>
  <w:footnote w:id="261">
    <w:p w14:paraId="195E5DF6" w14:textId="1A2CBD9F"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Pr>
          <w:rFonts w:cstheme="minorHAnsi"/>
          <w:sz w:val="20"/>
          <w:szCs w:val="20"/>
        </w:rPr>
        <w:t xml:space="preserve"> In five</w:t>
      </w:r>
      <w:r w:rsidRPr="002552EA">
        <w:rPr>
          <w:rFonts w:cstheme="minorHAnsi"/>
          <w:sz w:val="20"/>
          <w:szCs w:val="20"/>
        </w:rPr>
        <w:t xml:space="preserve"> cases from 2013, an APR objection was raised and confirmation did not occu</w:t>
      </w:r>
      <w:r>
        <w:rPr>
          <w:rFonts w:cstheme="minorHAnsi"/>
          <w:sz w:val="20"/>
          <w:szCs w:val="20"/>
        </w:rPr>
        <w:t>r; two</w:t>
      </w:r>
      <w:r w:rsidRPr="002552EA">
        <w:rPr>
          <w:rFonts w:cstheme="minorHAnsi"/>
          <w:sz w:val="20"/>
          <w:szCs w:val="20"/>
        </w:rPr>
        <w:t xml:space="preserve"> of those </w:t>
      </w:r>
      <w:r>
        <w:rPr>
          <w:rFonts w:cstheme="minorHAnsi"/>
          <w:sz w:val="20"/>
          <w:szCs w:val="20"/>
        </w:rPr>
        <w:t>five</w:t>
      </w:r>
      <w:r w:rsidRPr="002552EA">
        <w:rPr>
          <w:rFonts w:cstheme="minorHAnsi"/>
          <w:sz w:val="20"/>
          <w:szCs w:val="20"/>
        </w:rPr>
        <w:t xml:space="preserve"> cases, however, are still open as of the writing of this Article and, thus, are not included in the figure in Column (C) of Table 51. </w:t>
      </w:r>
      <w:r w:rsidRPr="002552EA">
        <w:rPr>
          <w:rFonts w:cstheme="minorHAnsi"/>
          <w:i/>
          <w:sz w:val="20"/>
          <w:szCs w:val="20"/>
        </w:rPr>
        <w:t xml:space="preserve">See In re </w:t>
      </w:r>
      <w:r w:rsidRPr="00562E26">
        <w:rPr>
          <w:rFonts w:cstheme="minorHAnsi"/>
          <w:sz w:val="20"/>
          <w:szCs w:val="20"/>
        </w:rPr>
        <w:t>Blonder</w:t>
      </w:r>
      <w:r w:rsidRPr="002552EA">
        <w:rPr>
          <w:rFonts w:cstheme="minorHAnsi"/>
          <w:i/>
          <w:sz w:val="20"/>
          <w:szCs w:val="20"/>
        </w:rPr>
        <w:t xml:space="preserve">, </w:t>
      </w:r>
      <w:r w:rsidRPr="002552EA">
        <w:rPr>
          <w:rFonts w:cstheme="minorHAnsi"/>
          <w:sz w:val="20"/>
          <w:szCs w:val="20"/>
        </w:rPr>
        <w:t xml:space="preserve">No. 13-76658 (Bankr. N.D. Ga. Dec. 9, 2013); </w:t>
      </w:r>
      <w:r w:rsidRPr="002552EA">
        <w:rPr>
          <w:rFonts w:cstheme="minorHAnsi"/>
          <w:i/>
          <w:sz w:val="20"/>
          <w:szCs w:val="20"/>
        </w:rPr>
        <w:t xml:space="preserve">In re </w:t>
      </w:r>
      <w:r w:rsidRPr="00562E26">
        <w:rPr>
          <w:rFonts w:cstheme="minorHAnsi"/>
          <w:sz w:val="20"/>
          <w:szCs w:val="20"/>
        </w:rPr>
        <w:t>Lopez</w:t>
      </w:r>
      <w:r w:rsidRPr="002552EA">
        <w:rPr>
          <w:rFonts w:cstheme="minorHAnsi"/>
          <w:i/>
          <w:sz w:val="20"/>
          <w:szCs w:val="20"/>
        </w:rPr>
        <w:t xml:space="preserve">, </w:t>
      </w:r>
      <w:r w:rsidRPr="002552EA">
        <w:rPr>
          <w:rFonts w:cstheme="minorHAnsi"/>
          <w:sz w:val="20"/>
          <w:szCs w:val="20"/>
        </w:rPr>
        <w:t>No. 13-12</w:t>
      </w:r>
      <w:r>
        <w:rPr>
          <w:rFonts w:cstheme="minorHAnsi"/>
          <w:sz w:val="20"/>
          <w:szCs w:val="20"/>
        </w:rPr>
        <w:t>073</w:t>
      </w:r>
      <w:r w:rsidRPr="002552EA">
        <w:rPr>
          <w:rFonts w:cstheme="minorHAnsi"/>
          <w:sz w:val="20"/>
          <w:szCs w:val="20"/>
        </w:rPr>
        <w:t xml:space="preserve"> (Bankr.  </w:t>
      </w:r>
      <w:r>
        <w:rPr>
          <w:rFonts w:cstheme="minorHAnsi"/>
          <w:sz w:val="20"/>
          <w:szCs w:val="20"/>
        </w:rPr>
        <w:t>N.</w:t>
      </w:r>
      <w:r w:rsidRPr="002552EA">
        <w:rPr>
          <w:rFonts w:cstheme="minorHAnsi"/>
          <w:sz w:val="20"/>
          <w:szCs w:val="20"/>
        </w:rPr>
        <w:t xml:space="preserve">D. </w:t>
      </w:r>
      <w:r>
        <w:rPr>
          <w:rFonts w:cstheme="minorHAnsi"/>
          <w:sz w:val="20"/>
          <w:szCs w:val="20"/>
        </w:rPr>
        <w:t>Cal</w:t>
      </w:r>
      <w:r w:rsidRPr="002552EA">
        <w:rPr>
          <w:rFonts w:cstheme="minorHAnsi"/>
          <w:sz w:val="20"/>
          <w:szCs w:val="20"/>
        </w:rPr>
        <w:t xml:space="preserve">. </w:t>
      </w:r>
      <w:r>
        <w:rPr>
          <w:rFonts w:cstheme="minorHAnsi"/>
          <w:sz w:val="20"/>
          <w:szCs w:val="20"/>
        </w:rPr>
        <w:t>Nov. 12</w:t>
      </w:r>
      <w:r w:rsidRPr="002552EA">
        <w:rPr>
          <w:rFonts w:cstheme="minorHAnsi"/>
          <w:sz w:val="20"/>
          <w:szCs w:val="20"/>
        </w:rPr>
        <w:t xml:space="preserve">, 2013). The APR objection in </w:t>
      </w:r>
      <w:r w:rsidRPr="002552EA">
        <w:rPr>
          <w:rFonts w:cstheme="minorHAnsi"/>
          <w:i/>
          <w:sz w:val="20"/>
          <w:szCs w:val="20"/>
        </w:rPr>
        <w:t xml:space="preserve">Blonder </w:t>
      </w:r>
      <w:r w:rsidRPr="002552EA">
        <w:rPr>
          <w:rFonts w:cstheme="minorHAnsi"/>
          <w:sz w:val="20"/>
          <w:szCs w:val="20"/>
        </w:rPr>
        <w:t xml:space="preserve">was an objection to the adequacy of information in the disclosure statement. </w:t>
      </w:r>
      <w:r w:rsidRPr="00AC50E3">
        <w:rPr>
          <w:rFonts w:cstheme="minorHAnsi"/>
          <w:i/>
          <w:sz w:val="20"/>
          <w:szCs w:val="20"/>
        </w:rPr>
        <w:t xml:space="preserve">See supra </w:t>
      </w:r>
      <w:r w:rsidRPr="00AC50E3">
        <w:rPr>
          <w:rFonts w:cstheme="minorHAnsi"/>
          <w:sz w:val="20"/>
          <w:szCs w:val="20"/>
        </w:rPr>
        <w:t>note</w:t>
      </w:r>
      <w:r>
        <w:rPr>
          <w:rFonts w:cstheme="minorHAnsi"/>
          <w:sz w:val="20"/>
          <w:szCs w:val="20"/>
        </w:rPr>
        <w:t xml:space="preserve"> 259</w:t>
      </w:r>
      <w:r w:rsidRPr="002552EA">
        <w:rPr>
          <w:rFonts w:cstheme="minorHAnsi"/>
          <w:sz w:val="20"/>
          <w:szCs w:val="20"/>
        </w:rPr>
        <w:t xml:space="preserve">. In addition, as of the writing of this </w:t>
      </w:r>
      <w:r>
        <w:rPr>
          <w:rFonts w:cstheme="minorHAnsi"/>
          <w:sz w:val="20"/>
          <w:szCs w:val="20"/>
        </w:rPr>
        <w:t>Report</w:t>
      </w:r>
      <w:r w:rsidRPr="002552EA">
        <w:rPr>
          <w:rFonts w:cstheme="minorHAnsi"/>
          <w:sz w:val="20"/>
          <w:szCs w:val="20"/>
        </w:rPr>
        <w:t xml:space="preserve">, the creditor has withdrawn its objection and no further APR objections have been filed with the bankruptcy court. </w:t>
      </w:r>
      <w:r w:rsidRPr="002552EA">
        <w:rPr>
          <w:rFonts w:cstheme="minorHAnsi"/>
          <w:i/>
          <w:sz w:val="20"/>
          <w:szCs w:val="20"/>
        </w:rPr>
        <w:t xml:space="preserve">See </w:t>
      </w:r>
      <w:r w:rsidRPr="002552EA">
        <w:rPr>
          <w:rFonts w:cstheme="minorHAnsi"/>
          <w:sz w:val="20"/>
          <w:szCs w:val="20"/>
        </w:rPr>
        <w:t xml:space="preserve">Withdrawal of Objection to Disclosure Statement (Docket Entry No. 84), </w:t>
      </w:r>
      <w:r w:rsidRPr="002552EA">
        <w:rPr>
          <w:rFonts w:cstheme="minorHAnsi"/>
          <w:i/>
          <w:sz w:val="20"/>
          <w:szCs w:val="20"/>
        </w:rPr>
        <w:t xml:space="preserve">In re </w:t>
      </w:r>
      <w:r w:rsidRPr="00562E26">
        <w:rPr>
          <w:rFonts w:cstheme="minorHAnsi"/>
          <w:sz w:val="20"/>
          <w:szCs w:val="20"/>
        </w:rPr>
        <w:t>Blonder</w:t>
      </w:r>
      <w:r w:rsidRPr="002552EA">
        <w:rPr>
          <w:rFonts w:cstheme="minorHAnsi"/>
          <w:i/>
          <w:sz w:val="20"/>
          <w:szCs w:val="20"/>
        </w:rPr>
        <w:t xml:space="preserve">, </w:t>
      </w:r>
      <w:r w:rsidRPr="002552EA">
        <w:rPr>
          <w:rFonts w:cstheme="minorHAnsi"/>
          <w:sz w:val="20"/>
          <w:szCs w:val="20"/>
        </w:rPr>
        <w:t xml:space="preserve">No. 13-76658 (Bankr. N.D. Ga. April, 19, 2016) (Docket No. 215). </w:t>
      </w:r>
    </w:p>
  </w:footnote>
  <w:footnote w:id="262">
    <w:p w14:paraId="01226333" w14:textId="251A26B3" w:rsidR="00560FBA" w:rsidRPr="00562E26" w:rsidRDefault="00560FBA">
      <w:pPr>
        <w:pStyle w:val="FootnoteText"/>
        <w:rPr>
          <w:sz w:val="20"/>
          <w:szCs w:val="20"/>
        </w:rPr>
      </w:pPr>
      <w:r w:rsidRPr="00562E26">
        <w:rPr>
          <w:rStyle w:val="FootnoteReference"/>
          <w:sz w:val="20"/>
          <w:szCs w:val="20"/>
        </w:rPr>
        <w:footnoteRef/>
      </w:r>
      <w:r w:rsidRPr="00562E26">
        <w:rPr>
          <w:sz w:val="20"/>
          <w:szCs w:val="20"/>
        </w:rPr>
        <w:t xml:space="preserve"> This finding is somewhat at odds with our earlier results in Sections IV.A.2 and B.2. </w:t>
      </w:r>
      <w:r w:rsidRPr="00562E26">
        <w:rPr>
          <w:i/>
          <w:sz w:val="20"/>
          <w:szCs w:val="20"/>
        </w:rPr>
        <w:t xml:space="preserve">See, e.g., </w:t>
      </w:r>
      <w:r w:rsidRPr="00562E26">
        <w:rPr>
          <w:sz w:val="20"/>
          <w:szCs w:val="20"/>
        </w:rPr>
        <w:t xml:space="preserve">Tables 44 &amp; 45 (PACER data) and Tables 49 &amp; 50 (random sample data).  </w:t>
      </w:r>
    </w:p>
  </w:footnote>
  <w:footnote w:id="263">
    <w:p w14:paraId="54476442"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 xml:space="preserve">Order on Motion to Appoint Trustee and Objection to Confirmation, </w:t>
      </w:r>
      <w:r w:rsidRPr="002552EA">
        <w:rPr>
          <w:rFonts w:cstheme="minorHAnsi"/>
          <w:i/>
          <w:sz w:val="20"/>
          <w:szCs w:val="20"/>
        </w:rPr>
        <w:t xml:space="preserve">In re </w:t>
      </w:r>
      <w:r w:rsidRPr="00DB6286">
        <w:rPr>
          <w:rFonts w:cstheme="minorHAnsi"/>
          <w:sz w:val="20"/>
          <w:szCs w:val="20"/>
        </w:rPr>
        <w:t>Chlad</w:t>
      </w:r>
      <w:r w:rsidRPr="002552EA">
        <w:rPr>
          <w:rFonts w:cstheme="minorHAnsi"/>
          <w:i/>
          <w:sz w:val="20"/>
          <w:szCs w:val="20"/>
        </w:rPr>
        <w:t xml:space="preserve">, </w:t>
      </w:r>
      <w:r w:rsidRPr="002552EA">
        <w:rPr>
          <w:rFonts w:cstheme="minorHAnsi"/>
          <w:sz w:val="20"/>
          <w:szCs w:val="20"/>
        </w:rPr>
        <w:t xml:space="preserve">No. 13-40141 (Bankr. N.D. Ill. Oct. 6, 2014) (Docket No. 133) (sustaining unsecured creditors’ absolute priority rule objection to plan and denying confirmation). </w:t>
      </w:r>
    </w:p>
  </w:footnote>
  <w:footnote w:id="264">
    <w:p w14:paraId="51DE132A"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w:t>
      </w:r>
      <w:r w:rsidRPr="002552EA">
        <w:rPr>
          <w:rFonts w:cstheme="minorHAnsi"/>
          <w:sz w:val="20"/>
          <w:szCs w:val="20"/>
        </w:rPr>
        <w:t xml:space="preserve">Order Converting Case to Chapter 7, </w:t>
      </w:r>
      <w:r w:rsidRPr="002552EA">
        <w:rPr>
          <w:rFonts w:cstheme="minorHAnsi"/>
          <w:i/>
          <w:sz w:val="20"/>
          <w:szCs w:val="20"/>
        </w:rPr>
        <w:t xml:space="preserve">In re </w:t>
      </w:r>
      <w:r w:rsidRPr="00DB6286">
        <w:rPr>
          <w:rFonts w:cstheme="minorHAnsi"/>
          <w:sz w:val="20"/>
          <w:szCs w:val="20"/>
        </w:rPr>
        <w:t>Sandford</w:t>
      </w:r>
      <w:r w:rsidRPr="002552EA">
        <w:rPr>
          <w:rFonts w:cstheme="minorHAnsi"/>
          <w:i/>
          <w:sz w:val="20"/>
          <w:szCs w:val="20"/>
        </w:rPr>
        <w:t xml:space="preserve">, </w:t>
      </w:r>
      <w:r w:rsidRPr="002552EA">
        <w:rPr>
          <w:rFonts w:cstheme="minorHAnsi"/>
          <w:sz w:val="20"/>
          <w:szCs w:val="20"/>
        </w:rPr>
        <w:t>No. 10-14424 (Bankr. D. N.M. Oct. 18, 2013) (Docket No. 349) (converting case to chapter 7 and referencing earlier stipulation, which provided for immediate conversion to chapter 7 if debtor failed to comply with terms of stipulated order and secured creditor filed notice of default).</w:t>
      </w:r>
    </w:p>
  </w:footnote>
  <w:footnote w:id="265">
    <w:p w14:paraId="4F920E45"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w:t>
      </w:r>
      <w:r w:rsidRPr="002552EA">
        <w:rPr>
          <w:rFonts w:cstheme="minorHAnsi"/>
          <w:sz w:val="20"/>
          <w:szCs w:val="20"/>
        </w:rPr>
        <w:t xml:space="preserve">Order Denying Confirmation and Converting Chapter 11 Case to Chapter 7, </w:t>
      </w:r>
      <w:r w:rsidRPr="002552EA">
        <w:rPr>
          <w:rFonts w:cstheme="minorHAnsi"/>
          <w:i/>
          <w:sz w:val="20"/>
          <w:szCs w:val="20"/>
        </w:rPr>
        <w:t xml:space="preserve">In re </w:t>
      </w:r>
      <w:r w:rsidRPr="00DB6286">
        <w:rPr>
          <w:rFonts w:cstheme="minorHAnsi"/>
          <w:sz w:val="20"/>
          <w:szCs w:val="20"/>
        </w:rPr>
        <w:t>Drabin</w:t>
      </w:r>
      <w:r w:rsidRPr="002552EA">
        <w:rPr>
          <w:rFonts w:cstheme="minorHAnsi"/>
          <w:i/>
          <w:sz w:val="20"/>
          <w:szCs w:val="20"/>
        </w:rPr>
        <w:t xml:space="preserve">, </w:t>
      </w:r>
      <w:r w:rsidRPr="002552EA">
        <w:rPr>
          <w:rFonts w:cstheme="minorHAnsi"/>
          <w:sz w:val="20"/>
          <w:szCs w:val="20"/>
        </w:rPr>
        <w:t xml:space="preserve">No. 10-16315 (Bankr. M.D. Fla. Jan. 20, 2011) (Docket No. 96) (denying confirmation and converting case to chapter 7 “[f]or the reasons stated orally and recorded in open court”). </w:t>
      </w:r>
    </w:p>
  </w:footnote>
  <w:footnote w:id="266">
    <w:p w14:paraId="313A4901" w14:textId="5B2F17EF"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 xml:space="preserve">Order Converting Case Under Chapter 11 to Case Under Chapter 7, </w:t>
      </w:r>
      <w:r w:rsidRPr="002552EA">
        <w:rPr>
          <w:rFonts w:cstheme="minorHAnsi"/>
          <w:i/>
          <w:sz w:val="20"/>
          <w:szCs w:val="20"/>
        </w:rPr>
        <w:t xml:space="preserve">In re </w:t>
      </w:r>
      <w:r w:rsidRPr="00DB6286">
        <w:rPr>
          <w:rFonts w:cstheme="minorHAnsi"/>
          <w:sz w:val="20"/>
          <w:szCs w:val="20"/>
        </w:rPr>
        <w:t>Wrieden</w:t>
      </w:r>
      <w:r w:rsidRPr="002552EA">
        <w:rPr>
          <w:rFonts w:cstheme="minorHAnsi"/>
          <w:i/>
          <w:sz w:val="20"/>
          <w:szCs w:val="20"/>
        </w:rPr>
        <w:t xml:space="preserve">, </w:t>
      </w:r>
      <w:r w:rsidRPr="002552EA">
        <w:rPr>
          <w:rFonts w:cstheme="minorHAnsi"/>
          <w:sz w:val="20"/>
          <w:szCs w:val="20"/>
        </w:rPr>
        <w:t>No. 13-32636 (Bankr. S.D. Fla. Sept. 10, 2014) (Docket No. 143) (granting motion o</w:t>
      </w:r>
      <w:r>
        <w:rPr>
          <w:rFonts w:cstheme="minorHAnsi"/>
          <w:sz w:val="20"/>
          <w:szCs w:val="20"/>
        </w:rPr>
        <w:t xml:space="preserve">f U.S. Trustee to convert case </w:t>
      </w:r>
      <w:r w:rsidRPr="002552EA">
        <w:rPr>
          <w:rFonts w:cstheme="minorHAnsi"/>
          <w:sz w:val="20"/>
          <w:szCs w:val="20"/>
        </w:rPr>
        <w:t xml:space="preserve">and noting that the debtor “is unable to propose a confirmable plan of reorganization and therefore agrees to conversion”); Order Dismissing Chapter 11 Case, </w:t>
      </w:r>
      <w:r w:rsidRPr="002552EA">
        <w:rPr>
          <w:rFonts w:cstheme="minorHAnsi"/>
          <w:i/>
          <w:sz w:val="20"/>
          <w:szCs w:val="20"/>
        </w:rPr>
        <w:t xml:space="preserve">In re </w:t>
      </w:r>
      <w:r w:rsidRPr="00DB6286">
        <w:rPr>
          <w:rFonts w:cstheme="minorHAnsi"/>
          <w:sz w:val="20"/>
          <w:szCs w:val="20"/>
        </w:rPr>
        <w:t>Abraham</w:t>
      </w:r>
      <w:r w:rsidRPr="002552EA">
        <w:rPr>
          <w:rFonts w:cstheme="minorHAnsi"/>
          <w:i/>
          <w:sz w:val="20"/>
          <w:szCs w:val="20"/>
        </w:rPr>
        <w:t xml:space="preserve">, </w:t>
      </w:r>
      <w:r w:rsidRPr="002552EA">
        <w:rPr>
          <w:rFonts w:cstheme="minorHAnsi"/>
          <w:sz w:val="20"/>
          <w:szCs w:val="20"/>
        </w:rPr>
        <w:t>No. 10-11953 (Bankr. M.D. Fla. Nov. 17, 2011) (Docket No. 93) (dismissing case at hearing for plan confirmation at which time debtor’s attorney informed court that debtor “was unable to prosecute t</w:t>
      </w:r>
      <w:r>
        <w:rPr>
          <w:rFonts w:cstheme="minorHAnsi"/>
          <w:sz w:val="20"/>
          <w:szCs w:val="20"/>
        </w:rPr>
        <w:t>h</w:t>
      </w:r>
      <w:r w:rsidRPr="002552EA">
        <w:rPr>
          <w:rFonts w:cstheme="minorHAnsi"/>
          <w:sz w:val="20"/>
          <w:szCs w:val="20"/>
        </w:rPr>
        <w:t xml:space="preserve">e plan to confirmation”). </w:t>
      </w:r>
    </w:p>
  </w:footnote>
  <w:footnote w:id="267">
    <w:p w14:paraId="240F8056" w14:textId="34A4E40A"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Cf. </w:t>
      </w:r>
      <w:r w:rsidRPr="002552EA">
        <w:rPr>
          <w:rFonts w:cstheme="minorHAnsi"/>
          <w:sz w:val="20"/>
          <w:szCs w:val="20"/>
        </w:rPr>
        <w:t>Objection by the U.S. Securities and Exchange Commission to Debtor’s Disclosure Statement for Debtor’s Amended Plan of Reorganization ¶¶</w:t>
      </w:r>
      <w:r>
        <w:rPr>
          <w:rFonts w:cstheme="minorHAnsi"/>
          <w:sz w:val="20"/>
          <w:szCs w:val="20"/>
        </w:rPr>
        <w:t> </w:t>
      </w:r>
      <w:r w:rsidRPr="002552EA">
        <w:rPr>
          <w:rFonts w:cstheme="minorHAnsi"/>
          <w:sz w:val="20"/>
          <w:szCs w:val="20"/>
        </w:rPr>
        <w:t xml:space="preserve">17B &amp; C, </w:t>
      </w:r>
      <w:r w:rsidRPr="002552EA">
        <w:rPr>
          <w:rFonts w:cstheme="minorHAnsi"/>
          <w:i/>
          <w:sz w:val="20"/>
          <w:szCs w:val="20"/>
        </w:rPr>
        <w:t xml:space="preserve">In re </w:t>
      </w:r>
      <w:r w:rsidRPr="00DB6286">
        <w:rPr>
          <w:rFonts w:cstheme="minorHAnsi"/>
          <w:sz w:val="20"/>
          <w:szCs w:val="20"/>
        </w:rPr>
        <w:t>Levin</w:t>
      </w:r>
      <w:r w:rsidRPr="002552EA">
        <w:rPr>
          <w:rFonts w:cstheme="minorHAnsi"/>
          <w:i/>
          <w:sz w:val="20"/>
          <w:szCs w:val="20"/>
        </w:rPr>
        <w:t xml:space="preserve">, </w:t>
      </w:r>
      <w:r w:rsidRPr="002552EA">
        <w:rPr>
          <w:rFonts w:cstheme="minorHAnsi"/>
          <w:sz w:val="20"/>
          <w:szCs w:val="20"/>
        </w:rPr>
        <w:t>No. 10-33696 (Bankr. S.D. Fla. June 6, 2014) (Docket No. 739) (citations omitted) (unsecured creditor SEC objected to the adequacy of debtor’s disclosure statement on several grounds, including failure of the disclosure statement to (1) explain how the debtor intended to satisfy § 1129(a)(15) if an unsecured creditor objected to the plan and (2) “include a discussion of the absolute priority rule, which likely will be applicable if the Debtor retains property when his creditors are not paid in full”).</w:t>
      </w:r>
    </w:p>
  </w:footnote>
  <w:footnote w:id="268">
    <w:p w14:paraId="01BB15F9"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No. 10-11953 (Bankr. M.D. Fla. May 20, 2010). </w:t>
      </w:r>
    </w:p>
  </w:footnote>
  <w:footnote w:id="269">
    <w:p w14:paraId="0146A3D0" w14:textId="4971B643"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United States Trustee’s Objection to the Confirmation of the Individual Debtor’s Amended Plan of Reorganization Filed November 1, 2010, </w:t>
      </w:r>
      <w:r w:rsidRPr="002552EA">
        <w:rPr>
          <w:rFonts w:cstheme="minorHAnsi"/>
          <w:i/>
          <w:sz w:val="20"/>
          <w:szCs w:val="20"/>
        </w:rPr>
        <w:t xml:space="preserve">In re </w:t>
      </w:r>
      <w:r w:rsidRPr="00DB6286">
        <w:rPr>
          <w:rFonts w:cstheme="minorHAnsi"/>
          <w:sz w:val="20"/>
          <w:szCs w:val="20"/>
        </w:rPr>
        <w:t>Abraham</w:t>
      </w:r>
      <w:r w:rsidRPr="002552EA">
        <w:rPr>
          <w:rFonts w:cstheme="minorHAnsi"/>
          <w:i/>
          <w:sz w:val="20"/>
          <w:szCs w:val="20"/>
        </w:rPr>
        <w:t xml:space="preserve">, </w:t>
      </w:r>
      <w:r w:rsidRPr="002552EA">
        <w:rPr>
          <w:rFonts w:cstheme="minorHAnsi"/>
          <w:sz w:val="20"/>
          <w:szCs w:val="20"/>
        </w:rPr>
        <w:t xml:space="preserve">No. 10-11953 (Bankr. M.D. Fla. Mar. 23, 2011) (Docket No. 66); </w:t>
      </w:r>
      <w:r w:rsidRPr="002552EA">
        <w:rPr>
          <w:rFonts w:cstheme="minorHAnsi"/>
          <w:i/>
          <w:sz w:val="20"/>
          <w:szCs w:val="20"/>
        </w:rPr>
        <w:t xml:space="preserve">see also </w:t>
      </w:r>
      <w:r w:rsidRPr="002552EA">
        <w:rPr>
          <w:rFonts w:cstheme="minorHAnsi"/>
          <w:sz w:val="20"/>
          <w:szCs w:val="20"/>
        </w:rPr>
        <w:t>Marvin O. Clark’s Objection to Confirmation of Debtors’ Plan of Reorganization ¶¶</w:t>
      </w:r>
      <w:r>
        <w:rPr>
          <w:rFonts w:cstheme="minorHAnsi"/>
          <w:sz w:val="20"/>
          <w:szCs w:val="20"/>
        </w:rPr>
        <w:t> </w:t>
      </w:r>
      <w:r w:rsidRPr="002552EA">
        <w:rPr>
          <w:rFonts w:cstheme="minorHAnsi"/>
          <w:sz w:val="20"/>
          <w:szCs w:val="20"/>
        </w:rPr>
        <w:t xml:space="preserve">3, 10, </w:t>
      </w:r>
      <w:r w:rsidRPr="002552EA">
        <w:rPr>
          <w:rFonts w:cstheme="minorHAnsi"/>
          <w:i/>
          <w:sz w:val="20"/>
          <w:szCs w:val="20"/>
        </w:rPr>
        <w:t xml:space="preserve">In re </w:t>
      </w:r>
      <w:r w:rsidRPr="00DB6286">
        <w:rPr>
          <w:rFonts w:cstheme="minorHAnsi"/>
          <w:sz w:val="20"/>
          <w:szCs w:val="20"/>
        </w:rPr>
        <w:t>Drabin</w:t>
      </w:r>
      <w:r w:rsidRPr="002552EA">
        <w:rPr>
          <w:rFonts w:cstheme="minorHAnsi"/>
          <w:i/>
          <w:sz w:val="20"/>
          <w:szCs w:val="20"/>
        </w:rPr>
        <w:t xml:space="preserve">, </w:t>
      </w:r>
      <w:r w:rsidRPr="002552EA">
        <w:rPr>
          <w:rFonts w:cstheme="minorHAnsi"/>
          <w:sz w:val="20"/>
          <w:szCs w:val="20"/>
        </w:rPr>
        <w:t>No. 10-16315 (Bankr. M.D. Fla. Jan. 13, 2011) (Docket No. 89) (objecting to plan confirmation and stating that debtors’ plan “fail[ed] to comply with 11 U.S.C. § 1129(a)(1), (2), (3), (7), (8), (10) and (11)” and also did “not satisfy the absolute priority rule”).</w:t>
      </w:r>
    </w:p>
  </w:footnote>
  <w:footnote w:id="270">
    <w:p w14:paraId="0E071871" w14:textId="03D79C55"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w:t>
      </w:r>
      <w:r w:rsidRPr="002552EA">
        <w:rPr>
          <w:rFonts w:cstheme="minorHAnsi"/>
          <w:sz w:val="20"/>
          <w:szCs w:val="20"/>
        </w:rPr>
        <w:t xml:space="preserve">Amended Report of Balloting for Plan of Reorganization at 1-2, </w:t>
      </w:r>
      <w:r w:rsidRPr="002552EA">
        <w:rPr>
          <w:rFonts w:cstheme="minorHAnsi"/>
          <w:i/>
          <w:sz w:val="20"/>
          <w:szCs w:val="20"/>
        </w:rPr>
        <w:t xml:space="preserve">In re </w:t>
      </w:r>
      <w:r w:rsidRPr="00DB6286">
        <w:rPr>
          <w:rFonts w:cstheme="minorHAnsi"/>
          <w:sz w:val="20"/>
          <w:szCs w:val="20"/>
        </w:rPr>
        <w:t>Blackbird</w:t>
      </w:r>
      <w:r w:rsidRPr="002552EA">
        <w:rPr>
          <w:rFonts w:cstheme="minorHAnsi"/>
          <w:i/>
          <w:sz w:val="20"/>
          <w:szCs w:val="20"/>
        </w:rPr>
        <w:t xml:space="preserve">, </w:t>
      </w:r>
      <w:r w:rsidRPr="002552EA">
        <w:rPr>
          <w:rFonts w:cstheme="minorHAnsi"/>
          <w:sz w:val="20"/>
          <w:szCs w:val="20"/>
        </w:rPr>
        <w:t>No. 13-18854 (Bankr. D. Nev. Mar. 5, 2015) (Docket No. 115) (showing that Class 7, impaired class of general unsecured creditors, voted to accept plan); Order Confirming Debtor’s Fourth Amended Plan of Reorganization [ECF No. 897] ¶</w:t>
      </w:r>
      <w:r>
        <w:rPr>
          <w:rFonts w:cstheme="minorHAnsi"/>
          <w:sz w:val="20"/>
          <w:szCs w:val="20"/>
        </w:rPr>
        <w:t> </w:t>
      </w:r>
      <w:r w:rsidRPr="002552EA">
        <w:rPr>
          <w:rFonts w:cstheme="minorHAnsi"/>
          <w:sz w:val="20"/>
          <w:szCs w:val="20"/>
        </w:rPr>
        <w:t xml:space="preserve">F, </w:t>
      </w:r>
      <w:r w:rsidRPr="002552EA">
        <w:rPr>
          <w:rFonts w:cstheme="minorHAnsi"/>
          <w:i/>
          <w:sz w:val="20"/>
          <w:szCs w:val="20"/>
        </w:rPr>
        <w:t xml:space="preserve">In re </w:t>
      </w:r>
      <w:r w:rsidRPr="00DB6286">
        <w:rPr>
          <w:rFonts w:cstheme="minorHAnsi"/>
          <w:sz w:val="20"/>
          <w:szCs w:val="20"/>
        </w:rPr>
        <w:t>Levin</w:t>
      </w:r>
      <w:r w:rsidRPr="002552EA">
        <w:rPr>
          <w:rFonts w:cstheme="minorHAnsi"/>
          <w:i/>
          <w:sz w:val="20"/>
          <w:szCs w:val="20"/>
        </w:rPr>
        <w:t xml:space="preserve">, </w:t>
      </w:r>
      <w:r w:rsidRPr="002552EA">
        <w:rPr>
          <w:rFonts w:cstheme="minorHAnsi"/>
          <w:sz w:val="20"/>
          <w:szCs w:val="20"/>
        </w:rPr>
        <w:t xml:space="preserve">No. 10-33696 (Bankr. S.D. Fla. Aug. 25, 2014) (Docket No. 907) (stating that the “only class of claims impaired” under debtor’s plan, which was the class of general unsecured creditors, had accepted the plan); Amended Summary of Ballots, </w:t>
      </w:r>
      <w:r w:rsidRPr="002552EA">
        <w:rPr>
          <w:rFonts w:cstheme="minorHAnsi"/>
          <w:i/>
          <w:sz w:val="20"/>
          <w:szCs w:val="20"/>
        </w:rPr>
        <w:t xml:space="preserve">In re </w:t>
      </w:r>
      <w:r w:rsidRPr="00DB6286">
        <w:rPr>
          <w:rFonts w:cstheme="minorHAnsi"/>
          <w:sz w:val="20"/>
          <w:szCs w:val="20"/>
        </w:rPr>
        <w:t>Rast</w:t>
      </w:r>
      <w:r w:rsidRPr="002552EA">
        <w:rPr>
          <w:rFonts w:cstheme="minorHAnsi"/>
          <w:i/>
          <w:sz w:val="20"/>
          <w:szCs w:val="20"/>
        </w:rPr>
        <w:t xml:space="preserve">, </w:t>
      </w:r>
      <w:r w:rsidRPr="002552EA">
        <w:rPr>
          <w:rFonts w:cstheme="minorHAnsi"/>
          <w:sz w:val="20"/>
          <w:szCs w:val="20"/>
        </w:rPr>
        <w:t xml:space="preserve">No. 13-11233 (Bankr. E.D. Tenn. May 13, 2014) (Docket No. 85) (showing that impaired class of unsecured creditors voted to accept plan); Order Confirming Debtor’s Chapter 11 Plan of Reorganization at 1, </w:t>
      </w:r>
      <w:r w:rsidRPr="002552EA">
        <w:rPr>
          <w:rFonts w:cstheme="minorHAnsi"/>
          <w:i/>
          <w:sz w:val="20"/>
          <w:szCs w:val="20"/>
        </w:rPr>
        <w:t xml:space="preserve">In re </w:t>
      </w:r>
      <w:r w:rsidRPr="00DB6286">
        <w:rPr>
          <w:rFonts w:cstheme="minorHAnsi"/>
          <w:sz w:val="20"/>
          <w:szCs w:val="20"/>
        </w:rPr>
        <w:t>Ravipati</w:t>
      </w:r>
      <w:r w:rsidRPr="002552EA">
        <w:rPr>
          <w:rFonts w:cstheme="minorHAnsi"/>
          <w:i/>
          <w:sz w:val="20"/>
          <w:szCs w:val="20"/>
        </w:rPr>
        <w:t xml:space="preserve">, </w:t>
      </w:r>
      <w:r w:rsidRPr="002552EA">
        <w:rPr>
          <w:rFonts w:cstheme="minorHAnsi"/>
          <w:sz w:val="20"/>
          <w:szCs w:val="20"/>
        </w:rPr>
        <w:t>No. 13-82145 (Bankr. N.D. Ala. Apr. 7, 2014) (Docket No. 142) (explaining that sole unsecured creditor in impaired unsecured creditor class to vote on the plan had “change[d] its ballot from ‘no’ to ‘yes’ in favor of the Debtor’s Plan as amended”); Order Confirming Debtors’ Fifth Amended Plan of Reorganization ¶</w:t>
      </w:r>
      <w:r>
        <w:rPr>
          <w:rFonts w:cstheme="minorHAnsi"/>
          <w:sz w:val="20"/>
          <w:szCs w:val="20"/>
        </w:rPr>
        <w:t> </w:t>
      </w:r>
      <w:r w:rsidRPr="002552EA">
        <w:rPr>
          <w:rFonts w:cstheme="minorHAnsi"/>
          <w:sz w:val="20"/>
          <w:szCs w:val="20"/>
        </w:rPr>
        <w:t xml:space="preserve">11, </w:t>
      </w:r>
      <w:r w:rsidRPr="002552EA">
        <w:rPr>
          <w:rFonts w:cstheme="minorHAnsi"/>
          <w:i/>
          <w:sz w:val="20"/>
          <w:szCs w:val="20"/>
        </w:rPr>
        <w:t xml:space="preserve">In re </w:t>
      </w:r>
      <w:r w:rsidRPr="00DB6286">
        <w:rPr>
          <w:rFonts w:cstheme="minorHAnsi"/>
          <w:sz w:val="20"/>
          <w:szCs w:val="20"/>
        </w:rPr>
        <w:t>Nissley</w:t>
      </w:r>
      <w:r w:rsidRPr="002552EA">
        <w:rPr>
          <w:rFonts w:cstheme="minorHAnsi"/>
          <w:i/>
          <w:sz w:val="20"/>
          <w:szCs w:val="20"/>
        </w:rPr>
        <w:t xml:space="preserve">, </w:t>
      </w:r>
      <w:r w:rsidRPr="002552EA">
        <w:rPr>
          <w:rFonts w:cstheme="minorHAnsi"/>
          <w:sz w:val="20"/>
          <w:szCs w:val="20"/>
        </w:rPr>
        <w:t>No. 10-14372  (Bankr. S.D. Ind. Oct. 17, 2013) (Docket No. 335) (stating that “all classes of impaired claims . . .  have all accepted the Plan”, with the class of unsecured creditors being one of those impaired classes); Order Confirming Plan ¶</w:t>
      </w:r>
      <w:r>
        <w:rPr>
          <w:rFonts w:cstheme="minorHAnsi"/>
          <w:sz w:val="20"/>
          <w:szCs w:val="20"/>
        </w:rPr>
        <w:t> </w:t>
      </w:r>
      <w:r w:rsidRPr="002552EA">
        <w:rPr>
          <w:rFonts w:cstheme="minorHAnsi"/>
          <w:sz w:val="20"/>
          <w:szCs w:val="20"/>
        </w:rPr>
        <w:t xml:space="preserve">1, </w:t>
      </w:r>
      <w:r w:rsidRPr="002552EA">
        <w:rPr>
          <w:rFonts w:cstheme="minorHAnsi"/>
          <w:i/>
          <w:sz w:val="20"/>
          <w:szCs w:val="20"/>
        </w:rPr>
        <w:t xml:space="preserve">In re </w:t>
      </w:r>
      <w:r w:rsidRPr="00DB6286">
        <w:rPr>
          <w:rFonts w:cstheme="minorHAnsi"/>
          <w:sz w:val="20"/>
          <w:szCs w:val="20"/>
        </w:rPr>
        <w:t>Hines</w:t>
      </w:r>
      <w:r w:rsidRPr="002552EA">
        <w:rPr>
          <w:rFonts w:cstheme="minorHAnsi"/>
          <w:i/>
          <w:sz w:val="20"/>
          <w:szCs w:val="20"/>
        </w:rPr>
        <w:t xml:space="preserve">, </w:t>
      </w:r>
      <w:r w:rsidRPr="002552EA">
        <w:rPr>
          <w:rFonts w:cstheme="minorHAnsi"/>
          <w:sz w:val="20"/>
          <w:szCs w:val="20"/>
        </w:rPr>
        <w:t xml:space="preserve">No. 13-00298 (Bankr. E.D. N.C. May 29, 2013) (Docket No. 63) (stating that Class 13, the impaired class of general unsecured creditors, had voted to accept the plan). In at least one case, </w:t>
      </w:r>
      <w:r w:rsidRPr="002552EA">
        <w:rPr>
          <w:rFonts w:cstheme="minorHAnsi"/>
          <w:i/>
          <w:sz w:val="20"/>
          <w:szCs w:val="20"/>
        </w:rPr>
        <w:t xml:space="preserve">In re </w:t>
      </w:r>
      <w:r w:rsidRPr="00350397">
        <w:rPr>
          <w:rFonts w:cstheme="minorHAnsi"/>
          <w:i/>
          <w:sz w:val="20"/>
          <w:szCs w:val="20"/>
        </w:rPr>
        <w:t>McPhail</w:t>
      </w:r>
      <w:r w:rsidRPr="002552EA">
        <w:rPr>
          <w:rFonts w:cstheme="minorHAnsi"/>
          <w:i/>
          <w:sz w:val="20"/>
          <w:szCs w:val="20"/>
        </w:rPr>
        <w:t xml:space="preserve">, </w:t>
      </w:r>
      <w:r w:rsidRPr="002552EA">
        <w:rPr>
          <w:rFonts w:cstheme="minorHAnsi"/>
          <w:sz w:val="20"/>
          <w:szCs w:val="20"/>
        </w:rPr>
        <w:t xml:space="preserve">No. 13-04110 (Bankr. E.D. N.C. July 1, 2013), </w:t>
      </w:r>
      <w:r w:rsidRPr="002552EA">
        <w:rPr>
          <w:rFonts w:cstheme="minorHAnsi"/>
          <w:i/>
          <w:sz w:val="20"/>
          <w:szCs w:val="20"/>
        </w:rPr>
        <w:t xml:space="preserve"> </w:t>
      </w:r>
      <w:r w:rsidRPr="002552EA">
        <w:rPr>
          <w:rFonts w:cstheme="minorHAnsi"/>
          <w:sz w:val="20"/>
          <w:szCs w:val="20"/>
        </w:rPr>
        <w:t xml:space="preserve">the Bankruptcy Administrator raised the absolute priority rule as an issue for plan confirmation if the unsecured creditors voted to reject the plan, asking “[h]ow is it fair to allow the debtors to keep a business, multiple properties, a Range Rover, a large settlement, and pay only a 1.1% dividend to unsecured creditors?”  </w:t>
      </w:r>
      <w:r w:rsidRPr="002552EA">
        <w:rPr>
          <w:rFonts w:cstheme="minorHAnsi"/>
          <w:i/>
          <w:sz w:val="20"/>
          <w:szCs w:val="20"/>
        </w:rPr>
        <w:t xml:space="preserve">See </w:t>
      </w:r>
      <w:r w:rsidRPr="002552EA">
        <w:rPr>
          <w:rFonts w:cstheme="minorHAnsi"/>
          <w:sz w:val="20"/>
          <w:szCs w:val="20"/>
        </w:rPr>
        <w:t>Response to Confirmation and Approval of Disclosure Statement ¶</w:t>
      </w:r>
      <w:r>
        <w:rPr>
          <w:rFonts w:cstheme="minorHAnsi"/>
          <w:sz w:val="20"/>
          <w:szCs w:val="20"/>
        </w:rPr>
        <w:t> </w:t>
      </w:r>
      <w:r w:rsidRPr="002552EA">
        <w:rPr>
          <w:rFonts w:cstheme="minorHAnsi"/>
          <w:sz w:val="20"/>
          <w:szCs w:val="20"/>
        </w:rPr>
        <w:t xml:space="preserve">17, </w:t>
      </w:r>
      <w:r w:rsidRPr="002552EA">
        <w:rPr>
          <w:rFonts w:cstheme="minorHAnsi"/>
          <w:i/>
          <w:sz w:val="20"/>
          <w:szCs w:val="20"/>
        </w:rPr>
        <w:t xml:space="preserve">In re </w:t>
      </w:r>
      <w:r w:rsidRPr="00DB6286">
        <w:rPr>
          <w:rFonts w:cstheme="minorHAnsi"/>
          <w:sz w:val="20"/>
          <w:szCs w:val="20"/>
        </w:rPr>
        <w:t>McPhail</w:t>
      </w:r>
      <w:r w:rsidRPr="002552EA">
        <w:rPr>
          <w:rFonts w:cstheme="minorHAnsi"/>
          <w:i/>
          <w:sz w:val="20"/>
          <w:szCs w:val="20"/>
        </w:rPr>
        <w:t xml:space="preserve">, </w:t>
      </w:r>
      <w:r w:rsidRPr="002552EA">
        <w:rPr>
          <w:rFonts w:cstheme="minorHAnsi"/>
          <w:sz w:val="20"/>
          <w:szCs w:val="20"/>
        </w:rPr>
        <w:t xml:space="preserve">No. 13-04410 (Bankr. E.D. N.C. Nov. 12, 2103) (Docket No. 48). Nonetheless, the unsecured creditors voted to accept the plan, even though the debtors did not increase the dividend paid to the unsecured creditor class.  </w:t>
      </w:r>
      <w:r w:rsidRPr="002552EA">
        <w:rPr>
          <w:rFonts w:cstheme="minorHAnsi"/>
          <w:i/>
          <w:sz w:val="20"/>
          <w:szCs w:val="20"/>
        </w:rPr>
        <w:t xml:space="preserve">See </w:t>
      </w:r>
      <w:r w:rsidRPr="002552EA">
        <w:rPr>
          <w:rFonts w:cstheme="minorHAnsi"/>
          <w:sz w:val="20"/>
          <w:szCs w:val="20"/>
        </w:rPr>
        <w:t xml:space="preserve">Summary of Ballots, </w:t>
      </w:r>
      <w:r w:rsidRPr="002552EA">
        <w:rPr>
          <w:rFonts w:cstheme="minorHAnsi"/>
          <w:i/>
          <w:sz w:val="20"/>
          <w:szCs w:val="20"/>
        </w:rPr>
        <w:t xml:space="preserve">In re </w:t>
      </w:r>
      <w:r w:rsidRPr="00DB6286">
        <w:rPr>
          <w:rFonts w:cstheme="minorHAnsi"/>
          <w:sz w:val="20"/>
          <w:szCs w:val="20"/>
        </w:rPr>
        <w:t>McPhail</w:t>
      </w:r>
      <w:r w:rsidRPr="002552EA">
        <w:rPr>
          <w:rFonts w:cstheme="minorHAnsi"/>
          <w:i/>
          <w:sz w:val="20"/>
          <w:szCs w:val="20"/>
        </w:rPr>
        <w:t xml:space="preserve">, </w:t>
      </w:r>
      <w:r w:rsidRPr="002552EA">
        <w:rPr>
          <w:rFonts w:cstheme="minorHAnsi"/>
          <w:sz w:val="20"/>
          <w:szCs w:val="20"/>
        </w:rPr>
        <w:t>No. 13-04110 (Bankr. E.D. N.C. Nov. 18, 2013) (Docket No. 53) (showing Class X, the unsecured creditor class, as accepted the plan).</w:t>
      </w:r>
    </w:p>
  </w:footnote>
  <w:footnote w:id="271">
    <w:p w14:paraId="6DDA481A" w14:textId="562894A5" w:rsidR="00560FBA" w:rsidRPr="00DB6286" w:rsidRDefault="00560FBA">
      <w:pPr>
        <w:pStyle w:val="FootnoteText"/>
        <w:rPr>
          <w:sz w:val="20"/>
          <w:szCs w:val="20"/>
        </w:rPr>
      </w:pPr>
      <w:r w:rsidRPr="00DB6286">
        <w:rPr>
          <w:rStyle w:val="FootnoteReference"/>
          <w:sz w:val="20"/>
          <w:szCs w:val="20"/>
        </w:rPr>
        <w:footnoteRef/>
      </w:r>
      <w:r w:rsidRPr="00DB6286">
        <w:rPr>
          <w:sz w:val="20"/>
          <w:szCs w:val="20"/>
        </w:rPr>
        <w:t xml:space="preserve"> This possibility is discussed more extensively in Appendix B.</w:t>
      </w:r>
    </w:p>
  </w:footnote>
  <w:footnote w:id="272">
    <w:p w14:paraId="6C524846"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No. 10-10080 (Bankr. M.D. Ala. Jan. 19, 2010).</w:t>
      </w:r>
    </w:p>
  </w:footnote>
  <w:footnote w:id="273">
    <w:p w14:paraId="2BAB9274"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Chapter 11 Plan of Reorganization of Ryan William Stickler Dated November 16, 2010 at 13, </w:t>
      </w:r>
      <w:r w:rsidRPr="002552EA">
        <w:rPr>
          <w:rFonts w:cstheme="minorHAnsi"/>
          <w:i/>
          <w:sz w:val="20"/>
          <w:szCs w:val="20"/>
        </w:rPr>
        <w:t xml:space="preserve">In re </w:t>
      </w:r>
      <w:r w:rsidRPr="00DB6286">
        <w:rPr>
          <w:rFonts w:cstheme="minorHAnsi"/>
          <w:sz w:val="20"/>
          <w:szCs w:val="20"/>
        </w:rPr>
        <w:t>Stickler</w:t>
      </w:r>
      <w:r w:rsidRPr="002552EA">
        <w:rPr>
          <w:rFonts w:cstheme="minorHAnsi"/>
          <w:i/>
          <w:sz w:val="20"/>
          <w:szCs w:val="20"/>
        </w:rPr>
        <w:t xml:space="preserve">, </w:t>
      </w:r>
      <w:r w:rsidRPr="002552EA">
        <w:rPr>
          <w:rFonts w:cstheme="minorHAnsi"/>
          <w:sz w:val="20"/>
          <w:szCs w:val="20"/>
        </w:rPr>
        <w:t>No. 10-10080 (Bankr. M.D. Ala. Nov. 16, 2010) (Docket No. 76).</w:t>
      </w:r>
    </w:p>
  </w:footnote>
  <w:footnote w:id="274">
    <w:p w14:paraId="701E2AB4" w14:textId="758CAAE3"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Objection to Confirmation ¶¶</w:t>
      </w:r>
      <w:r>
        <w:rPr>
          <w:rFonts w:cstheme="minorHAnsi"/>
          <w:sz w:val="20"/>
          <w:szCs w:val="20"/>
        </w:rPr>
        <w:t> </w:t>
      </w:r>
      <w:r w:rsidRPr="002552EA">
        <w:rPr>
          <w:rFonts w:cstheme="minorHAnsi"/>
          <w:sz w:val="20"/>
          <w:szCs w:val="20"/>
        </w:rPr>
        <w:t xml:space="preserve">6, 7 &amp; 10, </w:t>
      </w:r>
      <w:r w:rsidRPr="002552EA">
        <w:rPr>
          <w:rFonts w:cstheme="minorHAnsi"/>
          <w:i/>
          <w:sz w:val="20"/>
          <w:szCs w:val="20"/>
        </w:rPr>
        <w:t xml:space="preserve">In re </w:t>
      </w:r>
      <w:r w:rsidRPr="00DB6286">
        <w:rPr>
          <w:rFonts w:cstheme="minorHAnsi"/>
          <w:sz w:val="20"/>
          <w:szCs w:val="20"/>
        </w:rPr>
        <w:t>Stickler</w:t>
      </w:r>
      <w:r w:rsidRPr="002552EA">
        <w:rPr>
          <w:rFonts w:cstheme="minorHAnsi"/>
          <w:i/>
          <w:sz w:val="20"/>
          <w:szCs w:val="20"/>
        </w:rPr>
        <w:t xml:space="preserve">, </w:t>
      </w:r>
      <w:r w:rsidRPr="002552EA">
        <w:rPr>
          <w:rFonts w:cstheme="minorHAnsi"/>
          <w:sz w:val="20"/>
          <w:szCs w:val="20"/>
        </w:rPr>
        <w:t xml:space="preserve">No. 10-10080 (Bankr. M.D. Ala. Dec. 15, 2010) (Docket No. 90); </w:t>
      </w:r>
      <w:r w:rsidRPr="002552EA">
        <w:rPr>
          <w:rFonts w:cstheme="minorHAnsi"/>
          <w:i/>
          <w:sz w:val="20"/>
          <w:szCs w:val="20"/>
        </w:rPr>
        <w:t>see also</w:t>
      </w:r>
      <w:r w:rsidRPr="002552EA">
        <w:rPr>
          <w:rFonts w:cstheme="minorHAnsi"/>
          <w:sz w:val="20"/>
          <w:szCs w:val="20"/>
        </w:rPr>
        <w:t xml:space="preserve"> Second Modification to Debtor’s Second Amended Plan of Reorganization Under Chapter 11 ¶¶</w:t>
      </w:r>
      <w:r>
        <w:rPr>
          <w:rFonts w:cstheme="minorHAnsi"/>
          <w:sz w:val="20"/>
          <w:szCs w:val="20"/>
        </w:rPr>
        <w:t> </w:t>
      </w:r>
      <w:r w:rsidRPr="002552EA">
        <w:rPr>
          <w:rFonts w:cstheme="minorHAnsi"/>
          <w:sz w:val="20"/>
          <w:szCs w:val="20"/>
        </w:rPr>
        <w:t xml:space="preserve">1A, C-E, G, J, </w:t>
      </w:r>
      <w:r w:rsidRPr="002552EA">
        <w:rPr>
          <w:rFonts w:cstheme="minorHAnsi"/>
          <w:i/>
          <w:sz w:val="20"/>
          <w:szCs w:val="20"/>
        </w:rPr>
        <w:t xml:space="preserve">In re </w:t>
      </w:r>
      <w:r w:rsidRPr="00DB6286">
        <w:rPr>
          <w:rFonts w:cstheme="minorHAnsi"/>
          <w:sz w:val="20"/>
          <w:szCs w:val="20"/>
        </w:rPr>
        <w:t>Manteghi</w:t>
      </w:r>
      <w:r w:rsidRPr="002552EA">
        <w:rPr>
          <w:rFonts w:cstheme="minorHAnsi"/>
          <w:i/>
          <w:sz w:val="20"/>
          <w:szCs w:val="20"/>
        </w:rPr>
        <w:t xml:space="preserve">, </w:t>
      </w:r>
      <w:r w:rsidRPr="002552EA">
        <w:rPr>
          <w:rFonts w:cstheme="minorHAnsi"/>
          <w:sz w:val="20"/>
          <w:szCs w:val="20"/>
        </w:rPr>
        <w:t>No. 10-43851 (Bankr. E.D. Tex.  Oct. 6, 2011) (Docket No. 120)</w:t>
      </w:r>
      <w:r>
        <w:rPr>
          <w:rFonts w:cstheme="minorHAnsi"/>
          <w:sz w:val="20"/>
          <w:szCs w:val="20"/>
        </w:rPr>
        <w:t xml:space="preserve"> </w:t>
      </w:r>
      <w:r w:rsidRPr="002552EA">
        <w:rPr>
          <w:rFonts w:cstheme="minorHAnsi"/>
          <w:sz w:val="20"/>
          <w:szCs w:val="20"/>
        </w:rPr>
        <w:t>(debtor resolved various objections by his largest unsecured creditors, which resulted in increasing the sources available to fund payments to the class of general unsecured creditors).</w:t>
      </w:r>
    </w:p>
  </w:footnote>
  <w:footnote w:id="275">
    <w:p w14:paraId="50592EEE" w14:textId="77777777" w:rsidR="00560FBA" w:rsidRPr="002552EA" w:rsidRDefault="00560FBA" w:rsidP="00106D9A">
      <w:pPr>
        <w:pStyle w:val="FootnoteText"/>
        <w:rPr>
          <w:rFonts w:cstheme="minorHAnsi"/>
          <w: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 xml:space="preserve">Second Amended Chapter 11 Plan of Reorganization of Ryan William Stickler Dated March 21, 2011, </w:t>
      </w:r>
      <w:r w:rsidRPr="002552EA">
        <w:rPr>
          <w:rFonts w:cstheme="minorHAnsi"/>
          <w:i/>
          <w:sz w:val="20"/>
          <w:szCs w:val="20"/>
        </w:rPr>
        <w:t xml:space="preserve">In re </w:t>
      </w:r>
      <w:r w:rsidRPr="00DB6286">
        <w:rPr>
          <w:rFonts w:cstheme="minorHAnsi"/>
          <w:sz w:val="20"/>
          <w:szCs w:val="20"/>
        </w:rPr>
        <w:t>Stickler</w:t>
      </w:r>
      <w:r w:rsidRPr="002552EA">
        <w:rPr>
          <w:rFonts w:cstheme="minorHAnsi"/>
          <w:i/>
          <w:sz w:val="20"/>
          <w:szCs w:val="20"/>
        </w:rPr>
        <w:t xml:space="preserve">, </w:t>
      </w:r>
      <w:r w:rsidRPr="002552EA">
        <w:rPr>
          <w:rFonts w:cstheme="minorHAnsi"/>
          <w:sz w:val="20"/>
          <w:szCs w:val="20"/>
        </w:rPr>
        <w:t>No. 10-10080 (Bankr. M.D. Ala. Mar. 22, 2011) (Docket No. 142).</w:t>
      </w:r>
    </w:p>
  </w:footnote>
  <w:footnote w:id="276">
    <w:p w14:paraId="086A3DE6" w14:textId="4652D000"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Application for Confirmation Under Section 1129(b)(1) of the Bankruptcy Code</w:t>
      </w:r>
      <w:r>
        <w:rPr>
          <w:rFonts w:cstheme="minorHAnsi"/>
          <w:sz w:val="20"/>
          <w:szCs w:val="20"/>
        </w:rPr>
        <w:t xml:space="preserve"> </w:t>
      </w:r>
      <w:r w:rsidRPr="002552EA">
        <w:rPr>
          <w:rFonts w:cstheme="minorHAnsi"/>
          <w:sz w:val="20"/>
          <w:szCs w:val="20"/>
        </w:rPr>
        <w:t>¶</w:t>
      </w:r>
      <w:r>
        <w:rPr>
          <w:rFonts w:cstheme="minorHAnsi"/>
          <w:sz w:val="20"/>
          <w:szCs w:val="20"/>
        </w:rPr>
        <w:t> </w:t>
      </w:r>
      <w:r w:rsidRPr="002552EA">
        <w:rPr>
          <w:rFonts w:cstheme="minorHAnsi"/>
          <w:sz w:val="20"/>
          <w:szCs w:val="20"/>
        </w:rPr>
        <w:t xml:space="preserve">11, </w:t>
      </w:r>
      <w:r w:rsidRPr="002552EA">
        <w:rPr>
          <w:rFonts w:cstheme="minorHAnsi"/>
          <w:i/>
          <w:sz w:val="20"/>
          <w:szCs w:val="20"/>
        </w:rPr>
        <w:t xml:space="preserve">In re </w:t>
      </w:r>
      <w:r w:rsidRPr="00DB6286">
        <w:rPr>
          <w:rFonts w:cstheme="minorHAnsi"/>
          <w:sz w:val="20"/>
          <w:szCs w:val="20"/>
        </w:rPr>
        <w:t>Stickler</w:t>
      </w:r>
      <w:r w:rsidRPr="002552EA">
        <w:rPr>
          <w:rFonts w:cstheme="minorHAnsi"/>
          <w:i/>
          <w:sz w:val="20"/>
          <w:szCs w:val="20"/>
        </w:rPr>
        <w:t xml:space="preserve">, </w:t>
      </w:r>
      <w:r w:rsidRPr="002552EA">
        <w:rPr>
          <w:rFonts w:cstheme="minorHAnsi"/>
          <w:sz w:val="20"/>
          <w:szCs w:val="20"/>
        </w:rPr>
        <w:t xml:space="preserve">No. 10-10080 (Bankr. M.D. Ala. Mar. 22, 2011) (Docket No. 144). </w:t>
      </w:r>
    </w:p>
  </w:footnote>
  <w:footnote w:id="277">
    <w:p w14:paraId="6ED5676F"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No. 13-13476 (Bankr. S.D. Fla. Feb. 15, 2013).</w:t>
      </w:r>
    </w:p>
  </w:footnote>
  <w:footnote w:id="278">
    <w:p w14:paraId="0BEE0716" w14:textId="6C9BEFC5"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Objection to Chapter 11 Plan ¶</w:t>
      </w:r>
      <w:r>
        <w:rPr>
          <w:rFonts w:cstheme="minorHAnsi"/>
          <w:sz w:val="20"/>
          <w:szCs w:val="20"/>
        </w:rPr>
        <w:t> </w:t>
      </w:r>
      <w:r w:rsidRPr="002552EA">
        <w:rPr>
          <w:rFonts w:cstheme="minorHAnsi"/>
          <w:sz w:val="20"/>
          <w:szCs w:val="20"/>
        </w:rPr>
        <w:t xml:space="preserve">9, </w:t>
      </w:r>
      <w:r w:rsidRPr="002552EA">
        <w:rPr>
          <w:rFonts w:cstheme="minorHAnsi"/>
          <w:i/>
          <w:sz w:val="20"/>
          <w:szCs w:val="20"/>
        </w:rPr>
        <w:t xml:space="preserve">In re </w:t>
      </w:r>
      <w:r w:rsidRPr="00DB6286">
        <w:rPr>
          <w:rFonts w:cstheme="minorHAnsi"/>
          <w:sz w:val="20"/>
          <w:szCs w:val="20"/>
        </w:rPr>
        <w:t>Robles</w:t>
      </w:r>
      <w:r w:rsidRPr="002552EA">
        <w:rPr>
          <w:rFonts w:cstheme="minorHAnsi"/>
          <w:i/>
          <w:sz w:val="20"/>
          <w:szCs w:val="20"/>
        </w:rPr>
        <w:t xml:space="preserve">, </w:t>
      </w:r>
      <w:r w:rsidRPr="002552EA">
        <w:rPr>
          <w:rFonts w:cstheme="minorHAnsi"/>
          <w:sz w:val="20"/>
          <w:szCs w:val="20"/>
        </w:rPr>
        <w:t xml:space="preserve">No. 13-13476 (Bankr. S.D. Fla. Aug. 7, 2013) (Docket No. 144). </w:t>
      </w:r>
    </w:p>
  </w:footnote>
  <w:footnote w:id="279">
    <w:p w14:paraId="459290E9" w14:textId="3084AADF"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id. </w:t>
      </w:r>
      <w:r w:rsidRPr="002552EA">
        <w:rPr>
          <w:rFonts w:cstheme="minorHAnsi"/>
          <w:sz w:val="20"/>
          <w:szCs w:val="20"/>
        </w:rPr>
        <w:t>at ¶</w:t>
      </w:r>
      <w:r>
        <w:rPr>
          <w:rFonts w:cstheme="minorHAnsi"/>
          <w:sz w:val="20"/>
          <w:szCs w:val="20"/>
        </w:rPr>
        <w:t> </w:t>
      </w:r>
      <w:r w:rsidRPr="002552EA">
        <w:rPr>
          <w:rFonts w:cstheme="minorHAnsi"/>
          <w:sz w:val="20"/>
          <w:szCs w:val="20"/>
        </w:rPr>
        <w:t xml:space="preserve">3. </w:t>
      </w:r>
    </w:p>
  </w:footnote>
  <w:footnote w:id="280">
    <w:p w14:paraId="22CE2425" w14:textId="704CD729"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Order Confirming Debtor’s Plan of Reorganization ¶</w:t>
      </w:r>
      <w:r>
        <w:rPr>
          <w:rFonts w:cstheme="minorHAnsi"/>
          <w:sz w:val="20"/>
          <w:szCs w:val="20"/>
        </w:rPr>
        <w:t> </w:t>
      </w:r>
      <w:r w:rsidRPr="002552EA">
        <w:rPr>
          <w:rFonts w:cstheme="minorHAnsi"/>
          <w:sz w:val="20"/>
          <w:szCs w:val="20"/>
        </w:rPr>
        <w:t xml:space="preserve">6, </w:t>
      </w:r>
      <w:r w:rsidRPr="002552EA">
        <w:rPr>
          <w:rFonts w:cstheme="minorHAnsi"/>
          <w:i/>
          <w:sz w:val="20"/>
          <w:szCs w:val="20"/>
        </w:rPr>
        <w:t xml:space="preserve">In re </w:t>
      </w:r>
      <w:r w:rsidRPr="00DB6286">
        <w:rPr>
          <w:rFonts w:cstheme="minorHAnsi"/>
          <w:sz w:val="20"/>
          <w:szCs w:val="20"/>
        </w:rPr>
        <w:t>Robles</w:t>
      </w:r>
      <w:r w:rsidRPr="002552EA">
        <w:rPr>
          <w:rFonts w:cstheme="minorHAnsi"/>
          <w:i/>
          <w:sz w:val="20"/>
          <w:szCs w:val="20"/>
        </w:rPr>
        <w:t xml:space="preserve">, </w:t>
      </w:r>
      <w:r w:rsidRPr="002552EA">
        <w:rPr>
          <w:rFonts w:cstheme="minorHAnsi"/>
          <w:sz w:val="20"/>
          <w:szCs w:val="20"/>
        </w:rPr>
        <w:t>No. 13-13476 (Bankr. S.D. Fla. Sept. 18, 2013) (Docket No. 167).</w:t>
      </w:r>
    </w:p>
  </w:footnote>
  <w:footnote w:id="281">
    <w:p w14:paraId="594D6FB0" w14:textId="6C9845C9"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Compare </w:t>
      </w:r>
      <w:r w:rsidRPr="002552EA">
        <w:rPr>
          <w:rFonts w:cstheme="minorHAnsi"/>
          <w:sz w:val="20"/>
          <w:szCs w:val="20"/>
        </w:rPr>
        <w:t>Debtor’s Plan of Reorganization ¶</w:t>
      </w:r>
      <w:r>
        <w:rPr>
          <w:rFonts w:cstheme="minorHAnsi"/>
          <w:sz w:val="20"/>
          <w:szCs w:val="20"/>
        </w:rPr>
        <w:t> </w:t>
      </w:r>
      <w:r w:rsidRPr="002552EA">
        <w:rPr>
          <w:rFonts w:cstheme="minorHAnsi"/>
          <w:sz w:val="20"/>
          <w:szCs w:val="20"/>
        </w:rPr>
        <w:t xml:space="preserve">3.11, </w:t>
      </w:r>
      <w:r w:rsidRPr="002552EA">
        <w:rPr>
          <w:rFonts w:cstheme="minorHAnsi"/>
          <w:i/>
          <w:sz w:val="20"/>
          <w:szCs w:val="20"/>
        </w:rPr>
        <w:t xml:space="preserve">In re </w:t>
      </w:r>
      <w:r w:rsidRPr="00DB6286">
        <w:rPr>
          <w:rFonts w:cstheme="minorHAnsi"/>
          <w:sz w:val="20"/>
          <w:szCs w:val="20"/>
        </w:rPr>
        <w:t>Robles</w:t>
      </w:r>
      <w:r w:rsidRPr="002552EA">
        <w:rPr>
          <w:rFonts w:cstheme="minorHAnsi"/>
          <w:i/>
          <w:sz w:val="20"/>
          <w:szCs w:val="20"/>
        </w:rPr>
        <w:t xml:space="preserve">, </w:t>
      </w:r>
      <w:r w:rsidRPr="002552EA">
        <w:rPr>
          <w:rFonts w:cstheme="minorHAnsi"/>
          <w:sz w:val="20"/>
          <w:szCs w:val="20"/>
        </w:rPr>
        <w:t>No. 13-13476 (Bankr. S.D. Fla. June 3, 2013) (Docket No. 79)</w:t>
      </w:r>
      <w:r>
        <w:rPr>
          <w:rFonts w:cstheme="minorHAnsi"/>
          <w:sz w:val="20"/>
          <w:szCs w:val="20"/>
        </w:rPr>
        <w:t>,</w:t>
      </w:r>
      <w:r w:rsidRPr="002552EA">
        <w:rPr>
          <w:rFonts w:cstheme="minorHAnsi"/>
          <w:sz w:val="20"/>
          <w:szCs w:val="20"/>
        </w:rPr>
        <w:t xml:space="preserve"> </w:t>
      </w:r>
      <w:r w:rsidRPr="002552EA">
        <w:rPr>
          <w:rFonts w:cstheme="minorHAnsi"/>
          <w:i/>
          <w:sz w:val="20"/>
          <w:szCs w:val="20"/>
        </w:rPr>
        <w:t xml:space="preserve">with </w:t>
      </w:r>
      <w:r w:rsidRPr="002552EA">
        <w:rPr>
          <w:rFonts w:cstheme="minorHAnsi"/>
          <w:sz w:val="20"/>
          <w:szCs w:val="20"/>
        </w:rPr>
        <w:t>Debtor’s Amended Plan of Reorganization ¶</w:t>
      </w:r>
      <w:r>
        <w:rPr>
          <w:rFonts w:cstheme="minorHAnsi"/>
          <w:sz w:val="20"/>
          <w:szCs w:val="20"/>
        </w:rPr>
        <w:t> 3.11,</w:t>
      </w:r>
      <w:r w:rsidRPr="002552EA">
        <w:rPr>
          <w:rFonts w:cstheme="minorHAnsi"/>
          <w:sz w:val="20"/>
          <w:szCs w:val="20"/>
        </w:rPr>
        <w:t xml:space="preserve"> </w:t>
      </w:r>
      <w:r w:rsidRPr="002552EA">
        <w:rPr>
          <w:rFonts w:cstheme="minorHAnsi"/>
          <w:i/>
          <w:sz w:val="20"/>
          <w:szCs w:val="20"/>
        </w:rPr>
        <w:t xml:space="preserve">In re </w:t>
      </w:r>
      <w:r w:rsidRPr="00DB6286">
        <w:rPr>
          <w:rFonts w:cstheme="minorHAnsi"/>
          <w:sz w:val="20"/>
          <w:szCs w:val="20"/>
        </w:rPr>
        <w:t>Robles</w:t>
      </w:r>
      <w:r w:rsidRPr="002552EA">
        <w:rPr>
          <w:rFonts w:cstheme="minorHAnsi"/>
          <w:i/>
          <w:sz w:val="20"/>
          <w:szCs w:val="20"/>
        </w:rPr>
        <w:t xml:space="preserve">, </w:t>
      </w:r>
      <w:r w:rsidRPr="002552EA">
        <w:rPr>
          <w:rFonts w:cstheme="minorHAnsi"/>
          <w:sz w:val="20"/>
          <w:szCs w:val="20"/>
        </w:rPr>
        <w:t>No. 13-13476 (Bankr. S.D. Fla. July 17, 2013) (Docket No. 105).</w:t>
      </w:r>
    </w:p>
  </w:footnote>
  <w:footnote w:id="282">
    <w:p w14:paraId="0AC2A163"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No. 13-10534 (Bankr. N.D. Cal. March 18, 2013). </w:t>
      </w:r>
    </w:p>
  </w:footnote>
  <w:footnote w:id="283">
    <w:p w14:paraId="67B5FC66" w14:textId="08631D45"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Stipulation re: Treatment of Creditor’s Claim Under Debtor’s Proposed Chapter 11 Plan of Reorganization at 2, ¶</w:t>
      </w:r>
      <w:r>
        <w:rPr>
          <w:rFonts w:cstheme="minorHAnsi"/>
          <w:sz w:val="20"/>
          <w:szCs w:val="20"/>
        </w:rPr>
        <w:t> </w:t>
      </w:r>
      <w:r w:rsidRPr="002552EA">
        <w:rPr>
          <w:rFonts w:cstheme="minorHAnsi"/>
          <w:sz w:val="20"/>
          <w:szCs w:val="20"/>
        </w:rPr>
        <w:t xml:space="preserve">1, </w:t>
      </w:r>
      <w:r w:rsidRPr="002552EA">
        <w:rPr>
          <w:rFonts w:cstheme="minorHAnsi"/>
          <w:i/>
          <w:sz w:val="20"/>
          <w:szCs w:val="20"/>
        </w:rPr>
        <w:t xml:space="preserve">In re </w:t>
      </w:r>
      <w:r w:rsidRPr="00DB6286">
        <w:rPr>
          <w:rFonts w:cstheme="minorHAnsi"/>
          <w:sz w:val="20"/>
          <w:szCs w:val="20"/>
        </w:rPr>
        <w:t>Chavez</w:t>
      </w:r>
      <w:r w:rsidRPr="002552EA">
        <w:rPr>
          <w:rFonts w:cstheme="minorHAnsi"/>
          <w:i/>
          <w:sz w:val="20"/>
          <w:szCs w:val="20"/>
        </w:rPr>
        <w:t xml:space="preserve">, </w:t>
      </w:r>
      <w:r w:rsidRPr="002552EA">
        <w:rPr>
          <w:rFonts w:cstheme="minorHAnsi"/>
          <w:sz w:val="20"/>
          <w:szCs w:val="20"/>
        </w:rPr>
        <w:t>No 13-10534 (Bankr. N.D. Cal. July 17, 2013) (Docket No. 73); Stipulation re: Treatment of Creditor’s Claim Under Debtor’s Proposed Chapter 11 Plan of Reorganization at 2, ¶</w:t>
      </w:r>
      <w:r>
        <w:rPr>
          <w:rFonts w:cstheme="minorHAnsi"/>
          <w:sz w:val="20"/>
          <w:szCs w:val="20"/>
        </w:rPr>
        <w:t> </w:t>
      </w:r>
      <w:r w:rsidRPr="002552EA">
        <w:rPr>
          <w:rFonts w:cstheme="minorHAnsi"/>
          <w:sz w:val="20"/>
          <w:szCs w:val="20"/>
        </w:rPr>
        <w:t xml:space="preserve">1, </w:t>
      </w:r>
      <w:r w:rsidRPr="002552EA">
        <w:rPr>
          <w:rFonts w:cstheme="minorHAnsi"/>
          <w:i/>
          <w:sz w:val="20"/>
          <w:szCs w:val="20"/>
        </w:rPr>
        <w:t xml:space="preserve">In re </w:t>
      </w:r>
      <w:r w:rsidRPr="00DB6286">
        <w:rPr>
          <w:rFonts w:cstheme="minorHAnsi"/>
          <w:sz w:val="20"/>
          <w:szCs w:val="20"/>
        </w:rPr>
        <w:t>Chavez</w:t>
      </w:r>
      <w:r w:rsidRPr="002552EA">
        <w:rPr>
          <w:rFonts w:cstheme="minorHAnsi"/>
          <w:i/>
          <w:sz w:val="20"/>
          <w:szCs w:val="20"/>
        </w:rPr>
        <w:t xml:space="preserve">, </w:t>
      </w:r>
      <w:r w:rsidRPr="002552EA">
        <w:rPr>
          <w:rFonts w:cstheme="minorHAnsi"/>
          <w:sz w:val="20"/>
          <w:szCs w:val="20"/>
        </w:rPr>
        <w:t>No 13-10534 (Bankr. N.D. Cal. July 17, 2013) (Docket No. 72).</w:t>
      </w:r>
    </w:p>
  </w:footnote>
  <w:footnote w:id="284">
    <w:p w14:paraId="4BA0C00D"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id. </w:t>
      </w:r>
    </w:p>
  </w:footnote>
  <w:footnote w:id="285">
    <w:p w14:paraId="70F49B3F" w14:textId="66DD9733"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Stipulation re: Treatment of Creditor’s Claim Under Debtor’s Proposed Chapter 11 Plan of Reorganization at 2, ¶</w:t>
      </w:r>
      <w:r>
        <w:rPr>
          <w:rFonts w:cstheme="minorHAnsi"/>
          <w:sz w:val="20"/>
          <w:szCs w:val="20"/>
        </w:rPr>
        <w:t> </w:t>
      </w:r>
      <w:r w:rsidRPr="002552EA">
        <w:rPr>
          <w:rFonts w:cstheme="minorHAnsi"/>
          <w:sz w:val="20"/>
          <w:szCs w:val="20"/>
        </w:rPr>
        <w:t xml:space="preserve">1, </w:t>
      </w:r>
      <w:r w:rsidRPr="002552EA">
        <w:rPr>
          <w:rFonts w:cstheme="minorHAnsi"/>
          <w:i/>
          <w:sz w:val="20"/>
          <w:szCs w:val="20"/>
        </w:rPr>
        <w:t xml:space="preserve">In re </w:t>
      </w:r>
      <w:r w:rsidRPr="00DB6286">
        <w:rPr>
          <w:rFonts w:cstheme="minorHAnsi"/>
          <w:sz w:val="20"/>
          <w:szCs w:val="20"/>
        </w:rPr>
        <w:t>Chavez</w:t>
      </w:r>
      <w:r w:rsidRPr="002552EA">
        <w:rPr>
          <w:rFonts w:cstheme="minorHAnsi"/>
          <w:i/>
          <w:sz w:val="20"/>
          <w:szCs w:val="20"/>
        </w:rPr>
        <w:t xml:space="preserve">, </w:t>
      </w:r>
      <w:r w:rsidRPr="002552EA">
        <w:rPr>
          <w:rFonts w:cstheme="minorHAnsi"/>
          <w:sz w:val="20"/>
          <w:szCs w:val="20"/>
        </w:rPr>
        <w:t>No 13-10534 (Bankr. N.D. Cal. July 17, 2013) (Docket No. 74); Stipulation Resolving Chapter 11 Plan Treatment (2033 Finch Court Atwater, California 95301 Class 8) ¶</w:t>
      </w:r>
      <w:r>
        <w:rPr>
          <w:rFonts w:cstheme="minorHAnsi"/>
          <w:sz w:val="20"/>
          <w:szCs w:val="20"/>
        </w:rPr>
        <w:t> </w:t>
      </w:r>
      <w:r w:rsidRPr="002552EA">
        <w:rPr>
          <w:rFonts w:cstheme="minorHAnsi"/>
          <w:sz w:val="20"/>
          <w:szCs w:val="20"/>
        </w:rPr>
        <w:t xml:space="preserve">1, </w:t>
      </w:r>
      <w:r w:rsidRPr="002552EA">
        <w:rPr>
          <w:rFonts w:cstheme="minorHAnsi"/>
          <w:i/>
          <w:sz w:val="20"/>
          <w:szCs w:val="20"/>
        </w:rPr>
        <w:t xml:space="preserve">In re </w:t>
      </w:r>
      <w:r w:rsidRPr="00DB6286">
        <w:rPr>
          <w:rFonts w:cstheme="minorHAnsi"/>
          <w:sz w:val="20"/>
          <w:szCs w:val="20"/>
        </w:rPr>
        <w:t>Chavez</w:t>
      </w:r>
      <w:r w:rsidRPr="002552EA">
        <w:rPr>
          <w:rFonts w:cstheme="minorHAnsi"/>
          <w:i/>
          <w:sz w:val="20"/>
          <w:szCs w:val="20"/>
        </w:rPr>
        <w:t xml:space="preserve">, </w:t>
      </w:r>
      <w:r w:rsidRPr="002552EA">
        <w:rPr>
          <w:rFonts w:cstheme="minorHAnsi"/>
          <w:sz w:val="20"/>
          <w:szCs w:val="20"/>
        </w:rPr>
        <w:t>No 13-10534 (Bankr. N.D. Cal. July 17, 2013) (Docket No. 71).</w:t>
      </w:r>
    </w:p>
  </w:footnote>
  <w:footnote w:id="286">
    <w:p w14:paraId="72F4A8A2" w14:textId="77777777" w:rsidR="00560FBA" w:rsidRPr="002552EA" w:rsidRDefault="00560FBA" w:rsidP="00106D9A">
      <w:pPr>
        <w:pStyle w:val="FootnoteText"/>
        <w:rPr>
          <w:rFonts w:cstheme="minorHAnsi"/>
          <w: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id. </w:t>
      </w:r>
    </w:p>
  </w:footnote>
  <w:footnote w:id="287">
    <w:p w14:paraId="2EF64CA8"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Compare </w:t>
      </w:r>
      <w:r w:rsidRPr="002552EA">
        <w:rPr>
          <w:rFonts w:cstheme="minorHAnsi"/>
          <w:sz w:val="20"/>
          <w:szCs w:val="20"/>
        </w:rPr>
        <w:t xml:space="preserve">Chapter 11 Plan of Reorganization (July 17, 2013) at 13, </w:t>
      </w:r>
      <w:r w:rsidRPr="002552EA">
        <w:rPr>
          <w:rFonts w:cstheme="minorHAnsi"/>
          <w:i/>
          <w:sz w:val="20"/>
          <w:szCs w:val="20"/>
        </w:rPr>
        <w:t xml:space="preserve">In re </w:t>
      </w:r>
      <w:r w:rsidRPr="00DB6286">
        <w:rPr>
          <w:rFonts w:cstheme="minorHAnsi"/>
          <w:sz w:val="20"/>
          <w:szCs w:val="20"/>
        </w:rPr>
        <w:t>Chavez</w:t>
      </w:r>
      <w:r w:rsidRPr="002552EA">
        <w:rPr>
          <w:rFonts w:cstheme="minorHAnsi"/>
          <w:i/>
          <w:sz w:val="20"/>
          <w:szCs w:val="20"/>
        </w:rPr>
        <w:t xml:space="preserve">, </w:t>
      </w:r>
      <w:r w:rsidRPr="002552EA">
        <w:rPr>
          <w:rFonts w:cstheme="minorHAnsi"/>
          <w:sz w:val="20"/>
          <w:szCs w:val="20"/>
        </w:rPr>
        <w:t>No 13-10534 (Bankr. N.D. Cal. July 17, 2013) (Docket No. 75)</w:t>
      </w:r>
      <w:r w:rsidRPr="002552EA">
        <w:rPr>
          <w:rFonts w:cstheme="minorHAnsi"/>
          <w:i/>
          <w:sz w:val="20"/>
          <w:szCs w:val="20"/>
        </w:rPr>
        <w:t xml:space="preserve"> with </w:t>
      </w:r>
      <w:r w:rsidRPr="002552EA">
        <w:rPr>
          <w:rFonts w:cstheme="minorHAnsi"/>
          <w:sz w:val="20"/>
          <w:szCs w:val="20"/>
        </w:rPr>
        <w:t xml:space="preserve">Chapter 11 Plan of Reorganization at 13, </w:t>
      </w:r>
      <w:r w:rsidRPr="002552EA">
        <w:rPr>
          <w:rFonts w:cstheme="minorHAnsi"/>
          <w:i/>
          <w:sz w:val="20"/>
          <w:szCs w:val="20"/>
        </w:rPr>
        <w:t xml:space="preserve">In re </w:t>
      </w:r>
      <w:r w:rsidRPr="00D061DC">
        <w:rPr>
          <w:rFonts w:cstheme="minorHAnsi"/>
          <w:sz w:val="20"/>
          <w:szCs w:val="20"/>
        </w:rPr>
        <w:t>Chavez</w:t>
      </w:r>
      <w:r w:rsidRPr="002552EA">
        <w:rPr>
          <w:rFonts w:cstheme="minorHAnsi"/>
          <w:i/>
          <w:sz w:val="20"/>
          <w:szCs w:val="20"/>
        </w:rPr>
        <w:t xml:space="preserve">, </w:t>
      </w:r>
      <w:r w:rsidRPr="002552EA">
        <w:rPr>
          <w:rFonts w:cstheme="minorHAnsi"/>
          <w:sz w:val="20"/>
          <w:szCs w:val="20"/>
        </w:rPr>
        <w:t xml:space="preserve">No 13-10534 (Bankr. N.D. Cal. Mar. 19, 2013) (Docket No. 10). </w:t>
      </w:r>
    </w:p>
  </w:footnote>
  <w:footnote w:id="288">
    <w:p w14:paraId="39E7A1F9" w14:textId="4F95534E"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Bankruptcy Decision Making, supra </w:t>
      </w:r>
      <w:r w:rsidRPr="002552EA">
        <w:rPr>
          <w:rFonts w:cstheme="minorHAnsi"/>
          <w:sz w:val="20"/>
          <w:szCs w:val="20"/>
        </w:rPr>
        <w:t xml:space="preserve">note </w:t>
      </w:r>
      <w:r w:rsidRPr="00563914">
        <w:rPr>
          <w:rFonts w:cstheme="minorHAnsi"/>
          <w:sz w:val="20"/>
          <w:szCs w:val="20"/>
        </w:rPr>
        <w:fldChar w:fldCharType="begin"/>
      </w:r>
      <w:r w:rsidRPr="002552EA">
        <w:rPr>
          <w:rFonts w:cstheme="minorHAnsi"/>
          <w:sz w:val="20"/>
          <w:szCs w:val="20"/>
        </w:rPr>
        <w:instrText xml:space="preserve"> NOTEREF _Ref276229185 \h </w:instrText>
      </w:r>
      <w:r w:rsidRPr="00563914">
        <w:rPr>
          <w:rFonts w:cstheme="minorHAnsi"/>
          <w:sz w:val="20"/>
          <w:szCs w:val="20"/>
        </w:rPr>
      </w:r>
      <w:r w:rsidRPr="00563914">
        <w:rPr>
          <w:rFonts w:cstheme="minorHAnsi"/>
          <w:sz w:val="20"/>
          <w:szCs w:val="20"/>
        </w:rPr>
        <w:fldChar w:fldCharType="separate"/>
      </w:r>
      <w:r>
        <w:rPr>
          <w:rFonts w:cstheme="minorHAnsi"/>
          <w:sz w:val="20"/>
          <w:szCs w:val="20"/>
        </w:rPr>
        <w:t>3</w:t>
      </w:r>
      <w:r w:rsidRPr="00563914">
        <w:rPr>
          <w:rFonts w:cstheme="minorHAnsi"/>
          <w:sz w:val="20"/>
          <w:szCs w:val="20"/>
        </w:rPr>
        <w:fldChar w:fldCharType="end"/>
      </w:r>
      <w:r w:rsidRPr="002552EA">
        <w:rPr>
          <w:rFonts w:cstheme="minorHAnsi"/>
          <w:sz w:val="20"/>
          <w:szCs w:val="20"/>
        </w:rPr>
        <w:t xml:space="preserve">; </w:t>
      </w:r>
      <w:r w:rsidRPr="002552EA">
        <w:rPr>
          <w:rFonts w:cstheme="minorHAnsi"/>
          <w:i/>
          <w:sz w:val="20"/>
          <w:szCs w:val="20"/>
        </w:rPr>
        <w:t xml:space="preserve">Success of Chapter 11, supra </w:t>
      </w:r>
      <w:r w:rsidRPr="002552EA">
        <w:rPr>
          <w:rFonts w:cstheme="minorHAnsi"/>
          <w:sz w:val="20"/>
          <w:szCs w:val="20"/>
        </w:rPr>
        <w:t xml:space="preserve">note </w:t>
      </w:r>
      <w:r w:rsidRPr="00563914">
        <w:rPr>
          <w:rFonts w:cstheme="minorHAnsi"/>
          <w:sz w:val="20"/>
          <w:szCs w:val="20"/>
        </w:rPr>
        <w:fldChar w:fldCharType="begin"/>
      </w:r>
      <w:r w:rsidRPr="002552EA">
        <w:rPr>
          <w:rFonts w:cstheme="minorHAnsi"/>
          <w:sz w:val="20"/>
          <w:szCs w:val="20"/>
        </w:rPr>
        <w:instrText xml:space="preserve"> NOTEREF _Ref276229185 \h </w:instrText>
      </w:r>
      <w:r w:rsidRPr="00563914">
        <w:rPr>
          <w:rFonts w:cstheme="minorHAnsi"/>
          <w:sz w:val="20"/>
          <w:szCs w:val="20"/>
        </w:rPr>
      </w:r>
      <w:r w:rsidRPr="00563914">
        <w:rPr>
          <w:rFonts w:cstheme="minorHAnsi"/>
          <w:sz w:val="20"/>
          <w:szCs w:val="20"/>
        </w:rPr>
        <w:fldChar w:fldCharType="separate"/>
      </w:r>
      <w:r>
        <w:rPr>
          <w:rFonts w:cstheme="minorHAnsi"/>
          <w:sz w:val="20"/>
          <w:szCs w:val="20"/>
        </w:rPr>
        <w:t>3</w:t>
      </w:r>
      <w:r w:rsidRPr="00563914">
        <w:rPr>
          <w:rFonts w:cstheme="minorHAnsi"/>
          <w:sz w:val="20"/>
          <w:szCs w:val="20"/>
        </w:rPr>
        <w:fldChar w:fldCharType="end"/>
      </w:r>
      <w:r w:rsidRPr="002552EA">
        <w:rPr>
          <w:rFonts w:cstheme="minorHAnsi"/>
          <w:sz w:val="20"/>
          <w:szCs w:val="20"/>
        </w:rPr>
        <w:t>.</w:t>
      </w:r>
    </w:p>
  </w:footnote>
  <w:footnote w:id="289">
    <w:p w14:paraId="063D983D" w14:textId="2EA9BCB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See Small Business Workouts,</w:t>
      </w:r>
      <w:r w:rsidRPr="002552EA">
        <w:rPr>
          <w:rFonts w:cstheme="minorHAnsi"/>
          <w:sz w:val="20"/>
          <w:szCs w:val="20"/>
        </w:rPr>
        <w:t xml:space="preserve"> </w:t>
      </w:r>
      <w:r w:rsidRPr="002552EA">
        <w:rPr>
          <w:rFonts w:cstheme="minorHAnsi"/>
          <w:i/>
          <w:sz w:val="20"/>
          <w:szCs w:val="20"/>
        </w:rPr>
        <w:t xml:space="preserve">supra </w:t>
      </w:r>
      <w:r w:rsidRPr="002552EA">
        <w:rPr>
          <w:rFonts w:cstheme="minorHAnsi"/>
          <w:sz w:val="20"/>
          <w:szCs w:val="20"/>
        </w:rPr>
        <w:t xml:space="preserve">note </w:t>
      </w:r>
      <w:r w:rsidRPr="00563914">
        <w:rPr>
          <w:rFonts w:cstheme="minorHAnsi"/>
          <w:sz w:val="20"/>
          <w:szCs w:val="20"/>
        </w:rPr>
        <w:fldChar w:fldCharType="begin"/>
      </w:r>
      <w:r w:rsidRPr="002552EA">
        <w:rPr>
          <w:rFonts w:cstheme="minorHAnsi"/>
          <w:sz w:val="20"/>
          <w:szCs w:val="20"/>
        </w:rPr>
        <w:instrText xml:space="preserve"> NOTEREF _Ref276229185 \h </w:instrText>
      </w:r>
      <w:r w:rsidRPr="00563914">
        <w:rPr>
          <w:rFonts w:cstheme="minorHAnsi"/>
          <w:sz w:val="20"/>
          <w:szCs w:val="20"/>
        </w:rPr>
      </w:r>
      <w:r w:rsidRPr="00563914">
        <w:rPr>
          <w:rFonts w:cstheme="minorHAnsi"/>
          <w:sz w:val="20"/>
          <w:szCs w:val="20"/>
        </w:rPr>
        <w:fldChar w:fldCharType="separate"/>
      </w:r>
      <w:r>
        <w:rPr>
          <w:rFonts w:cstheme="minorHAnsi"/>
          <w:sz w:val="20"/>
          <w:szCs w:val="20"/>
        </w:rPr>
        <w:t>3</w:t>
      </w:r>
      <w:r w:rsidRPr="00563914">
        <w:rPr>
          <w:rFonts w:cstheme="minorHAnsi"/>
          <w:sz w:val="20"/>
          <w:szCs w:val="20"/>
        </w:rPr>
        <w:fldChar w:fldCharType="end"/>
      </w:r>
      <w:r w:rsidRPr="002552EA">
        <w:rPr>
          <w:rFonts w:cstheme="minorHAnsi"/>
          <w:sz w:val="20"/>
          <w:szCs w:val="20"/>
        </w:rPr>
        <w:t>, at 385-86.  Morrison also consolidated affiliate filings and dropped repeat filings.</w:t>
      </w:r>
    </w:p>
  </w:footnote>
  <w:footnote w:id="290">
    <w:p w14:paraId="04061A48" w14:textId="4CE710E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Id.</w:t>
      </w:r>
      <w:r w:rsidRPr="002552EA">
        <w:rPr>
          <w:rFonts w:cstheme="minorHAnsi"/>
          <w:sz w:val="20"/>
          <w:szCs w:val="20"/>
        </w:rPr>
        <w:t xml:space="preserve"> at 389.</w:t>
      </w:r>
    </w:p>
  </w:footnote>
  <w:footnote w:id="291">
    <w:p w14:paraId="792ADF85" w14:textId="57803A7E"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Id.</w:t>
      </w:r>
      <w:r w:rsidRPr="002552EA">
        <w:rPr>
          <w:rFonts w:cstheme="minorHAnsi"/>
          <w:sz w:val="20"/>
          <w:szCs w:val="20"/>
        </w:rPr>
        <w:t xml:space="preserve"> at 382.</w:t>
      </w:r>
    </w:p>
  </w:footnote>
  <w:footnote w:id="292">
    <w:p w14:paraId="7CCDE753" w14:textId="38D245CA"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Warren and Westbrook defined business to include: i) all cases in which the debtor checked “business”, ii) all cases organized as a corporation, partnership or LLC, and iii) all cases in which there was a business name in the title.  </w:t>
      </w:r>
      <w:r w:rsidRPr="002552EA">
        <w:rPr>
          <w:rFonts w:cstheme="minorHAnsi"/>
          <w:i/>
          <w:sz w:val="20"/>
          <w:szCs w:val="20"/>
        </w:rPr>
        <w:t xml:space="preserve">Success of Chapter 11, supra </w:t>
      </w:r>
      <w:r w:rsidRPr="002552EA">
        <w:rPr>
          <w:rFonts w:cstheme="minorHAnsi"/>
          <w:sz w:val="20"/>
          <w:szCs w:val="20"/>
        </w:rPr>
        <w:t xml:space="preserve">note </w:t>
      </w:r>
      <w:r w:rsidRPr="00563914">
        <w:rPr>
          <w:rFonts w:cstheme="minorHAnsi"/>
          <w:sz w:val="20"/>
          <w:szCs w:val="20"/>
        </w:rPr>
        <w:fldChar w:fldCharType="begin"/>
      </w:r>
      <w:r w:rsidRPr="002552EA">
        <w:rPr>
          <w:rFonts w:cstheme="minorHAnsi"/>
          <w:sz w:val="20"/>
          <w:szCs w:val="20"/>
        </w:rPr>
        <w:instrText xml:space="preserve"> NOTEREF _Ref276229185 \h </w:instrText>
      </w:r>
      <w:r w:rsidRPr="00563914">
        <w:rPr>
          <w:rFonts w:cstheme="minorHAnsi"/>
          <w:sz w:val="20"/>
          <w:szCs w:val="20"/>
        </w:rPr>
      </w:r>
      <w:r w:rsidRPr="00563914">
        <w:rPr>
          <w:rFonts w:cstheme="minorHAnsi"/>
          <w:sz w:val="20"/>
          <w:szCs w:val="20"/>
        </w:rPr>
        <w:fldChar w:fldCharType="separate"/>
      </w:r>
      <w:r>
        <w:rPr>
          <w:rFonts w:cstheme="minorHAnsi"/>
          <w:sz w:val="20"/>
          <w:szCs w:val="20"/>
        </w:rPr>
        <w:t>3</w:t>
      </w:r>
      <w:r w:rsidRPr="00563914">
        <w:rPr>
          <w:rFonts w:cstheme="minorHAnsi"/>
          <w:sz w:val="20"/>
          <w:szCs w:val="20"/>
        </w:rPr>
        <w:fldChar w:fldCharType="end"/>
      </w:r>
      <w:r w:rsidRPr="002552EA">
        <w:rPr>
          <w:rFonts w:cstheme="minorHAnsi"/>
          <w:sz w:val="20"/>
          <w:szCs w:val="20"/>
        </w:rPr>
        <w:t>, at 609.</w:t>
      </w:r>
    </w:p>
  </w:footnote>
  <w:footnote w:id="293">
    <w:p w14:paraId="02305EA8"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Id</w:t>
      </w:r>
      <w:r w:rsidRPr="002552EA">
        <w:rPr>
          <w:rFonts w:cstheme="minorHAnsi"/>
          <w:sz w:val="20"/>
          <w:szCs w:val="20"/>
        </w:rPr>
        <w:t>. at 630.</w:t>
      </w:r>
    </w:p>
  </w:footnote>
  <w:footnote w:id="294">
    <w:p w14:paraId="14ABFE1E"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1141(d)(1) (2012).</w:t>
      </w:r>
    </w:p>
  </w:footnote>
  <w:footnote w:id="295">
    <w:p w14:paraId="25408963" w14:textId="3E3058CF"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Id. </w:t>
      </w:r>
      <w:r w:rsidRPr="002552EA">
        <w:rPr>
          <w:rFonts w:cstheme="minorHAnsi"/>
          <w:sz w:val="20"/>
          <w:szCs w:val="20"/>
        </w:rPr>
        <w:t>§ 1141(d)(5).</w:t>
      </w:r>
    </w:p>
  </w:footnote>
  <w:footnote w:id="296">
    <w:p w14:paraId="37E36632" w14:textId="5D8B129A"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Id. </w:t>
      </w:r>
      <w:r w:rsidRPr="002552EA">
        <w:rPr>
          <w:rFonts w:cstheme="minorHAnsi"/>
          <w:sz w:val="20"/>
          <w:szCs w:val="20"/>
        </w:rPr>
        <w:t>§ 1302.</w:t>
      </w:r>
    </w:p>
  </w:footnote>
  <w:footnote w:id="297">
    <w:p w14:paraId="395EDC05" w14:textId="6148877C" w:rsidR="00560FBA" w:rsidRPr="002552EA" w:rsidRDefault="00560FB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For example, a chapter 13 debtor must propose a plan of reorganization within fourteen days of filing, </w:t>
      </w:r>
      <w:r w:rsidRPr="002552EA">
        <w:rPr>
          <w:rFonts w:cstheme="minorHAnsi"/>
          <w:smallCaps/>
          <w:sz w:val="20"/>
          <w:szCs w:val="20"/>
        </w:rPr>
        <w:t xml:space="preserve">Fed. R. Bankr. Proc. </w:t>
      </w:r>
      <w:r w:rsidRPr="002552EA">
        <w:rPr>
          <w:rFonts w:cstheme="minorHAnsi"/>
          <w:sz w:val="20"/>
          <w:szCs w:val="20"/>
        </w:rPr>
        <w:t xml:space="preserve"> 3015(b), and the debtor must begin making payments within 30days of filing, 11 U.S.C. § 1326 (2012).</w:t>
      </w:r>
    </w:p>
  </w:footnote>
  <w:footnote w:id="298">
    <w:p w14:paraId="652E9583" w14:textId="725DC2FF"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In a study of all Chapter 11 filings in 2004, one of us found a 49% plan proposal rate. </w:t>
      </w:r>
      <w:r w:rsidRPr="002552EA">
        <w:rPr>
          <w:rFonts w:cstheme="minorHAnsi"/>
          <w:i/>
          <w:sz w:val="20"/>
          <w:szCs w:val="20"/>
        </w:rPr>
        <w:t xml:space="preserve">See Chapter 11 Triage, supra </w:t>
      </w:r>
      <w:r w:rsidRPr="002552EA">
        <w:rPr>
          <w:rFonts w:cstheme="minorHAnsi"/>
          <w:sz w:val="20"/>
          <w:szCs w:val="20"/>
        </w:rPr>
        <w:t xml:space="preserve">note </w:t>
      </w:r>
      <w:r w:rsidRPr="00563914">
        <w:rPr>
          <w:rFonts w:cstheme="minorHAnsi"/>
          <w:sz w:val="20"/>
          <w:szCs w:val="20"/>
        </w:rPr>
        <w:fldChar w:fldCharType="begin"/>
      </w:r>
      <w:r w:rsidRPr="002552EA">
        <w:rPr>
          <w:rFonts w:cstheme="minorHAnsi"/>
          <w:sz w:val="20"/>
          <w:szCs w:val="20"/>
        </w:rPr>
        <w:instrText xml:space="preserve"> NOTEREF _Ref333754343 \h </w:instrText>
      </w:r>
      <w:r w:rsidRPr="00563914">
        <w:rPr>
          <w:rFonts w:cstheme="minorHAnsi"/>
          <w:sz w:val="20"/>
          <w:szCs w:val="20"/>
        </w:rPr>
      </w:r>
      <w:r w:rsidRPr="00563914">
        <w:rPr>
          <w:rFonts w:cstheme="minorHAnsi"/>
          <w:sz w:val="20"/>
          <w:szCs w:val="20"/>
        </w:rPr>
        <w:fldChar w:fldCharType="separate"/>
      </w:r>
      <w:r>
        <w:rPr>
          <w:rFonts w:cstheme="minorHAnsi"/>
          <w:sz w:val="20"/>
          <w:szCs w:val="20"/>
        </w:rPr>
        <w:t>126</w:t>
      </w:r>
      <w:r w:rsidRPr="00563914">
        <w:rPr>
          <w:rFonts w:cstheme="minorHAnsi"/>
          <w:sz w:val="20"/>
          <w:szCs w:val="20"/>
        </w:rPr>
        <w:fldChar w:fldCharType="end"/>
      </w:r>
      <w:r w:rsidRPr="002552EA">
        <w:rPr>
          <w:rFonts w:cstheme="minorHAnsi"/>
          <w:sz w:val="20"/>
          <w:szCs w:val="20"/>
        </w:rPr>
        <w:t>, at 1004 (2012).</w:t>
      </w:r>
    </w:p>
  </w:footnote>
  <w:footnote w:id="299">
    <w:p w14:paraId="472AAB57" w14:textId="297687E1"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smallCaps/>
          <w:sz w:val="20"/>
          <w:szCs w:val="20"/>
        </w:rPr>
        <w:t>Fed. R. Bankr. Proc.</w:t>
      </w:r>
      <w:r w:rsidRPr="002552EA">
        <w:rPr>
          <w:rFonts w:cstheme="minorHAnsi"/>
          <w:sz w:val="20"/>
          <w:szCs w:val="20"/>
        </w:rPr>
        <w:t xml:space="preserve">  3015(b). This time period may be extended, but only for cause. Payments under a chapter 13 plan must begin 30 days after the filing of the petition. </w:t>
      </w:r>
      <w:r w:rsidRPr="002552EA">
        <w:rPr>
          <w:rFonts w:cstheme="minorHAnsi"/>
          <w:i/>
          <w:sz w:val="20"/>
          <w:szCs w:val="20"/>
        </w:rPr>
        <w:t xml:space="preserve">See </w:t>
      </w:r>
      <w:r>
        <w:rPr>
          <w:rFonts w:cstheme="minorHAnsi"/>
          <w:sz w:val="20"/>
          <w:szCs w:val="20"/>
        </w:rPr>
        <w:t xml:space="preserve">11 U.S.C. § 1326(a)(1) (2012). </w:t>
      </w:r>
      <w:r w:rsidRPr="002552EA">
        <w:rPr>
          <w:rFonts w:cstheme="minorHAnsi"/>
          <w:sz w:val="20"/>
          <w:szCs w:val="20"/>
        </w:rPr>
        <w:t xml:space="preserve">Chapter 11 has no such deadline. It merely requires that payments begin upon the effective date of the plan, which is normally shortly after confirmation. </w:t>
      </w:r>
      <w:r w:rsidRPr="002552EA">
        <w:rPr>
          <w:rFonts w:cstheme="minorHAnsi"/>
          <w:smallCaps/>
          <w:sz w:val="20"/>
          <w:szCs w:val="20"/>
        </w:rPr>
        <w:t>Fed. R. Bankr. Proc.</w:t>
      </w:r>
      <w:r w:rsidRPr="002552EA">
        <w:rPr>
          <w:rFonts w:cstheme="minorHAnsi"/>
          <w:sz w:val="20"/>
          <w:szCs w:val="20"/>
        </w:rPr>
        <w:t xml:space="preserve">  3021 (providing that, after plan confirmation, “distribution shall be made to creditors whose claims have been allowed”). This substantial delay in the requirement for beginning payments may benefit debtors who lack the wherewithal to pay creditors at the time of filing, but who anticipate income at a later date. </w:t>
      </w:r>
    </w:p>
  </w:footnote>
  <w:footnote w:id="300">
    <w:p w14:paraId="4AFBFFE6"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1121(e)(2) (2012). </w:t>
      </w:r>
    </w:p>
  </w:footnote>
  <w:footnote w:id="301">
    <w:p w14:paraId="4094E57C" w14:textId="6D5789F0"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In re </w:t>
      </w:r>
      <w:r w:rsidRPr="002552EA">
        <w:rPr>
          <w:rFonts w:cstheme="minorHAnsi"/>
          <w:sz w:val="20"/>
          <w:szCs w:val="20"/>
        </w:rPr>
        <w:t>Blonder</w:t>
      </w:r>
      <w:r w:rsidRPr="002552EA">
        <w:rPr>
          <w:rFonts w:cstheme="minorHAnsi"/>
          <w:i/>
          <w:sz w:val="20"/>
          <w:szCs w:val="20"/>
        </w:rPr>
        <w:t xml:space="preserve">, </w:t>
      </w:r>
      <w:r w:rsidRPr="002552EA">
        <w:rPr>
          <w:rFonts w:cstheme="minorHAnsi"/>
          <w:sz w:val="20"/>
          <w:szCs w:val="20"/>
        </w:rPr>
        <w:t xml:space="preserve">No. 13-76658 (Bankr. N.D. Ga. Dec. 9, 2013); </w:t>
      </w:r>
      <w:r w:rsidRPr="002552EA">
        <w:rPr>
          <w:rFonts w:cstheme="minorHAnsi"/>
          <w:i/>
          <w:sz w:val="20"/>
          <w:szCs w:val="20"/>
        </w:rPr>
        <w:t xml:space="preserve">In re </w:t>
      </w:r>
      <w:r w:rsidRPr="002552EA">
        <w:rPr>
          <w:rFonts w:cstheme="minorHAnsi"/>
          <w:sz w:val="20"/>
          <w:szCs w:val="20"/>
        </w:rPr>
        <w:t>Chen</w:t>
      </w:r>
      <w:r w:rsidRPr="002552EA">
        <w:rPr>
          <w:rFonts w:cstheme="minorHAnsi"/>
          <w:i/>
          <w:sz w:val="20"/>
          <w:szCs w:val="20"/>
        </w:rPr>
        <w:t xml:space="preserve">, </w:t>
      </w:r>
      <w:r w:rsidRPr="002552EA">
        <w:rPr>
          <w:rFonts w:cstheme="minorHAnsi"/>
          <w:sz w:val="20"/>
          <w:szCs w:val="20"/>
        </w:rPr>
        <w:t xml:space="preserve">No. 13-25674 (Bankr. C.D. Cal. June 14, 2013). </w:t>
      </w:r>
    </w:p>
  </w:footnote>
  <w:footnote w:id="302">
    <w:p w14:paraId="4848975F"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See Success of Chapter 11,</w:t>
      </w:r>
      <w:r w:rsidRPr="002552EA">
        <w:rPr>
          <w:rFonts w:cstheme="minorHAnsi"/>
          <w:sz w:val="20"/>
          <w:szCs w:val="20"/>
        </w:rPr>
        <w:t xml:space="preserve"> </w:t>
      </w:r>
      <w:r w:rsidRPr="002552EA">
        <w:rPr>
          <w:rFonts w:cstheme="minorHAnsi"/>
          <w:i/>
          <w:sz w:val="20"/>
          <w:szCs w:val="20"/>
        </w:rPr>
        <w:t xml:space="preserve">supra </w:t>
      </w:r>
      <w:r w:rsidRPr="002552EA">
        <w:rPr>
          <w:rFonts w:cstheme="minorHAnsi"/>
          <w:sz w:val="20"/>
          <w:szCs w:val="20"/>
        </w:rPr>
        <w:t xml:space="preserve">note </w:t>
      </w:r>
      <w:r w:rsidRPr="00563914">
        <w:rPr>
          <w:rFonts w:cstheme="minorHAnsi"/>
          <w:sz w:val="20"/>
          <w:szCs w:val="20"/>
        </w:rPr>
        <w:fldChar w:fldCharType="begin"/>
      </w:r>
      <w:r w:rsidRPr="002552EA">
        <w:rPr>
          <w:rFonts w:cstheme="minorHAnsi"/>
          <w:sz w:val="20"/>
          <w:szCs w:val="20"/>
        </w:rPr>
        <w:instrText xml:space="preserve"> NOTEREF _Ref276229185 \h  \* MERGEFORMAT </w:instrText>
      </w:r>
      <w:r w:rsidRPr="00563914">
        <w:rPr>
          <w:rFonts w:cstheme="minorHAnsi"/>
          <w:sz w:val="20"/>
          <w:szCs w:val="20"/>
        </w:rPr>
      </w:r>
      <w:r w:rsidRPr="00563914">
        <w:rPr>
          <w:rFonts w:cstheme="minorHAnsi"/>
          <w:sz w:val="20"/>
          <w:szCs w:val="20"/>
        </w:rPr>
        <w:fldChar w:fldCharType="separate"/>
      </w:r>
      <w:r>
        <w:rPr>
          <w:rFonts w:cstheme="minorHAnsi"/>
          <w:sz w:val="20"/>
          <w:szCs w:val="20"/>
        </w:rPr>
        <w:t>3</w:t>
      </w:r>
      <w:r w:rsidRPr="00563914">
        <w:rPr>
          <w:rFonts w:cstheme="minorHAnsi"/>
          <w:sz w:val="20"/>
          <w:szCs w:val="20"/>
        </w:rPr>
        <w:fldChar w:fldCharType="end"/>
      </w:r>
      <w:r w:rsidRPr="002552EA">
        <w:rPr>
          <w:rFonts w:cstheme="minorHAnsi"/>
          <w:sz w:val="20"/>
          <w:szCs w:val="20"/>
        </w:rPr>
        <w:t>.</w:t>
      </w:r>
    </w:p>
  </w:footnote>
  <w:footnote w:id="303">
    <w:p w14:paraId="23E3F8FF" w14:textId="7602F793" w:rsidR="00560FBA" w:rsidRPr="002552EA" w:rsidRDefault="00560FBA" w:rsidP="00106D9A">
      <w:pPr>
        <w:pStyle w:val="FootnoteText"/>
        <w:rPr>
          <w:rFonts w:cstheme="minorHAnsi"/>
          <w: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Chapter 11 Triage, supra </w:t>
      </w:r>
      <w:r w:rsidRPr="002552EA">
        <w:rPr>
          <w:rFonts w:cstheme="minorHAnsi"/>
          <w:sz w:val="20"/>
          <w:szCs w:val="20"/>
        </w:rPr>
        <w:t xml:space="preserve">note </w:t>
      </w:r>
      <w:r w:rsidRPr="00563914">
        <w:rPr>
          <w:rFonts w:cstheme="minorHAnsi"/>
          <w:sz w:val="20"/>
          <w:szCs w:val="20"/>
        </w:rPr>
        <w:fldChar w:fldCharType="begin"/>
      </w:r>
      <w:r w:rsidRPr="002552EA">
        <w:rPr>
          <w:rFonts w:cstheme="minorHAnsi"/>
          <w:sz w:val="20"/>
          <w:szCs w:val="20"/>
        </w:rPr>
        <w:instrText xml:space="preserve"> NOTEREF _Ref333754343 \h </w:instrText>
      </w:r>
      <w:r w:rsidRPr="00563914">
        <w:rPr>
          <w:rFonts w:cstheme="minorHAnsi"/>
          <w:sz w:val="20"/>
          <w:szCs w:val="20"/>
        </w:rPr>
      </w:r>
      <w:r w:rsidRPr="00563914">
        <w:rPr>
          <w:rFonts w:cstheme="minorHAnsi"/>
          <w:sz w:val="20"/>
          <w:szCs w:val="20"/>
        </w:rPr>
        <w:fldChar w:fldCharType="separate"/>
      </w:r>
      <w:r>
        <w:rPr>
          <w:rFonts w:cstheme="minorHAnsi"/>
          <w:sz w:val="20"/>
          <w:szCs w:val="20"/>
        </w:rPr>
        <w:t>126</w:t>
      </w:r>
      <w:r w:rsidRPr="00563914">
        <w:rPr>
          <w:rFonts w:cstheme="minorHAnsi"/>
          <w:sz w:val="20"/>
          <w:szCs w:val="20"/>
        </w:rPr>
        <w:fldChar w:fldCharType="end"/>
      </w:r>
      <w:r w:rsidRPr="002552EA">
        <w:rPr>
          <w:rFonts w:cstheme="minorHAnsi"/>
          <w:sz w:val="20"/>
          <w:szCs w:val="20"/>
        </w:rPr>
        <w:t xml:space="preserve">, at 1004. </w:t>
      </w:r>
    </w:p>
  </w:footnote>
  <w:footnote w:id="304">
    <w:p w14:paraId="7BD40E2C"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See</w:t>
      </w:r>
      <w:r w:rsidRPr="002552EA">
        <w:rPr>
          <w:rFonts w:cstheme="minorHAnsi"/>
          <w:sz w:val="20"/>
          <w:szCs w:val="20"/>
        </w:rPr>
        <w:t xml:space="preserve"> </w:t>
      </w:r>
      <w:r w:rsidRPr="002552EA">
        <w:rPr>
          <w:rFonts w:cstheme="minorHAnsi"/>
          <w:i/>
          <w:sz w:val="20"/>
          <w:szCs w:val="20"/>
        </w:rPr>
        <w:t>Success of Chapter 11, supra</w:t>
      </w:r>
      <w:r w:rsidRPr="002552EA">
        <w:rPr>
          <w:rFonts w:cstheme="minorHAnsi"/>
          <w:sz w:val="20"/>
          <w:szCs w:val="20"/>
        </w:rPr>
        <w:t xml:space="preserve"> note </w:t>
      </w:r>
      <w:r w:rsidRPr="00563914">
        <w:rPr>
          <w:rFonts w:cstheme="minorHAnsi"/>
          <w:sz w:val="20"/>
          <w:szCs w:val="20"/>
        </w:rPr>
        <w:fldChar w:fldCharType="begin"/>
      </w:r>
      <w:r w:rsidRPr="002552EA">
        <w:rPr>
          <w:rFonts w:cstheme="minorHAnsi"/>
          <w:sz w:val="20"/>
          <w:szCs w:val="20"/>
        </w:rPr>
        <w:instrText xml:space="preserve"> NOTEREF _Ref276229185 \h  \* MERGEFORMAT </w:instrText>
      </w:r>
      <w:r w:rsidRPr="00563914">
        <w:rPr>
          <w:rFonts w:cstheme="minorHAnsi"/>
          <w:sz w:val="20"/>
          <w:szCs w:val="20"/>
        </w:rPr>
      </w:r>
      <w:r w:rsidRPr="00563914">
        <w:rPr>
          <w:rFonts w:cstheme="minorHAnsi"/>
          <w:sz w:val="20"/>
          <w:szCs w:val="20"/>
        </w:rPr>
        <w:fldChar w:fldCharType="separate"/>
      </w:r>
      <w:r>
        <w:rPr>
          <w:rFonts w:cstheme="minorHAnsi"/>
          <w:sz w:val="20"/>
          <w:szCs w:val="20"/>
        </w:rPr>
        <w:t>3</w:t>
      </w:r>
      <w:r w:rsidRPr="00563914">
        <w:rPr>
          <w:rFonts w:cstheme="minorHAnsi"/>
          <w:sz w:val="20"/>
          <w:szCs w:val="20"/>
        </w:rPr>
        <w:fldChar w:fldCharType="end"/>
      </w:r>
      <w:r w:rsidRPr="002552EA">
        <w:rPr>
          <w:rFonts w:cstheme="minorHAnsi"/>
          <w:i/>
          <w:sz w:val="20"/>
          <w:szCs w:val="20"/>
        </w:rPr>
        <w:t xml:space="preserve">, </w:t>
      </w:r>
      <w:r w:rsidRPr="002552EA">
        <w:rPr>
          <w:rFonts w:cstheme="minorHAnsi"/>
          <w:sz w:val="20"/>
          <w:szCs w:val="20"/>
        </w:rPr>
        <w:t>at 632.</w:t>
      </w:r>
    </w:p>
  </w:footnote>
  <w:footnote w:id="305">
    <w:p w14:paraId="19009BFE" w14:textId="77777777" w:rsidR="00560FBA" w:rsidRPr="002552EA" w:rsidRDefault="00560FBA" w:rsidP="006C68D6">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supra </w:t>
      </w:r>
      <w:r w:rsidRPr="002552EA">
        <w:rPr>
          <w:rFonts w:cstheme="minorHAnsi"/>
          <w:sz w:val="20"/>
          <w:szCs w:val="20"/>
        </w:rPr>
        <w:t>Table 14.</w:t>
      </w:r>
    </w:p>
  </w:footnote>
  <w:footnote w:id="306">
    <w:p w14:paraId="476D1BF7" w14:textId="3A93557B" w:rsidR="00560FBA" w:rsidRPr="002552EA" w:rsidRDefault="00560FBA" w:rsidP="006C68D6">
      <w:pPr>
        <w:pStyle w:val="ListParagraph"/>
        <w:ind w:left="0"/>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1121(e)(2) (2012). This provision was added in 2005, Pub. L. 109-8, § 437, apparently because Congress believed that too many debtors were languishing in bankruptcy. Thus, Congress </w:t>
      </w:r>
      <w:r w:rsidRPr="002552EA">
        <w:rPr>
          <w:rFonts w:cstheme="minorHAnsi"/>
          <w:color w:val="000000" w:themeColor="text1"/>
          <w:sz w:val="20"/>
          <w:szCs w:val="20"/>
        </w:rPr>
        <w:t xml:space="preserve">created new exclusivity and plan-proposal time limits applicable only to small business debtors. Such a debtor has a 180-day exclusivity period, compared with the 120-day period for non-small business debtors. </w:t>
      </w:r>
      <w:r w:rsidRPr="002552EA">
        <w:rPr>
          <w:rFonts w:cstheme="minorHAnsi"/>
          <w:i/>
          <w:sz w:val="20"/>
          <w:szCs w:val="20"/>
        </w:rPr>
        <w:t xml:space="preserve">Compare </w:t>
      </w:r>
      <w:r w:rsidRPr="002552EA">
        <w:rPr>
          <w:rFonts w:cstheme="minorHAnsi"/>
          <w:sz w:val="20"/>
          <w:szCs w:val="20"/>
        </w:rPr>
        <w:t xml:space="preserve">11 U.S.C. § 1121(b) (120 days), </w:t>
      </w:r>
      <w:r w:rsidRPr="002552EA">
        <w:rPr>
          <w:rFonts w:cstheme="minorHAnsi"/>
          <w:i/>
          <w:sz w:val="20"/>
          <w:szCs w:val="20"/>
        </w:rPr>
        <w:t xml:space="preserve">with </w:t>
      </w:r>
      <w:r w:rsidRPr="002552EA">
        <w:rPr>
          <w:rFonts w:cstheme="minorHAnsi"/>
          <w:sz w:val="20"/>
          <w:szCs w:val="20"/>
        </w:rPr>
        <w:t xml:space="preserve">11 U.S.C. § 1121(e)(1) (180 days).  </w:t>
      </w:r>
    </w:p>
    <w:p w14:paraId="3FD6B184" w14:textId="5A3F16A6" w:rsidR="00560FBA" w:rsidRPr="002552EA" w:rsidRDefault="00560FBA" w:rsidP="006C68D6">
      <w:pPr>
        <w:pStyle w:val="FootnoteText"/>
        <w:ind w:firstLine="720"/>
        <w:rPr>
          <w:rFonts w:cstheme="minorHAnsi"/>
          <w:sz w:val="20"/>
          <w:szCs w:val="20"/>
        </w:rPr>
      </w:pPr>
      <w:r w:rsidRPr="002552EA">
        <w:rPr>
          <w:rFonts w:cstheme="minorHAnsi"/>
          <w:sz w:val="20"/>
          <w:szCs w:val="20"/>
        </w:rPr>
        <w:t xml:space="preserve">Three hundred days is a limit; if the debtor has not filed a plan by that time, the case may be dismissed. </w:t>
      </w:r>
      <w:r w:rsidRPr="002552EA">
        <w:rPr>
          <w:rFonts w:cstheme="minorHAnsi"/>
          <w:i/>
          <w:sz w:val="20"/>
          <w:szCs w:val="20"/>
        </w:rPr>
        <w:t>See, e.g.,</w:t>
      </w:r>
      <w:r w:rsidRPr="002552EA">
        <w:rPr>
          <w:rFonts w:cstheme="minorHAnsi"/>
          <w:sz w:val="20"/>
          <w:szCs w:val="20"/>
        </w:rPr>
        <w:t xml:space="preserve"> </w:t>
      </w:r>
      <w:r w:rsidRPr="002552EA">
        <w:rPr>
          <w:rFonts w:cstheme="minorHAnsi"/>
          <w:i/>
          <w:sz w:val="20"/>
          <w:szCs w:val="20"/>
        </w:rPr>
        <w:t xml:space="preserve">In re </w:t>
      </w:r>
      <w:r w:rsidRPr="002552EA">
        <w:rPr>
          <w:rFonts w:cstheme="minorHAnsi"/>
          <w:sz w:val="20"/>
          <w:szCs w:val="20"/>
        </w:rPr>
        <w:t>Randi’s, Inc</w:t>
      </w:r>
      <w:r w:rsidRPr="002552EA">
        <w:rPr>
          <w:rFonts w:cstheme="minorHAnsi"/>
          <w:i/>
          <w:sz w:val="20"/>
          <w:szCs w:val="20"/>
        </w:rPr>
        <w:t xml:space="preserve">. </w:t>
      </w:r>
      <w:r w:rsidRPr="002552EA">
        <w:rPr>
          <w:rFonts w:cstheme="minorHAnsi"/>
          <w:sz w:val="20"/>
          <w:szCs w:val="20"/>
        </w:rPr>
        <w:t xml:space="preserve">474 B.R. 783, 786 (Bankr. S.D. Ga. 2012) (holding that “[o]nce the 300-day time period ends and there is no plan filed by any party in interest, ‘cause’ for dismissal exists”); </w:t>
      </w:r>
      <w:r w:rsidRPr="002552EA">
        <w:rPr>
          <w:rFonts w:cstheme="minorHAnsi"/>
          <w:i/>
          <w:sz w:val="20"/>
          <w:szCs w:val="20"/>
        </w:rPr>
        <w:t xml:space="preserve">In re </w:t>
      </w:r>
      <w:r w:rsidRPr="002552EA">
        <w:rPr>
          <w:rFonts w:cstheme="minorHAnsi"/>
          <w:sz w:val="20"/>
          <w:szCs w:val="20"/>
        </w:rPr>
        <w:t>Castle Horizon Real Estate, LLC</w:t>
      </w:r>
      <w:r w:rsidRPr="002552EA">
        <w:rPr>
          <w:rFonts w:cstheme="minorHAnsi"/>
          <w:i/>
          <w:sz w:val="20"/>
          <w:szCs w:val="20"/>
        </w:rPr>
        <w:t xml:space="preserve">, </w:t>
      </w:r>
      <w:r w:rsidRPr="002552EA">
        <w:rPr>
          <w:rFonts w:cstheme="minorHAnsi"/>
          <w:sz w:val="20"/>
          <w:szCs w:val="20"/>
        </w:rPr>
        <w:t xml:space="preserve">2010 WL 3636160, at *2 (Bankr. E.D.N.C. Sept. 10, 2010) (stating that “no relief is available” if no one has filed a plan within 300 days). Some cases hold the 300-day deadline applicable only to plans filed by the debtor, however. </w:t>
      </w:r>
      <w:r w:rsidRPr="002552EA">
        <w:rPr>
          <w:rFonts w:cstheme="minorHAnsi"/>
          <w:i/>
          <w:sz w:val="20"/>
          <w:szCs w:val="20"/>
        </w:rPr>
        <w:t>See, e.g</w:t>
      </w:r>
      <w:r w:rsidRPr="002552EA">
        <w:rPr>
          <w:rFonts w:cstheme="minorHAnsi"/>
          <w:sz w:val="20"/>
          <w:szCs w:val="20"/>
        </w:rPr>
        <w:t xml:space="preserve">., </w:t>
      </w:r>
      <w:r w:rsidRPr="002552EA">
        <w:rPr>
          <w:rFonts w:cstheme="minorHAnsi"/>
          <w:i/>
          <w:sz w:val="20"/>
          <w:szCs w:val="20"/>
        </w:rPr>
        <w:t xml:space="preserve">In re </w:t>
      </w:r>
      <w:r w:rsidRPr="002552EA">
        <w:rPr>
          <w:rFonts w:cstheme="minorHAnsi"/>
          <w:sz w:val="20"/>
          <w:szCs w:val="20"/>
        </w:rPr>
        <w:t>Florida Coastal Airlines, Inc</w:t>
      </w:r>
      <w:r w:rsidRPr="002552EA">
        <w:rPr>
          <w:rFonts w:cstheme="minorHAnsi"/>
          <w:i/>
          <w:sz w:val="20"/>
          <w:szCs w:val="20"/>
        </w:rPr>
        <w:t xml:space="preserve">., </w:t>
      </w:r>
      <w:r w:rsidRPr="002552EA">
        <w:rPr>
          <w:rFonts w:cstheme="minorHAnsi"/>
          <w:sz w:val="20"/>
          <w:szCs w:val="20"/>
        </w:rPr>
        <w:t>361 B.R. 286, 292 (Bankr. S.D. Fla. 2007) (holding that the 300-day plan period in §</w:t>
      </w:r>
      <w:r>
        <w:rPr>
          <w:rFonts w:cstheme="minorHAnsi"/>
          <w:sz w:val="20"/>
          <w:szCs w:val="20"/>
        </w:rPr>
        <w:t> </w:t>
      </w:r>
      <w:r w:rsidRPr="002552EA">
        <w:rPr>
          <w:rFonts w:cstheme="minorHAnsi"/>
          <w:sz w:val="20"/>
          <w:szCs w:val="20"/>
        </w:rPr>
        <w:t>1121(e)(2) “applies only to plans filed by the debtor and that there is no statutory deadline for the filing of such a reorganization plan by any party in interest other than the debtor”).</w:t>
      </w:r>
    </w:p>
  </w:footnote>
  <w:footnote w:id="307">
    <w:p w14:paraId="2A64E62D" w14:textId="77777777" w:rsidR="00560FBA" w:rsidRPr="002552EA" w:rsidRDefault="00560FBA" w:rsidP="006C68D6">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We counted from the start of the chapter 11 case, not from the order for relief in cases in which the debtor first filed under another chapter of the Bankruptcy Code because a debtor who initially files under chapter 7 or 13 would not propose a chapter 11 plan until the case converted to chapter 11. </w:t>
      </w:r>
    </w:p>
  </w:footnote>
  <w:footnote w:id="308">
    <w:p w14:paraId="7BDF2249" w14:textId="0EAEE0C5" w:rsidR="00560FBA" w:rsidRPr="002552EA" w:rsidRDefault="00560FBA" w:rsidP="006C68D6">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One of the four debtors did not technically satisfy the 300-day plan-proposal requirement, having proposed his plan 301 days from filing his chapter 11 case. </w:t>
      </w:r>
      <w:r w:rsidRPr="002552EA">
        <w:rPr>
          <w:rFonts w:cstheme="minorHAnsi"/>
          <w:i/>
          <w:sz w:val="20"/>
          <w:szCs w:val="20"/>
        </w:rPr>
        <w:t xml:space="preserve">See In re </w:t>
      </w:r>
      <w:r w:rsidRPr="002552EA">
        <w:rPr>
          <w:rFonts w:cstheme="minorHAnsi"/>
          <w:sz w:val="20"/>
          <w:szCs w:val="20"/>
        </w:rPr>
        <w:t>Stickler</w:t>
      </w:r>
      <w:r w:rsidRPr="002552EA">
        <w:rPr>
          <w:rFonts w:cstheme="minorHAnsi"/>
          <w:i/>
          <w:sz w:val="20"/>
          <w:szCs w:val="20"/>
        </w:rPr>
        <w:t xml:space="preserve">, </w:t>
      </w:r>
      <w:r w:rsidRPr="002552EA">
        <w:rPr>
          <w:rFonts w:cstheme="minorHAnsi"/>
          <w:sz w:val="20"/>
          <w:szCs w:val="20"/>
        </w:rPr>
        <w:t>No. 10-10080 (M.D. Ala. Jan. 19, 2010). Debtor obtained confirmat</w:t>
      </w:r>
      <w:r>
        <w:rPr>
          <w:rFonts w:cstheme="minorHAnsi"/>
          <w:sz w:val="20"/>
          <w:szCs w:val="20"/>
        </w:rPr>
        <w:t>ion of his plan a little over fourteen</w:t>
      </w:r>
      <w:r w:rsidRPr="002552EA">
        <w:rPr>
          <w:rFonts w:cstheme="minorHAnsi"/>
          <w:sz w:val="20"/>
          <w:szCs w:val="20"/>
        </w:rPr>
        <w:t xml:space="preserve"> months from the filing of his petition for relief under chapter 11. </w:t>
      </w:r>
      <w:r w:rsidRPr="002552EA">
        <w:rPr>
          <w:rFonts w:cstheme="minorHAnsi"/>
          <w:i/>
          <w:sz w:val="20"/>
          <w:szCs w:val="20"/>
        </w:rPr>
        <w:t xml:space="preserve">See </w:t>
      </w:r>
      <w:r w:rsidRPr="002552EA">
        <w:rPr>
          <w:rFonts w:cstheme="minorHAnsi"/>
          <w:sz w:val="20"/>
          <w:szCs w:val="20"/>
        </w:rPr>
        <w:t xml:space="preserve">Final Order Approving Disclosure Statement and Confirming Plan, </w:t>
      </w:r>
      <w:r w:rsidRPr="002552EA">
        <w:rPr>
          <w:rFonts w:cstheme="minorHAnsi"/>
          <w:i/>
          <w:sz w:val="20"/>
          <w:szCs w:val="20"/>
        </w:rPr>
        <w:t xml:space="preserve">In re </w:t>
      </w:r>
      <w:r w:rsidRPr="00A77EF6">
        <w:rPr>
          <w:rFonts w:cstheme="minorHAnsi"/>
          <w:sz w:val="20"/>
          <w:szCs w:val="20"/>
        </w:rPr>
        <w:t>Stickler</w:t>
      </w:r>
      <w:r w:rsidRPr="002552EA">
        <w:rPr>
          <w:rFonts w:cstheme="minorHAnsi"/>
          <w:i/>
          <w:sz w:val="20"/>
          <w:szCs w:val="20"/>
        </w:rPr>
        <w:t xml:space="preserve">, </w:t>
      </w:r>
      <w:r w:rsidRPr="002552EA">
        <w:rPr>
          <w:rFonts w:cstheme="minorHAnsi"/>
          <w:sz w:val="20"/>
          <w:szCs w:val="20"/>
        </w:rPr>
        <w:t xml:space="preserve">No. 10-10080 (M.D. Ala. Mar. 30, 2011) (Dkt. No. 146). In two of the other three cases, the bankruptcy court confirmed a plan, while in the third the court dismissed the case. </w:t>
      </w:r>
      <w:r w:rsidRPr="002552EA">
        <w:rPr>
          <w:rFonts w:cstheme="minorHAnsi"/>
          <w:i/>
          <w:sz w:val="20"/>
          <w:szCs w:val="20"/>
        </w:rPr>
        <w:t>See</w:t>
      </w:r>
      <w:r w:rsidRPr="002552EA">
        <w:rPr>
          <w:rFonts w:cstheme="minorHAnsi"/>
          <w:sz w:val="20"/>
          <w:szCs w:val="20"/>
        </w:rPr>
        <w:t xml:space="preserve"> Stipulated Order Confirming Plan, </w:t>
      </w:r>
      <w:r w:rsidRPr="002552EA">
        <w:rPr>
          <w:rFonts w:cstheme="minorHAnsi"/>
          <w:i/>
          <w:sz w:val="20"/>
          <w:szCs w:val="20"/>
        </w:rPr>
        <w:t xml:space="preserve">In re </w:t>
      </w:r>
      <w:r w:rsidRPr="00A77EF6">
        <w:rPr>
          <w:rFonts w:cstheme="minorHAnsi"/>
          <w:sz w:val="20"/>
          <w:szCs w:val="20"/>
        </w:rPr>
        <w:t>McManus Enterprises, Inc</w:t>
      </w:r>
      <w:r w:rsidRPr="002552EA">
        <w:rPr>
          <w:rFonts w:cstheme="minorHAnsi"/>
          <w:i/>
          <w:sz w:val="20"/>
          <w:szCs w:val="20"/>
        </w:rPr>
        <w:t xml:space="preserve">., </w:t>
      </w:r>
      <w:r w:rsidRPr="002552EA">
        <w:rPr>
          <w:rFonts w:cstheme="minorHAnsi"/>
          <w:sz w:val="20"/>
          <w:szCs w:val="20"/>
        </w:rPr>
        <w:t xml:space="preserve">No. 10-40983 (Bankr. D. Neb. Sept. 6, 2012) (Docket No. 183) (bankruptcy court entered order of confirmation on docket of lead corporate case for plan covering married individual debtors and three jointly administered business cases); Order Dismissing Case and Barring Refiling, </w:t>
      </w:r>
      <w:r w:rsidRPr="002552EA">
        <w:rPr>
          <w:rFonts w:cstheme="minorHAnsi"/>
          <w:i/>
          <w:sz w:val="20"/>
          <w:szCs w:val="20"/>
        </w:rPr>
        <w:t xml:space="preserve">In re </w:t>
      </w:r>
      <w:r w:rsidRPr="00A77EF6">
        <w:rPr>
          <w:rFonts w:cstheme="minorHAnsi"/>
          <w:sz w:val="20"/>
          <w:szCs w:val="20"/>
        </w:rPr>
        <w:t>Church</w:t>
      </w:r>
      <w:r w:rsidRPr="002552EA">
        <w:rPr>
          <w:rFonts w:cstheme="minorHAnsi"/>
          <w:i/>
          <w:sz w:val="20"/>
          <w:szCs w:val="20"/>
        </w:rPr>
        <w:t xml:space="preserve">, </w:t>
      </w:r>
      <w:r w:rsidRPr="002552EA">
        <w:rPr>
          <w:rFonts w:cstheme="minorHAnsi"/>
          <w:sz w:val="20"/>
          <w:szCs w:val="20"/>
        </w:rPr>
        <w:t xml:space="preserve">No. 10-50168 (Bankr. W.D. N.C. March 11, 2011) (Docket No. 126) (capitalization in original) (granting motion of Bankruptcy Administrator to dismiss case, noting dismissal of debtor’s previously filed 2009 chapter 13 case, barring debtor’s refiling within 180 days of dismissal order of any case under chapters 11, 12 or 13, and explaining that while debtor could refile under chapter 7 doing so would “NOT INVOKE THE STAY PROVISIONS OF 11 U.S.C. § 362”); </w:t>
      </w:r>
      <w:r w:rsidRPr="002552EA">
        <w:rPr>
          <w:rFonts w:cstheme="minorHAnsi"/>
          <w:i/>
          <w:sz w:val="20"/>
          <w:szCs w:val="20"/>
        </w:rPr>
        <w:t xml:space="preserve">In re </w:t>
      </w:r>
      <w:r w:rsidRPr="00A77EF6">
        <w:rPr>
          <w:rFonts w:cstheme="minorHAnsi"/>
          <w:sz w:val="20"/>
          <w:szCs w:val="20"/>
        </w:rPr>
        <w:t>Zakaria</w:t>
      </w:r>
      <w:r w:rsidRPr="002552EA">
        <w:rPr>
          <w:rFonts w:cstheme="minorHAnsi"/>
          <w:i/>
          <w:sz w:val="20"/>
          <w:szCs w:val="20"/>
        </w:rPr>
        <w:t xml:space="preserve">, </w:t>
      </w:r>
      <w:r w:rsidRPr="002552EA">
        <w:rPr>
          <w:rFonts w:cstheme="minorHAnsi"/>
          <w:sz w:val="20"/>
          <w:szCs w:val="20"/>
        </w:rPr>
        <w:t>No. 10-03146 (Bankr. M.D. Tenn. March 24, 2010) (plan confirmed and case later reopened for entry of order of discharge).</w:t>
      </w:r>
    </w:p>
  </w:footnote>
  <w:footnote w:id="309">
    <w:p w14:paraId="1130AF64"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1129(e) (2012). </w:t>
      </w:r>
    </w:p>
  </w:footnote>
  <w:footnote w:id="310">
    <w:p w14:paraId="13C5371E" w14:textId="0C495046"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It is not clear whether the </w:t>
      </w:r>
      <w:r>
        <w:rPr>
          <w:rFonts w:cstheme="minorHAnsi"/>
          <w:sz w:val="20"/>
          <w:szCs w:val="20"/>
        </w:rPr>
        <w:t>forty-five</w:t>
      </w:r>
      <w:r w:rsidRPr="002552EA">
        <w:rPr>
          <w:rFonts w:cstheme="minorHAnsi"/>
          <w:sz w:val="20"/>
          <w:szCs w:val="20"/>
        </w:rPr>
        <w:t xml:space="preserve"> days runs from the first-filed plan or re-sets when the debtor amends the first plan. </w:t>
      </w:r>
      <w:r w:rsidRPr="002552EA">
        <w:rPr>
          <w:rFonts w:cstheme="minorHAnsi"/>
          <w:i/>
          <w:sz w:val="20"/>
          <w:szCs w:val="20"/>
        </w:rPr>
        <w:t xml:space="preserve">See In re </w:t>
      </w:r>
      <w:r w:rsidRPr="002552EA">
        <w:rPr>
          <w:rFonts w:cstheme="minorHAnsi"/>
          <w:sz w:val="20"/>
          <w:szCs w:val="20"/>
        </w:rPr>
        <w:t>Crossroads Ford, Inc</w:t>
      </w:r>
      <w:r w:rsidRPr="002552EA">
        <w:rPr>
          <w:rFonts w:cstheme="minorHAnsi"/>
          <w:i/>
          <w:sz w:val="20"/>
          <w:szCs w:val="20"/>
        </w:rPr>
        <w:t xml:space="preserve">., </w:t>
      </w:r>
      <w:r w:rsidRPr="002552EA">
        <w:rPr>
          <w:rFonts w:cstheme="minorHAnsi"/>
          <w:sz w:val="20"/>
          <w:szCs w:val="20"/>
        </w:rPr>
        <w:t xml:space="preserve">453 B.R. 764, 769-70 (Bankr. D. Neb. 2011) (holding that debtor’s failure to confirm initially filed plan within </w:t>
      </w:r>
      <w:r>
        <w:rPr>
          <w:rFonts w:cstheme="minorHAnsi"/>
          <w:sz w:val="20"/>
          <w:szCs w:val="20"/>
        </w:rPr>
        <w:t>forty-five</w:t>
      </w:r>
      <w:r w:rsidRPr="002552EA">
        <w:rPr>
          <w:rFonts w:cstheme="minorHAnsi"/>
          <w:sz w:val="20"/>
          <w:szCs w:val="20"/>
        </w:rPr>
        <w:t xml:space="preserve"> days did not preclude debtor from filing an amended plan within 300 days and obtaining con</w:t>
      </w:r>
      <w:r>
        <w:rPr>
          <w:rFonts w:cstheme="minorHAnsi"/>
          <w:sz w:val="20"/>
          <w:szCs w:val="20"/>
        </w:rPr>
        <w:t>firmation of that plan within forty-five</w:t>
      </w:r>
      <w:r w:rsidRPr="002552EA">
        <w:rPr>
          <w:rFonts w:cstheme="minorHAnsi"/>
          <w:sz w:val="20"/>
          <w:szCs w:val="20"/>
        </w:rPr>
        <w:t xml:space="preserve"> days of its filing); </w:t>
      </w:r>
      <w:r w:rsidRPr="002552EA">
        <w:rPr>
          <w:rFonts w:cstheme="minorHAnsi"/>
          <w:i/>
          <w:sz w:val="20"/>
          <w:szCs w:val="20"/>
        </w:rPr>
        <w:t xml:space="preserve">cf. In re </w:t>
      </w:r>
      <w:r w:rsidRPr="002552EA">
        <w:rPr>
          <w:rFonts w:cstheme="minorHAnsi"/>
          <w:sz w:val="20"/>
          <w:szCs w:val="20"/>
        </w:rPr>
        <w:t>Save Our Springs Alliance, Inc</w:t>
      </w:r>
      <w:r w:rsidRPr="002552EA">
        <w:rPr>
          <w:rFonts w:cstheme="minorHAnsi"/>
          <w:i/>
          <w:sz w:val="20"/>
          <w:szCs w:val="20"/>
        </w:rPr>
        <w:t xml:space="preserve">., </w:t>
      </w:r>
      <w:r w:rsidRPr="002552EA">
        <w:rPr>
          <w:rFonts w:cstheme="minorHAnsi"/>
          <w:sz w:val="20"/>
          <w:szCs w:val="20"/>
        </w:rPr>
        <w:t>388 B.R. 202, 225 (Bankr. W.D. Tex. 2008)</w:t>
      </w:r>
      <w:r w:rsidRPr="002552EA">
        <w:rPr>
          <w:rFonts w:cstheme="minorHAnsi"/>
          <w:i/>
          <w:sz w:val="20"/>
          <w:szCs w:val="20"/>
        </w:rPr>
        <w:t xml:space="preserve"> </w:t>
      </w:r>
      <w:r>
        <w:rPr>
          <w:rFonts w:cstheme="minorHAnsi"/>
          <w:sz w:val="20"/>
          <w:szCs w:val="20"/>
        </w:rPr>
        <w:t>(holding that forty-five</w:t>
      </w:r>
      <w:r w:rsidRPr="002552EA">
        <w:rPr>
          <w:rFonts w:cstheme="minorHAnsi"/>
          <w:sz w:val="20"/>
          <w:szCs w:val="20"/>
        </w:rPr>
        <w:t>-day confirmation period runs from filing of the original plan, “at least when an amended plan is not substantially different from the original plan”).</w:t>
      </w:r>
    </w:p>
  </w:footnote>
  <w:footnote w:id="311">
    <w:p w14:paraId="35D055DB" w14:textId="307A63A8"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The National Bankruptcy Review Commission recommended establishing deadlines for plan proposal and confirmation, and “directing bankruptcy judges to use modern case-management techniques . . . to further reduce cost and delay” for small business cases. 1997 </w:t>
      </w:r>
      <w:r w:rsidRPr="002552EA">
        <w:rPr>
          <w:rFonts w:cstheme="minorHAnsi"/>
          <w:smallCaps/>
          <w:sz w:val="20"/>
          <w:szCs w:val="20"/>
        </w:rPr>
        <w:t xml:space="preserve">Commission Report, </w:t>
      </w:r>
      <w:r w:rsidRPr="002552EA">
        <w:rPr>
          <w:rFonts w:cstheme="minorHAnsi"/>
          <w:i/>
          <w:sz w:val="20"/>
          <w:szCs w:val="20"/>
        </w:rPr>
        <w:t xml:space="preserve">supra </w:t>
      </w:r>
      <w:r w:rsidRPr="002552EA">
        <w:rPr>
          <w:rFonts w:cstheme="minorHAnsi"/>
          <w:sz w:val="20"/>
          <w:szCs w:val="20"/>
        </w:rPr>
        <w:t xml:space="preserve">note </w:t>
      </w:r>
      <w:r w:rsidRPr="00563914">
        <w:rPr>
          <w:rFonts w:cstheme="minorHAnsi"/>
          <w:sz w:val="20"/>
          <w:szCs w:val="20"/>
        </w:rPr>
        <w:fldChar w:fldCharType="begin"/>
      </w:r>
      <w:r w:rsidRPr="002552EA">
        <w:rPr>
          <w:rFonts w:cstheme="minorHAnsi"/>
          <w:sz w:val="20"/>
          <w:szCs w:val="20"/>
        </w:rPr>
        <w:instrText xml:space="preserve"> NOTEREF _Ref333753489 \h </w:instrText>
      </w:r>
      <w:r w:rsidRPr="00563914">
        <w:rPr>
          <w:rFonts w:cstheme="minorHAnsi"/>
          <w:sz w:val="20"/>
          <w:szCs w:val="20"/>
        </w:rPr>
      </w:r>
      <w:r w:rsidRPr="00563914">
        <w:rPr>
          <w:rFonts w:cstheme="minorHAnsi"/>
          <w:sz w:val="20"/>
          <w:szCs w:val="20"/>
        </w:rPr>
        <w:fldChar w:fldCharType="separate"/>
      </w:r>
      <w:r>
        <w:rPr>
          <w:rFonts w:cstheme="minorHAnsi"/>
          <w:sz w:val="20"/>
          <w:szCs w:val="20"/>
        </w:rPr>
        <w:t>184</w:t>
      </w:r>
      <w:r w:rsidRPr="00563914">
        <w:rPr>
          <w:rFonts w:cstheme="minorHAnsi"/>
          <w:sz w:val="20"/>
          <w:szCs w:val="20"/>
        </w:rPr>
        <w:fldChar w:fldCharType="end"/>
      </w:r>
      <w:r w:rsidRPr="002552EA">
        <w:rPr>
          <w:rFonts w:cstheme="minorHAnsi"/>
          <w:sz w:val="20"/>
          <w:szCs w:val="20"/>
        </w:rPr>
        <w:t xml:space="preserve">, at 615 (footnote omitted). In it discussion, the Commission noted the “fast track” procedures that the Honorable Thomas A. Small had pioneered in the Eastern District of North Carolina in the 1980s. </w:t>
      </w:r>
      <w:r w:rsidRPr="002552EA">
        <w:rPr>
          <w:rFonts w:cstheme="minorHAnsi"/>
          <w:i/>
          <w:sz w:val="20"/>
          <w:szCs w:val="20"/>
        </w:rPr>
        <w:t xml:space="preserve">See id., </w:t>
      </w:r>
      <w:r w:rsidRPr="002552EA">
        <w:rPr>
          <w:rFonts w:cstheme="minorHAnsi"/>
          <w:sz w:val="20"/>
          <w:szCs w:val="20"/>
        </w:rPr>
        <w:t>n. 1569. With BAPCPA, Congress adopted the Commission’s recommendation to create deadlines for plan proposal and confirmation for small business cases, but changed the time periods that the Commission had suggested. Congress significantly length</w:t>
      </w:r>
      <w:r>
        <w:rPr>
          <w:rFonts w:cstheme="minorHAnsi"/>
          <w:sz w:val="20"/>
          <w:szCs w:val="20"/>
        </w:rPr>
        <w:t>ened the plan-proposal period—from ninety to 300 days—</w:t>
      </w:r>
      <w:r w:rsidRPr="002552EA">
        <w:rPr>
          <w:rFonts w:cstheme="minorHAnsi"/>
          <w:sz w:val="20"/>
          <w:szCs w:val="20"/>
        </w:rPr>
        <w:t xml:space="preserve">while effectively shortening the time to confirmation from plan proposal from </w:t>
      </w:r>
      <w:r>
        <w:rPr>
          <w:rFonts w:cstheme="minorHAnsi"/>
          <w:sz w:val="20"/>
          <w:szCs w:val="20"/>
        </w:rPr>
        <w:t>sixty</w:t>
      </w:r>
      <w:r w:rsidRPr="002552EA">
        <w:rPr>
          <w:rFonts w:cstheme="minorHAnsi"/>
          <w:sz w:val="20"/>
          <w:szCs w:val="20"/>
        </w:rPr>
        <w:t xml:space="preserve"> to </w:t>
      </w:r>
      <w:r>
        <w:rPr>
          <w:rFonts w:cstheme="minorHAnsi"/>
          <w:sz w:val="20"/>
          <w:szCs w:val="20"/>
        </w:rPr>
        <w:t>forty-five</w:t>
      </w:r>
      <w:r w:rsidRPr="002552EA">
        <w:rPr>
          <w:rFonts w:cstheme="minorHAnsi"/>
          <w:sz w:val="20"/>
          <w:szCs w:val="20"/>
        </w:rPr>
        <w:t xml:space="preserve"> days.  </w:t>
      </w:r>
      <w:r w:rsidRPr="002552EA">
        <w:rPr>
          <w:rFonts w:cstheme="minorHAnsi"/>
          <w:i/>
          <w:sz w:val="20"/>
          <w:szCs w:val="20"/>
        </w:rPr>
        <w:t xml:space="preserve">See id. </w:t>
      </w:r>
      <w:r w:rsidRPr="002552EA">
        <w:rPr>
          <w:rFonts w:cstheme="minorHAnsi"/>
          <w:sz w:val="20"/>
          <w:szCs w:val="20"/>
        </w:rPr>
        <w:t xml:space="preserve">at 621.  </w:t>
      </w:r>
    </w:p>
  </w:footnote>
  <w:footnote w:id="312">
    <w:p w14:paraId="782841B7" w14:textId="12690DBD"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smallCaps/>
          <w:sz w:val="20"/>
          <w:szCs w:val="20"/>
        </w:rPr>
        <w:t xml:space="preserve">1997 Commission Report, </w:t>
      </w:r>
      <w:r w:rsidRPr="002552EA">
        <w:rPr>
          <w:rFonts w:cstheme="minorHAnsi"/>
          <w:i/>
          <w:sz w:val="20"/>
          <w:szCs w:val="20"/>
        </w:rPr>
        <w:t xml:space="preserve">supra </w:t>
      </w:r>
      <w:r w:rsidRPr="002552EA">
        <w:rPr>
          <w:rFonts w:cstheme="minorHAnsi"/>
          <w:sz w:val="20"/>
          <w:szCs w:val="20"/>
        </w:rPr>
        <w:t xml:space="preserve">note </w:t>
      </w:r>
      <w:r w:rsidRPr="00563914">
        <w:rPr>
          <w:rFonts w:cstheme="minorHAnsi"/>
          <w:sz w:val="20"/>
          <w:szCs w:val="20"/>
        </w:rPr>
        <w:fldChar w:fldCharType="begin"/>
      </w:r>
      <w:r w:rsidRPr="002552EA">
        <w:rPr>
          <w:rFonts w:cstheme="minorHAnsi"/>
          <w:sz w:val="20"/>
          <w:szCs w:val="20"/>
        </w:rPr>
        <w:instrText xml:space="preserve"> NOTEREF _Ref333753489 \h </w:instrText>
      </w:r>
      <w:r w:rsidRPr="00563914">
        <w:rPr>
          <w:rFonts w:cstheme="minorHAnsi"/>
          <w:sz w:val="20"/>
          <w:szCs w:val="20"/>
        </w:rPr>
      </w:r>
      <w:r w:rsidRPr="00563914">
        <w:rPr>
          <w:rFonts w:cstheme="minorHAnsi"/>
          <w:sz w:val="20"/>
          <w:szCs w:val="20"/>
        </w:rPr>
        <w:fldChar w:fldCharType="separate"/>
      </w:r>
      <w:r>
        <w:rPr>
          <w:rFonts w:cstheme="minorHAnsi"/>
          <w:sz w:val="20"/>
          <w:szCs w:val="20"/>
        </w:rPr>
        <w:t>184</w:t>
      </w:r>
      <w:r w:rsidRPr="00563914">
        <w:rPr>
          <w:rFonts w:cstheme="minorHAnsi"/>
          <w:sz w:val="20"/>
          <w:szCs w:val="20"/>
        </w:rPr>
        <w:fldChar w:fldCharType="end"/>
      </w:r>
      <w:r w:rsidRPr="002552EA">
        <w:rPr>
          <w:rFonts w:cstheme="minorHAnsi"/>
          <w:sz w:val="20"/>
          <w:szCs w:val="20"/>
        </w:rPr>
        <w:t xml:space="preserve">, at 609 (footnote omitted). </w:t>
      </w:r>
    </w:p>
  </w:footnote>
  <w:footnote w:id="313">
    <w:p w14:paraId="0FE03EB0" w14:textId="5F050379"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11 U.S.C. § 1141(d)(5) (2012).  As discussed in note </w:t>
      </w:r>
      <w:r w:rsidRPr="00563914">
        <w:rPr>
          <w:rFonts w:cstheme="minorHAnsi"/>
          <w:sz w:val="20"/>
          <w:szCs w:val="20"/>
        </w:rPr>
        <w:fldChar w:fldCharType="begin"/>
      </w:r>
      <w:r w:rsidRPr="002552EA">
        <w:rPr>
          <w:rFonts w:cstheme="minorHAnsi"/>
          <w:sz w:val="20"/>
          <w:szCs w:val="20"/>
        </w:rPr>
        <w:instrText xml:space="preserve"> NOTEREF _Ref333828898 \h </w:instrText>
      </w:r>
      <w:r w:rsidRPr="00563914">
        <w:rPr>
          <w:rFonts w:cstheme="minorHAnsi"/>
          <w:sz w:val="20"/>
          <w:szCs w:val="20"/>
        </w:rPr>
      </w:r>
      <w:r w:rsidRPr="00563914">
        <w:rPr>
          <w:rFonts w:cstheme="minorHAnsi"/>
          <w:sz w:val="20"/>
          <w:szCs w:val="20"/>
        </w:rPr>
        <w:fldChar w:fldCharType="separate"/>
      </w:r>
      <w:r>
        <w:rPr>
          <w:rFonts w:cstheme="minorHAnsi"/>
          <w:sz w:val="20"/>
          <w:szCs w:val="20"/>
        </w:rPr>
        <w:t>244</w:t>
      </w:r>
      <w:r w:rsidRPr="00563914">
        <w:rPr>
          <w:rFonts w:cstheme="minorHAnsi"/>
          <w:sz w:val="20"/>
          <w:szCs w:val="20"/>
        </w:rPr>
        <w:fldChar w:fldCharType="end"/>
      </w:r>
      <w:r w:rsidRPr="002552EA">
        <w:rPr>
          <w:rFonts w:cstheme="minorHAnsi"/>
          <w:sz w:val="20"/>
          <w:szCs w:val="20"/>
        </w:rPr>
        <w:t>, however, courts sometimes grant an early discharge for cause.</w:t>
      </w:r>
    </w:p>
  </w:footnote>
  <w:footnote w:id="314">
    <w:p w14:paraId="28D18FAD"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e.g., In re </w:t>
      </w:r>
      <w:r w:rsidRPr="002552EA">
        <w:rPr>
          <w:rFonts w:cstheme="minorHAnsi"/>
          <w:sz w:val="20"/>
          <w:szCs w:val="20"/>
        </w:rPr>
        <w:t>Sorge</w:t>
      </w:r>
      <w:r w:rsidRPr="002552EA">
        <w:rPr>
          <w:rFonts w:cstheme="minorHAnsi"/>
          <w:i/>
          <w:sz w:val="20"/>
          <w:szCs w:val="20"/>
        </w:rPr>
        <w:t xml:space="preserve">, </w:t>
      </w:r>
      <w:r w:rsidRPr="002552EA">
        <w:rPr>
          <w:rFonts w:cstheme="minorHAnsi"/>
          <w:sz w:val="20"/>
          <w:szCs w:val="20"/>
        </w:rPr>
        <w:t xml:space="preserve">No. 10-17070 (Bankr. D. N.J. Mar. 11, 2010) (confirming debtor’s plan of reorganization and, seven months later, granting United States Trustee’s motion to convert to chapter 7). </w:t>
      </w:r>
    </w:p>
  </w:footnote>
  <w:footnote w:id="315">
    <w:p w14:paraId="0A8199FF" w14:textId="542E661F"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supra </w:t>
      </w:r>
      <w:r w:rsidRPr="002552EA">
        <w:rPr>
          <w:rFonts w:cstheme="minorHAnsi"/>
          <w:sz w:val="20"/>
          <w:szCs w:val="20"/>
        </w:rPr>
        <w:t xml:space="preserve">note </w:t>
      </w:r>
      <w:r w:rsidRPr="00563914">
        <w:rPr>
          <w:rFonts w:cstheme="minorHAnsi"/>
          <w:sz w:val="20"/>
          <w:szCs w:val="20"/>
        </w:rPr>
        <w:fldChar w:fldCharType="begin"/>
      </w:r>
      <w:r w:rsidRPr="002552EA">
        <w:rPr>
          <w:rFonts w:cstheme="minorHAnsi"/>
          <w:sz w:val="20"/>
          <w:szCs w:val="20"/>
        </w:rPr>
        <w:instrText xml:space="preserve"> NOTEREF _Ref333839114 \h </w:instrText>
      </w:r>
      <w:r w:rsidRPr="00563914">
        <w:rPr>
          <w:rFonts w:cstheme="minorHAnsi"/>
          <w:sz w:val="20"/>
          <w:szCs w:val="20"/>
        </w:rPr>
      </w:r>
      <w:r w:rsidRPr="00563914">
        <w:rPr>
          <w:rFonts w:cstheme="minorHAnsi"/>
          <w:sz w:val="20"/>
          <w:szCs w:val="20"/>
        </w:rPr>
        <w:fldChar w:fldCharType="separate"/>
      </w:r>
      <w:r>
        <w:rPr>
          <w:rFonts w:cstheme="minorHAnsi"/>
          <w:sz w:val="20"/>
          <w:szCs w:val="20"/>
        </w:rPr>
        <w:t>313</w:t>
      </w:r>
      <w:r w:rsidRPr="00563914">
        <w:rPr>
          <w:rFonts w:cstheme="minorHAnsi"/>
          <w:sz w:val="20"/>
          <w:szCs w:val="20"/>
        </w:rPr>
        <w:fldChar w:fldCharType="end"/>
      </w:r>
      <w:r w:rsidRPr="002552EA">
        <w:rPr>
          <w:rFonts w:cstheme="minorHAnsi"/>
          <w:sz w:val="20"/>
          <w:szCs w:val="20"/>
        </w:rPr>
        <w:t xml:space="preserve"> and accompanying text.</w:t>
      </w:r>
    </w:p>
  </w:footnote>
  <w:footnote w:id="316">
    <w:p w14:paraId="0B885C16"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See </w:t>
      </w:r>
      <w:r w:rsidRPr="002552EA">
        <w:rPr>
          <w:rFonts w:cstheme="minorHAnsi"/>
          <w:sz w:val="20"/>
          <w:szCs w:val="20"/>
        </w:rPr>
        <w:t>11 U.S.C. § 1121(e)(2) (2012).</w:t>
      </w:r>
    </w:p>
  </w:footnote>
  <w:footnote w:id="317">
    <w:p w14:paraId="727B668D" w14:textId="50E7A47B" w:rsidR="00560FBA" w:rsidRPr="002552EA" w:rsidRDefault="00560FBA" w:rsidP="006650BB">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See </w:t>
      </w:r>
      <w:r w:rsidRPr="002552EA">
        <w:rPr>
          <w:rFonts w:cstheme="minorHAnsi"/>
          <w:i/>
          <w:sz w:val="20"/>
          <w:szCs w:val="20"/>
        </w:rPr>
        <w:t>supra</w:t>
      </w:r>
      <w:r w:rsidRPr="002552EA">
        <w:rPr>
          <w:rFonts w:cstheme="minorHAnsi"/>
          <w:sz w:val="20"/>
          <w:szCs w:val="20"/>
        </w:rPr>
        <w:t xml:space="preserve"> Table 1 and Figure 1. This percentage is much higher in some districts. See </w:t>
      </w:r>
      <w:r w:rsidRPr="002552EA">
        <w:rPr>
          <w:rFonts w:cstheme="minorHAnsi"/>
          <w:i/>
          <w:sz w:val="20"/>
          <w:szCs w:val="20"/>
        </w:rPr>
        <w:t xml:space="preserve">infra </w:t>
      </w:r>
      <w:r w:rsidRPr="002552EA">
        <w:rPr>
          <w:rFonts w:cstheme="minorHAnsi"/>
          <w:sz w:val="20"/>
          <w:szCs w:val="20"/>
        </w:rPr>
        <w:t>Table 58 in the Appendix.</w:t>
      </w:r>
    </w:p>
  </w:footnote>
  <w:footnote w:id="318">
    <w:p w14:paraId="604CD48C" w14:textId="089D43B6"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See </w:t>
      </w:r>
      <w:r w:rsidRPr="002552EA">
        <w:rPr>
          <w:rFonts w:cstheme="minorHAnsi"/>
          <w:i/>
          <w:sz w:val="20"/>
          <w:szCs w:val="20"/>
        </w:rPr>
        <w:t xml:space="preserve">supra </w:t>
      </w:r>
      <w:r w:rsidRPr="002552EA">
        <w:rPr>
          <w:rFonts w:cstheme="minorHAnsi"/>
          <w:sz w:val="20"/>
          <w:szCs w:val="20"/>
        </w:rPr>
        <w:t>Table 30.</w:t>
      </w:r>
    </w:p>
  </w:footnote>
  <w:footnote w:id="319">
    <w:p w14:paraId="47F83930" w14:textId="5D38B1E8" w:rsidR="00560FBA" w:rsidRPr="00236FE9" w:rsidRDefault="00560FBA" w:rsidP="006650BB">
      <w:pPr>
        <w:pStyle w:val="FootnoteText"/>
        <w:rPr>
          <w:sz w:val="20"/>
          <w:szCs w:val="20"/>
        </w:rPr>
      </w:pPr>
      <w:r w:rsidRPr="00236FE9">
        <w:rPr>
          <w:rStyle w:val="FootnoteReference"/>
          <w:sz w:val="20"/>
          <w:szCs w:val="20"/>
        </w:rPr>
        <w:footnoteRef/>
      </w:r>
      <w:r w:rsidRPr="00236FE9">
        <w:rPr>
          <w:sz w:val="20"/>
          <w:szCs w:val="20"/>
        </w:rPr>
        <w:t xml:space="preserve"> See </w:t>
      </w:r>
      <w:r w:rsidRPr="00236FE9">
        <w:rPr>
          <w:i/>
          <w:sz w:val="20"/>
          <w:szCs w:val="20"/>
        </w:rPr>
        <w:t>supra</w:t>
      </w:r>
      <w:r w:rsidRPr="00236FE9">
        <w:rPr>
          <w:sz w:val="20"/>
          <w:szCs w:val="20"/>
        </w:rPr>
        <w:t xml:space="preserve"> Table 25 and accompanying text. </w:t>
      </w:r>
    </w:p>
  </w:footnote>
  <w:footnote w:id="320">
    <w:p w14:paraId="0BF2D66B" w14:textId="2880503F" w:rsidR="00560FBA" w:rsidRPr="00236FE9" w:rsidRDefault="00560FBA" w:rsidP="006650BB">
      <w:pPr>
        <w:pStyle w:val="FootnoteText"/>
        <w:rPr>
          <w:sz w:val="20"/>
          <w:szCs w:val="20"/>
        </w:rPr>
      </w:pPr>
      <w:r w:rsidRPr="00236FE9">
        <w:rPr>
          <w:rStyle w:val="FootnoteReference"/>
          <w:sz w:val="20"/>
          <w:szCs w:val="20"/>
        </w:rPr>
        <w:footnoteRef/>
      </w:r>
      <w:r w:rsidRPr="00236FE9">
        <w:rPr>
          <w:sz w:val="20"/>
          <w:szCs w:val="20"/>
        </w:rPr>
        <w:t xml:space="preserve"> See </w:t>
      </w:r>
      <w:r w:rsidRPr="00236FE9">
        <w:rPr>
          <w:i/>
          <w:sz w:val="20"/>
          <w:szCs w:val="20"/>
        </w:rPr>
        <w:t>supra</w:t>
      </w:r>
      <w:r w:rsidRPr="00236FE9">
        <w:rPr>
          <w:sz w:val="20"/>
          <w:szCs w:val="20"/>
        </w:rPr>
        <w:t xml:space="preserve"> Table 21 and accompanying text.</w:t>
      </w:r>
    </w:p>
  </w:footnote>
  <w:footnote w:id="321">
    <w:p w14:paraId="74457E0D" w14:textId="74CDD420" w:rsidR="00560FBA" w:rsidRPr="00236FE9" w:rsidRDefault="00560FBA">
      <w:pPr>
        <w:pStyle w:val="FootnoteText"/>
        <w:rPr>
          <w:sz w:val="20"/>
          <w:szCs w:val="20"/>
        </w:rPr>
      </w:pPr>
      <w:r w:rsidRPr="00236FE9">
        <w:rPr>
          <w:rStyle w:val="FootnoteReference"/>
          <w:sz w:val="20"/>
          <w:szCs w:val="20"/>
        </w:rPr>
        <w:footnoteRef/>
      </w:r>
      <w:r w:rsidRPr="00236FE9">
        <w:rPr>
          <w:sz w:val="20"/>
          <w:szCs w:val="20"/>
        </w:rPr>
        <w:t xml:space="preserve"> See </w:t>
      </w:r>
      <w:r w:rsidRPr="00236FE9">
        <w:rPr>
          <w:i/>
          <w:sz w:val="20"/>
          <w:szCs w:val="20"/>
        </w:rPr>
        <w:t>supra</w:t>
      </w:r>
      <w:r w:rsidRPr="00236FE9">
        <w:rPr>
          <w:sz w:val="20"/>
          <w:szCs w:val="20"/>
        </w:rPr>
        <w:t xml:space="preserve"> Table 11 and accompanying text.</w:t>
      </w:r>
    </w:p>
  </w:footnote>
  <w:footnote w:id="322">
    <w:p w14:paraId="45805C4F" w14:textId="350751E7" w:rsidR="00560FBA" w:rsidRPr="00236FE9" w:rsidRDefault="00560FBA" w:rsidP="006650BB">
      <w:pPr>
        <w:pStyle w:val="FootnoteText"/>
        <w:rPr>
          <w:sz w:val="20"/>
          <w:szCs w:val="20"/>
        </w:rPr>
      </w:pPr>
      <w:r w:rsidRPr="00236FE9">
        <w:rPr>
          <w:rStyle w:val="FootnoteReference"/>
          <w:sz w:val="20"/>
          <w:szCs w:val="20"/>
        </w:rPr>
        <w:footnoteRef/>
      </w:r>
      <w:r w:rsidRPr="00236FE9">
        <w:rPr>
          <w:sz w:val="20"/>
          <w:szCs w:val="20"/>
        </w:rPr>
        <w:t xml:space="preserve"> See </w:t>
      </w:r>
      <w:r w:rsidRPr="00236FE9">
        <w:rPr>
          <w:i/>
          <w:sz w:val="20"/>
          <w:szCs w:val="20"/>
        </w:rPr>
        <w:t>supra</w:t>
      </w:r>
      <w:r w:rsidRPr="00236FE9">
        <w:rPr>
          <w:sz w:val="20"/>
          <w:szCs w:val="20"/>
        </w:rPr>
        <w:t xml:space="preserve"> notes </w:t>
      </w:r>
      <w:r w:rsidRPr="00236FE9">
        <w:rPr>
          <w:sz w:val="20"/>
          <w:szCs w:val="20"/>
        </w:rPr>
        <w:fldChar w:fldCharType="begin"/>
      </w:r>
      <w:r w:rsidRPr="00236FE9">
        <w:rPr>
          <w:sz w:val="20"/>
          <w:szCs w:val="20"/>
        </w:rPr>
        <w:instrText xml:space="preserve"> NOTEREF _Ref333830419 \h </w:instrText>
      </w:r>
      <w:r w:rsidRPr="00236FE9">
        <w:rPr>
          <w:sz w:val="20"/>
          <w:szCs w:val="20"/>
        </w:rPr>
      </w:r>
      <w:r w:rsidRPr="00236FE9">
        <w:rPr>
          <w:sz w:val="20"/>
          <w:szCs w:val="20"/>
        </w:rPr>
        <w:fldChar w:fldCharType="separate"/>
      </w:r>
      <w:r>
        <w:rPr>
          <w:sz w:val="20"/>
          <w:szCs w:val="20"/>
        </w:rPr>
        <w:t>9</w:t>
      </w:r>
      <w:r w:rsidRPr="00236FE9">
        <w:rPr>
          <w:sz w:val="20"/>
          <w:szCs w:val="20"/>
        </w:rPr>
        <w:fldChar w:fldCharType="end"/>
      </w:r>
      <w:r w:rsidRPr="00236FE9">
        <w:rPr>
          <w:sz w:val="20"/>
          <w:szCs w:val="20"/>
        </w:rPr>
        <w:t>-</w:t>
      </w:r>
      <w:r w:rsidRPr="00236FE9">
        <w:rPr>
          <w:sz w:val="20"/>
          <w:szCs w:val="20"/>
        </w:rPr>
        <w:fldChar w:fldCharType="begin"/>
      </w:r>
      <w:r w:rsidRPr="00236FE9">
        <w:rPr>
          <w:sz w:val="20"/>
          <w:szCs w:val="20"/>
        </w:rPr>
        <w:instrText xml:space="preserve"> NOTEREF _Ref333830421 \h </w:instrText>
      </w:r>
      <w:r w:rsidRPr="00236FE9">
        <w:rPr>
          <w:sz w:val="20"/>
          <w:szCs w:val="20"/>
        </w:rPr>
      </w:r>
      <w:r w:rsidRPr="00236FE9">
        <w:rPr>
          <w:sz w:val="20"/>
          <w:szCs w:val="20"/>
        </w:rPr>
        <w:fldChar w:fldCharType="separate"/>
      </w:r>
      <w:r>
        <w:rPr>
          <w:sz w:val="20"/>
          <w:szCs w:val="20"/>
        </w:rPr>
        <w:t>11</w:t>
      </w:r>
      <w:r w:rsidRPr="00236FE9">
        <w:rPr>
          <w:sz w:val="20"/>
          <w:szCs w:val="20"/>
        </w:rPr>
        <w:fldChar w:fldCharType="end"/>
      </w:r>
      <w:r w:rsidRPr="00236FE9">
        <w:rPr>
          <w:sz w:val="20"/>
          <w:szCs w:val="20"/>
        </w:rPr>
        <w:t xml:space="preserve"> and accompanying text.</w:t>
      </w:r>
    </w:p>
  </w:footnote>
  <w:footnote w:id="323">
    <w:p w14:paraId="6B80E1C9" w14:textId="1A81EFC4" w:rsidR="00560FBA" w:rsidRPr="00236FE9" w:rsidRDefault="00560FBA" w:rsidP="00551457">
      <w:pPr>
        <w:pStyle w:val="FootnoteText"/>
        <w:rPr>
          <w:sz w:val="20"/>
          <w:szCs w:val="20"/>
        </w:rPr>
      </w:pPr>
      <w:r w:rsidRPr="00236FE9">
        <w:rPr>
          <w:rStyle w:val="FootnoteReference"/>
          <w:sz w:val="20"/>
          <w:szCs w:val="20"/>
        </w:rPr>
        <w:footnoteRef/>
      </w:r>
      <w:r w:rsidRPr="00236FE9">
        <w:rPr>
          <w:sz w:val="20"/>
          <w:szCs w:val="20"/>
        </w:rPr>
        <w:t xml:space="preserve"> See </w:t>
      </w:r>
      <w:r w:rsidRPr="00236FE9">
        <w:rPr>
          <w:i/>
          <w:sz w:val="20"/>
          <w:szCs w:val="20"/>
        </w:rPr>
        <w:t>supra</w:t>
      </w:r>
      <w:r w:rsidRPr="00236FE9">
        <w:rPr>
          <w:sz w:val="20"/>
          <w:szCs w:val="20"/>
        </w:rPr>
        <w:t xml:space="preserve"> Tables 35-38 and accompanying text.</w:t>
      </w:r>
    </w:p>
  </w:footnote>
  <w:footnote w:id="324">
    <w:p w14:paraId="40482E70" w14:textId="36AEC946" w:rsidR="00560FBA" w:rsidRPr="00236FE9" w:rsidRDefault="00560FBA" w:rsidP="006650BB">
      <w:pPr>
        <w:pStyle w:val="FootnoteText"/>
        <w:rPr>
          <w:sz w:val="20"/>
          <w:szCs w:val="20"/>
        </w:rPr>
      </w:pPr>
      <w:r w:rsidRPr="00236FE9">
        <w:rPr>
          <w:rStyle w:val="FootnoteReference"/>
          <w:sz w:val="20"/>
          <w:szCs w:val="20"/>
        </w:rPr>
        <w:footnoteRef/>
      </w:r>
      <w:r w:rsidRPr="00236FE9">
        <w:rPr>
          <w:sz w:val="20"/>
          <w:szCs w:val="20"/>
        </w:rPr>
        <w:t xml:space="preserve"> See </w:t>
      </w:r>
      <w:r w:rsidRPr="00236FE9">
        <w:rPr>
          <w:i/>
          <w:sz w:val="20"/>
          <w:szCs w:val="20"/>
        </w:rPr>
        <w:t>supra</w:t>
      </w:r>
      <w:r w:rsidRPr="00236FE9">
        <w:rPr>
          <w:sz w:val="20"/>
          <w:szCs w:val="20"/>
        </w:rPr>
        <w:t xml:space="preserve"> Table 29 and accompanying text.</w:t>
      </w:r>
    </w:p>
  </w:footnote>
  <w:footnote w:id="325">
    <w:p w14:paraId="46CFC0D7" w14:textId="16888F97" w:rsidR="00560FBA" w:rsidRPr="00236FE9" w:rsidRDefault="00560FBA" w:rsidP="006650BB">
      <w:pPr>
        <w:pStyle w:val="FootnoteText"/>
        <w:rPr>
          <w:sz w:val="20"/>
          <w:szCs w:val="20"/>
        </w:rPr>
      </w:pPr>
      <w:r w:rsidRPr="00236FE9">
        <w:rPr>
          <w:rStyle w:val="FootnoteReference"/>
          <w:sz w:val="20"/>
          <w:szCs w:val="20"/>
        </w:rPr>
        <w:footnoteRef/>
      </w:r>
      <w:r w:rsidRPr="00236FE9">
        <w:rPr>
          <w:sz w:val="20"/>
          <w:szCs w:val="20"/>
        </w:rPr>
        <w:t xml:space="preserve"> </w:t>
      </w:r>
      <w:r w:rsidRPr="002552EA">
        <w:rPr>
          <w:rFonts w:cstheme="minorHAnsi"/>
          <w:sz w:val="20"/>
          <w:szCs w:val="20"/>
        </w:rPr>
        <w:t>11 U.S.C. § 1322(d) (2012).</w:t>
      </w:r>
    </w:p>
  </w:footnote>
  <w:footnote w:id="326">
    <w:p w14:paraId="209AC13C" w14:textId="74DDD2B2" w:rsidR="00560FBA" w:rsidRPr="00236FE9" w:rsidRDefault="00560FBA">
      <w:pPr>
        <w:pStyle w:val="FootnoteText"/>
        <w:rPr>
          <w:sz w:val="20"/>
          <w:szCs w:val="20"/>
        </w:rPr>
      </w:pPr>
      <w:r w:rsidRPr="00236FE9">
        <w:rPr>
          <w:rStyle w:val="FootnoteReference"/>
          <w:sz w:val="20"/>
          <w:szCs w:val="20"/>
        </w:rPr>
        <w:footnoteRef/>
      </w:r>
      <w:r w:rsidRPr="00236FE9">
        <w:rPr>
          <w:sz w:val="20"/>
          <w:szCs w:val="20"/>
        </w:rPr>
        <w:t xml:space="preserve"> See </w:t>
      </w:r>
      <w:r w:rsidRPr="00B10ACC">
        <w:rPr>
          <w:i/>
          <w:sz w:val="20"/>
          <w:szCs w:val="20"/>
        </w:rPr>
        <w:t>supra</w:t>
      </w:r>
      <w:r w:rsidRPr="00236FE9">
        <w:rPr>
          <w:sz w:val="20"/>
          <w:szCs w:val="20"/>
        </w:rPr>
        <w:t xml:space="preserve"> Table 46 and accompanying text.  </w:t>
      </w:r>
      <w:r w:rsidRPr="00236FE9">
        <w:rPr>
          <w:rFonts w:ascii="Times New Roman" w:hAnsi="Times New Roman" w:cs="Times New Roman"/>
          <w:sz w:val="20"/>
          <w:szCs w:val="20"/>
        </w:rPr>
        <w:t xml:space="preserve">This is about the same as the oft-quoted rate for chapter 13, </w:t>
      </w:r>
      <w:r w:rsidRPr="00B10ACC">
        <w:rPr>
          <w:rFonts w:ascii="Times New Roman" w:hAnsi="Times New Roman" w:cs="Times New Roman"/>
          <w:i/>
          <w:sz w:val="20"/>
          <w:szCs w:val="20"/>
        </w:rPr>
        <w:t>see supra</w:t>
      </w:r>
      <w:r w:rsidRPr="00236FE9">
        <w:rPr>
          <w:rFonts w:ascii="Times New Roman" w:hAnsi="Times New Roman" w:cs="Times New Roman"/>
          <w:sz w:val="20"/>
          <w:szCs w:val="20"/>
        </w:rPr>
        <w:t xml:space="preserve"> note </w:t>
      </w:r>
      <w:r w:rsidRPr="00236FE9">
        <w:rPr>
          <w:rFonts w:ascii="Times New Roman" w:hAnsi="Times New Roman" w:cs="Times New Roman"/>
          <w:sz w:val="20"/>
          <w:szCs w:val="20"/>
        </w:rPr>
        <w:fldChar w:fldCharType="begin"/>
      </w:r>
      <w:r w:rsidRPr="00236FE9">
        <w:rPr>
          <w:rFonts w:ascii="Times New Roman" w:hAnsi="Times New Roman" w:cs="Times New Roman"/>
          <w:sz w:val="20"/>
          <w:szCs w:val="20"/>
        </w:rPr>
        <w:instrText xml:space="preserve"> NOTEREF _Ref276305975 \h </w:instrText>
      </w:r>
      <w:r w:rsidRPr="00236FE9">
        <w:rPr>
          <w:rFonts w:ascii="Times New Roman" w:hAnsi="Times New Roman" w:cs="Times New Roman"/>
          <w:sz w:val="20"/>
          <w:szCs w:val="20"/>
        </w:rPr>
      </w:r>
      <w:r w:rsidRPr="00236FE9">
        <w:rPr>
          <w:rFonts w:ascii="Times New Roman" w:hAnsi="Times New Roman" w:cs="Times New Roman"/>
          <w:sz w:val="20"/>
          <w:szCs w:val="20"/>
        </w:rPr>
        <w:fldChar w:fldCharType="separate"/>
      </w:r>
      <w:r>
        <w:rPr>
          <w:rFonts w:ascii="Times New Roman" w:hAnsi="Times New Roman" w:cs="Times New Roman"/>
          <w:sz w:val="20"/>
          <w:szCs w:val="20"/>
        </w:rPr>
        <w:t>30</w:t>
      </w:r>
      <w:r w:rsidRPr="00236FE9">
        <w:rPr>
          <w:rFonts w:ascii="Times New Roman" w:hAnsi="Times New Roman" w:cs="Times New Roman"/>
          <w:sz w:val="20"/>
          <w:szCs w:val="20"/>
        </w:rPr>
        <w:fldChar w:fldCharType="end"/>
      </w:r>
      <w:r w:rsidRPr="00236FE9">
        <w:rPr>
          <w:rFonts w:ascii="Times New Roman" w:hAnsi="Times New Roman" w:cs="Times New Roman"/>
          <w:sz w:val="20"/>
          <w:szCs w:val="20"/>
        </w:rPr>
        <w:t xml:space="preserve">, but our definition of success is much broader.  </w:t>
      </w:r>
    </w:p>
  </w:footnote>
  <w:footnote w:id="327">
    <w:p w14:paraId="18BE2475" w14:textId="5BE175EE" w:rsidR="00560FBA" w:rsidRPr="00236FE9" w:rsidRDefault="00560FBA">
      <w:pPr>
        <w:pStyle w:val="FootnoteText"/>
        <w:rPr>
          <w:sz w:val="20"/>
          <w:szCs w:val="20"/>
        </w:rPr>
      </w:pPr>
      <w:r w:rsidRPr="00236FE9">
        <w:rPr>
          <w:rStyle w:val="FootnoteReference"/>
          <w:sz w:val="20"/>
          <w:szCs w:val="20"/>
        </w:rPr>
        <w:footnoteRef/>
      </w:r>
      <w:r w:rsidRPr="00236FE9">
        <w:rPr>
          <w:sz w:val="20"/>
          <w:szCs w:val="20"/>
        </w:rPr>
        <w:t xml:space="preserve"> </w:t>
      </w:r>
      <w:r w:rsidRPr="00236FE9">
        <w:rPr>
          <w:i/>
          <w:sz w:val="20"/>
          <w:szCs w:val="20"/>
        </w:rPr>
        <w:t>See supra</w:t>
      </w:r>
      <w:r w:rsidRPr="00236FE9">
        <w:rPr>
          <w:sz w:val="20"/>
          <w:szCs w:val="20"/>
        </w:rPr>
        <w:t xml:space="preserve"> Tables 42, 43, 45-48 and 50 and accompanying text.</w:t>
      </w:r>
    </w:p>
  </w:footnote>
  <w:footnote w:id="328">
    <w:p w14:paraId="0B8F82D2" w14:textId="083A0F8C" w:rsidR="00560FBA" w:rsidRPr="00B10ACC" w:rsidRDefault="00560FBA" w:rsidP="00C46892">
      <w:pPr>
        <w:pStyle w:val="FootnoteText"/>
        <w:rPr>
          <w:sz w:val="20"/>
          <w:szCs w:val="20"/>
        </w:rPr>
      </w:pPr>
      <w:r w:rsidRPr="00B10ACC">
        <w:rPr>
          <w:rStyle w:val="FootnoteReference"/>
          <w:sz w:val="20"/>
          <w:szCs w:val="20"/>
        </w:rPr>
        <w:footnoteRef/>
      </w:r>
      <w:r w:rsidRPr="00B10ACC">
        <w:rPr>
          <w:sz w:val="20"/>
          <w:szCs w:val="20"/>
        </w:rPr>
        <w:t xml:space="preserve"> See </w:t>
      </w:r>
      <w:r w:rsidRPr="00B10ACC">
        <w:rPr>
          <w:i/>
          <w:sz w:val="20"/>
          <w:szCs w:val="20"/>
        </w:rPr>
        <w:t>supra</w:t>
      </w:r>
      <w:r w:rsidRPr="00B10ACC">
        <w:rPr>
          <w:sz w:val="20"/>
          <w:szCs w:val="20"/>
        </w:rPr>
        <w:t xml:space="preserve"> Tables 44 and 49 and accompanying text.</w:t>
      </w:r>
    </w:p>
  </w:footnote>
  <w:footnote w:id="329">
    <w:p w14:paraId="11FC34C5" w14:textId="78B70D41" w:rsidR="00560FBA" w:rsidRPr="00B10ACC" w:rsidRDefault="00560FBA" w:rsidP="006650BB">
      <w:pPr>
        <w:pStyle w:val="FootnoteText"/>
        <w:rPr>
          <w:sz w:val="20"/>
          <w:szCs w:val="20"/>
        </w:rPr>
      </w:pPr>
      <w:r w:rsidRPr="00B10ACC">
        <w:rPr>
          <w:rStyle w:val="FootnoteReference"/>
          <w:sz w:val="20"/>
          <w:szCs w:val="20"/>
        </w:rPr>
        <w:footnoteRef/>
      </w:r>
      <w:r w:rsidRPr="00B10ACC">
        <w:rPr>
          <w:sz w:val="20"/>
          <w:szCs w:val="20"/>
        </w:rPr>
        <w:t xml:space="preserve"> See </w:t>
      </w:r>
      <w:r w:rsidRPr="00B10ACC">
        <w:rPr>
          <w:i/>
          <w:sz w:val="20"/>
          <w:szCs w:val="20"/>
        </w:rPr>
        <w:t>supra</w:t>
      </w:r>
      <w:r w:rsidRPr="00B10ACC">
        <w:rPr>
          <w:sz w:val="20"/>
          <w:szCs w:val="20"/>
        </w:rPr>
        <w:t xml:space="preserve"> Section IV.C.</w:t>
      </w:r>
    </w:p>
  </w:footnote>
  <w:footnote w:id="330">
    <w:p w14:paraId="5CB4E7B0" w14:textId="1B622E84"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EPIQ reported the number of individual Chapter 11s until January of 2013, but this is before many of our legal changes. </w:t>
      </w:r>
      <w:r w:rsidRPr="00D9767A">
        <w:rPr>
          <w:rFonts w:cstheme="minorHAnsi"/>
          <w:sz w:val="20"/>
          <w:szCs w:val="20"/>
        </w:rPr>
        <w:t xml:space="preserve">Our </w:t>
      </w:r>
      <w:r>
        <w:rPr>
          <w:rFonts w:cstheme="minorHAnsi"/>
          <w:sz w:val="20"/>
          <w:szCs w:val="20"/>
        </w:rPr>
        <w:t>results are consistent</w:t>
      </w:r>
      <w:r w:rsidRPr="00D9767A">
        <w:rPr>
          <w:rFonts w:cstheme="minorHAnsi"/>
          <w:sz w:val="20"/>
          <w:szCs w:val="20"/>
        </w:rPr>
        <w:t>.</w:t>
      </w:r>
      <w:r w:rsidRPr="002552EA">
        <w:rPr>
          <w:rFonts w:cstheme="minorHAnsi"/>
          <w:sz w:val="20"/>
          <w:szCs w:val="20"/>
        </w:rPr>
        <w:t xml:space="preserve"> Also note that these numbers are no longer publicly available.</w:t>
      </w:r>
    </w:p>
  </w:footnote>
  <w:footnote w:id="331">
    <w:p w14:paraId="232940F4" w14:textId="77777777"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See Table F-2 (Three Months), available at http://www.uscourts.gov/statistics-reports/caseload-statistics-data-tables</w:t>
      </w:r>
    </w:p>
  </w:footnote>
  <w:footnote w:id="332">
    <w:p w14:paraId="6283F73E" w14:textId="7915AF2B"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If an opinion was decided before the end of a quarter we assumed that its effect was proportional to the number of days remaining in the quarter.  </w:t>
      </w:r>
    </w:p>
  </w:footnote>
  <w:footnote w:id="333">
    <w:p w14:paraId="0B540E2C" w14:textId="6919300C"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Pr>
          <w:rFonts w:cstheme="minorHAnsi"/>
          <w:i/>
          <w:sz w:val="20"/>
          <w:szCs w:val="20"/>
        </w:rPr>
        <w:t xml:space="preserve">See </w:t>
      </w:r>
      <w:r>
        <w:rPr>
          <w:rFonts w:cstheme="minorHAnsi"/>
          <w:sz w:val="20"/>
          <w:szCs w:val="20"/>
        </w:rPr>
        <w:t xml:space="preserve">Gary Solon, Steven J. Haider, &amp; Jeffrey Wooldridge, </w:t>
      </w:r>
      <w:r>
        <w:rPr>
          <w:rFonts w:cstheme="minorHAnsi"/>
          <w:i/>
          <w:sz w:val="20"/>
          <w:szCs w:val="20"/>
        </w:rPr>
        <w:t xml:space="preserve">What Are We Weighting For?, </w:t>
      </w:r>
      <w:r>
        <w:rPr>
          <w:rFonts w:cstheme="minorHAnsi"/>
          <w:sz w:val="20"/>
          <w:szCs w:val="20"/>
        </w:rPr>
        <w:t xml:space="preserve">NBER Working Paper No. 18859,  </w:t>
      </w:r>
      <w:r>
        <w:rPr>
          <w:rFonts w:cstheme="minorHAnsi"/>
          <w:i/>
          <w:sz w:val="20"/>
          <w:szCs w:val="20"/>
        </w:rPr>
        <w:t xml:space="preserve">available at </w:t>
      </w:r>
      <w:r w:rsidRPr="002552EA">
        <w:rPr>
          <w:rFonts w:cstheme="minorHAnsi"/>
          <w:sz w:val="20"/>
          <w:szCs w:val="20"/>
        </w:rPr>
        <w:t>http://www.nber.org/papers/w18859</w:t>
      </w:r>
    </w:p>
  </w:footnote>
  <w:footnote w:id="334">
    <w:p w14:paraId="26D137BB" w14:textId="512546F5"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In re </w:t>
      </w:r>
      <w:r w:rsidRPr="00335C21">
        <w:rPr>
          <w:rFonts w:cstheme="minorHAnsi"/>
          <w:sz w:val="20"/>
          <w:szCs w:val="20"/>
        </w:rPr>
        <w:t>Friedman</w:t>
      </w:r>
      <w:r w:rsidRPr="002552EA">
        <w:rPr>
          <w:rFonts w:cstheme="minorHAnsi"/>
          <w:sz w:val="20"/>
          <w:szCs w:val="20"/>
        </w:rPr>
        <w:t>,</w:t>
      </w:r>
      <w:r>
        <w:rPr>
          <w:rFonts w:cstheme="minorHAnsi"/>
          <w:sz w:val="20"/>
          <w:szCs w:val="20"/>
        </w:rPr>
        <w:t xml:space="preserve"> 466 B.R. 471 (B.A.P. 9th Cir.</w:t>
      </w:r>
      <w:r w:rsidRPr="002552EA">
        <w:rPr>
          <w:rFonts w:cstheme="minorHAnsi"/>
          <w:sz w:val="20"/>
          <w:szCs w:val="20"/>
        </w:rPr>
        <w:t xml:space="preserve"> Mar. 19, 2012); </w:t>
      </w:r>
    </w:p>
  </w:footnote>
  <w:footnote w:id="335">
    <w:p w14:paraId="4353C468" w14:textId="54133CB4"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2552EA">
        <w:rPr>
          <w:rFonts w:cstheme="minorHAnsi"/>
          <w:i/>
          <w:sz w:val="20"/>
          <w:szCs w:val="20"/>
        </w:rPr>
        <w:t xml:space="preserve">In re </w:t>
      </w:r>
      <w:r w:rsidRPr="00335C21">
        <w:rPr>
          <w:rFonts w:cstheme="minorHAnsi"/>
          <w:sz w:val="20"/>
          <w:szCs w:val="20"/>
        </w:rPr>
        <w:t>Arnold</w:t>
      </w:r>
      <w:r w:rsidRPr="002552EA">
        <w:rPr>
          <w:rFonts w:cstheme="minorHAnsi"/>
          <w:sz w:val="20"/>
          <w:szCs w:val="20"/>
        </w:rPr>
        <w:t xml:space="preserve">, 471 B.R. 578 (Bankr. C.D. Cal. May 17, 2012), </w:t>
      </w:r>
      <w:r w:rsidRPr="002552EA">
        <w:rPr>
          <w:rFonts w:cstheme="minorHAnsi"/>
          <w:i/>
          <w:sz w:val="20"/>
          <w:szCs w:val="20"/>
        </w:rPr>
        <w:t>appeal dismissed</w:t>
      </w:r>
      <w:r w:rsidRPr="002552EA">
        <w:rPr>
          <w:rFonts w:cstheme="minorHAnsi"/>
          <w:sz w:val="20"/>
          <w:szCs w:val="20"/>
        </w:rPr>
        <w:t xml:space="preserve"> (Jan. 16, 2013).</w:t>
      </w:r>
    </w:p>
  </w:footnote>
  <w:footnote w:id="336">
    <w:p w14:paraId="7FA2A634" w14:textId="4C555814" w:rsidR="00560FBA" w:rsidRPr="002552EA" w:rsidRDefault="00560FBA" w:rsidP="00106D9A">
      <w:pPr>
        <w:pStyle w:val="FootnoteText"/>
        <w:rPr>
          <w:rFonts w:cstheme="minorHAnsi"/>
          <w:sz w:val="20"/>
          <w:szCs w:val="20"/>
        </w:rPr>
      </w:pPr>
      <w:r w:rsidRPr="002552EA">
        <w:rPr>
          <w:rStyle w:val="FootnoteReference"/>
          <w:rFonts w:cstheme="minorHAnsi"/>
          <w:sz w:val="20"/>
          <w:szCs w:val="20"/>
        </w:rPr>
        <w:footnoteRef/>
      </w:r>
      <w:r w:rsidRPr="002552EA">
        <w:rPr>
          <w:rFonts w:cstheme="minorHAnsi"/>
          <w:sz w:val="20"/>
          <w:szCs w:val="20"/>
        </w:rPr>
        <w:t xml:space="preserve"> </w:t>
      </w:r>
      <w:r w:rsidRPr="00335C21">
        <w:rPr>
          <w:rFonts w:cstheme="minorHAnsi"/>
          <w:sz w:val="20"/>
          <w:szCs w:val="20"/>
        </w:rPr>
        <w:t>Zachary v. California Bank &amp; Trust</w:t>
      </w:r>
      <w:r w:rsidRPr="002552EA">
        <w:rPr>
          <w:rFonts w:cstheme="minorHAnsi"/>
          <w:i/>
          <w:sz w:val="20"/>
          <w:szCs w:val="20"/>
        </w:rPr>
        <w:t xml:space="preserve">, </w:t>
      </w:r>
      <w:r w:rsidRPr="002552EA">
        <w:rPr>
          <w:rFonts w:cstheme="minorHAnsi"/>
          <w:sz w:val="20"/>
          <w:szCs w:val="20"/>
        </w:rPr>
        <w:t>811 F.3d 1191 (9</w:t>
      </w:r>
      <w:r w:rsidRPr="00335C21">
        <w:rPr>
          <w:rFonts w:cstheme="minorHAnsi"/>
          <w:sz w:val="20"/>
          <w:szCs w:val="20"/>
        </w:rPr>
        <w:t>th</w:t>
      </w:r>
      <w:r>
        <w:rPr>
          <w:rFonts w:cstheme="minorHAnsi"/>
          <w:sz w:val="20"/>
          <w:szCs w:val="20"/>
        </w:rPr>
        <w:t xml:space="preserve"> Cir.</w:t>
      </w:r>
      <w:r w:rsidRPr="002552EA">
        <w:rPr>
          <w:rFonts w:cstheme="minorHAnsi"/>
          <w:sz w:val="20"/>
          <w:szCs w:val="20"/>
        </w:rPr>
        <w:t xml:space="preserve"> Jan 28,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BC8"/>
    <w:multiLevelType w:val="hybridMultilevel"/>
    <w:tmpl w:val="80F4939C"/>
    <w:lvl w:ilvl="0" w:tplc="7012D02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1267C"/>
    <w:multiLevelType w:val="hybridMultilevel"/>
    <w:tmpl w:val="44D88EFE"/>
    <w:lvl w:ilvl="0" w:tplc="B82ABD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07023F"/>
    <w:multiLevelType w:val="hybridMultilevel"/>
    <w:tmpl w:val="9334AABA"/>
    <w:lvl w:ilvl="0" w:tplc="6082B1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E17211"/>
    <w:multiLevelType w:val="hybridMultilevel"/>
    <w:tmpl w:val="57444514"/>
    <w:lvl w:ilvl="0" w:tplc="2C58B5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0E343E"/>
    <w:multiLevelType w:val="hybridMultilevel"/>
    <w:tmpl w:val="8DA8E9E8"/>
    <w:lvl w:ilvl="0" w:tplc="E830F7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02B57"/>
    <w:multiLevelType w:val="hybridMultilevel"/>
    <w:tmpl w:val="6A98AF9C"/>
    <w:lvl w:ilvl="0" w:tplc="ED4E65A2">
      <w:start w:val="2"/>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806800"/>
    <w:multiLevelType w:val="hybridMultilevel"/>
    <w:tmpl w:val="AF445A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B3FE8"/>
    <w:multiLevelType w:val="hybridMultilevel"/>
    <w:tmpl w:val="246CB3BE"/>
    <w:lvl w:ilvl="0" w:tplc="6FD22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215E97"/>
    <w:multiLevelType w:val="hybridMultilevel"/>
    <w:tmpl w:val="63788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533A2"/>
    <w:multiLevelType w:val="hybridMultilevel"/>
    <w:tmpl w:val="9392D0C4"/>
    <w:lvl w:ilvl="0" w:tplc="CC9402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24325D"/>
    <w:multiLevelType w:val="hybridMultilevel"/>
    <w:tmpl w:val="87A4058C"/>
    <w:lvl w:ilvl="0" w:tplc="4C4EBF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F781618"/>
    <w:multiLevelType w:val="hybridMultilevel"/>
    <w:tmpl w:val="AD96DFBE"/>
    <w:lvl w:ilvl="0" w:tplc="F4C0F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01308"/>
    <w:multiLevelType w:val="hybridMultilevel"/>
    <w:tmpl w:val="9E48CB80"/>
    <w:lvl w:ilvl="0" w:tplc="C356378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DE1C50"/>
    <w:multiLevelType w:val="hybridMultilevel"/>
    <w:tmpl w:val="2AF8C42A"/>
    <w:lvl w:ilvl="0" w:tplc="02AAA1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83D81"/>
    <w:multiLevelType w:val="hybridMultilevel"/>
    <w:tmpl w:val="8B44166A"/>
    <w:lvl w:ilvl="0" w:tplc="9F0C1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E6B8B"/>
    <w:multiLevelType w:val="hybridMultilevel"/>
    <w:tmpl w:val="40B24E54"/>
    <w:lvl w:ilvl="0" w:tplc="988A8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0D49D9"/>
    <w:multiLevelType w:val="hybridMultilevel"/>
    <w:tmpl w:val="8DA8E9E8"/>
    <w:lvl w:ilvl="0" w:tplc="E830F7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906F6"/>
    <w:multiLevelType w:val="hybridMultilevel"/>
    <w:tmpl w:val="BE462F04"/>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C6755A"/>
    <w:multiLevelType w:val="hybridMultilevel"/>
    <w:tmpl w:val="E8500BDC"/>
    <w:lvl w:ilvl="0" w:tplc="7562D60A">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0D6126"/>
    <w:multiLevelType w:val="hybridMultilevel"/>
    <w:tmpl w:val="46DA6AD8"/>
    <w:lvl w:ilvl="0" w:tplc="0BECDC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61741F"/>
    <w:multiLevelType w:val="hybridMultilevel"/>
    <w:tmpl w:val="CB80A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787C5E"/>
    <w:multiLevelType w:val="hybridMultilevel"/>
    <w:tmpl w:val="DE227F70"/>
    <w:lvl w:ilvl="0" w:tplc="53A6799C">
      <w:start w:val="4"/>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126CC"/>
    <w:multiLevelType w:val="hybridMultilevel"/>
    <w:tmpl w:val="8AD23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E6289"/>
    <w:multiLevelType w:val="hybridMultilevel"/>
    <w:tmpl w:val="19182DBC"/>
    <w:lvl w:ilvl="0" w:tplc="E3780DF0">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8512B7"/>
    <w:multiLevelType w:val="hybridMultilevel"/>
    <w:tmpl w:val="1CA07BB0"/>
    <w:lvl w:ilvl="0" w:tplc="348437D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5922EB"/>
    <w:multiLevelType w:val="hybridMultilevel"/>
    <w:tmpl w:val="B07E7022"/>
    <w:lvl w:ilvl="0" w:tplc="FAB6D0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B1612D"/>
    <w:multiLevelType w:val="hybridMultilevel"/>
    <w:tmpl w:val="278ED29A"/>
    <w:lvl w:ilvl="0" w:tplc="9F7CE7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84D42"/>
    <w:multiLevelType w:val="hybridMultilevel"/>
    <w:tmpl w:val="FD6EFC6A"/>
    <w:lvl w:ilvl="0" w:tplc="0A5CA5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4C3D7F"/>
    <w:multiLevelType w:val="hybridMultilevel"/>
    <w:tmpl w:val="76EA73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C00367"/>
    <w:multiLevelType w:val="hybridMultilevel"/>
    <w:tmpl w:val="EFB80BC0"/>
    <w:lvl w:ilvl="0" w:tplc="E12847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2467C6"/>
    <w:multiLevelType w:val="hybridMultilevel"/>
    <w:tmpl w:val="8ACC327E"/>
    <w:lvl w:ilvl="0" w:tplc="ECEE29DE">
      <w:start w:val="2"/>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525C64"/>
    <w:multiLevelType w:val="hybridMultilevel"/>
    <w:tmpl w:val="BA909E12"/>
    <w:lvl w:ilvl="0" w:tplc="21145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4"/>
  </w:num>
  <w:num w:numId="3">
    <w:abstractNumId w:val="26"/>
  </w:num>
  <w:num w:numId="4">
    <w:abstractNumId w:val="12"/>
  </w:num>
  <w:num w:numId="5">
    <w:abstractNumId w:val="9"/>
  </w:num>
  <w:num w:numId="6">
    <w:abstractNumId w:val="23"/>
  </w:num>
  <w:num w:numId="7">
    <w:abstractNumId w:val="7"/>
  </w:num>
  <w:num w:numId="8">
    <w:abstractNumId w:val="19"/>
  </w:num>
  <w:num w:numId="9">
    <w:abstractNumId w:val="1"/>
  </w:num>
  <w:num w:numId="10">
    <w:abstractNumId w:val="13"/>
  </w:num>
  <w:num w:numId="11">
    <w:abstractNumId w:val="29"/>
  </w:num>
  <w:num w:numId="12">
    <w:abstractNumId w:val="16"/>
  </w:num>
  <w:num w:numId="13">
    <w:abstractNumId w:val="2"/>
  </w:num>
  <w:num w:numId="14">
    <w:abstractNumId w:val="18"/>
  </w:num>
  <w:num w:numId="15">
    <w:abstractNumId w:val="21"/>
  </w:num>
  <w:num w:numId="16">
    <w:abstractNumId w:val="31"/>
  </w:num>
  <w:num w:numId="17">
    <w:abstractNumId w:val="15"/>
  </w:num>
  <w:num w:numId="18">
    <w:abstractNumId w:val="28"/>
  </w:num>
  <w:num w:numId="19">
    <w:abstractNumId w:val="5"/>
  </w:num>
  <w:num w:numId="20">
    <w:abstractNumId w:val="0"/>
  </w:num>
  <w:num w:numId="21">
    <w:abstractNumId w:val="30"/>
  </w:num>
  <w:num w:numId="22">
    <w:abstractNumId w:val="17"/>
  </w:num>
  <w:num w:numId="23">
    <w:abstractNumId w:val="11"/>
  </w:num>
  <w:num w:numId="24">
    <w:abstractNumId w:val="27"/>
  </w:num>
  <w:num w:numId="25">
    <w:abstractNumId w:val="4"/>
  </w:num>
  <w:num w:numId="26">
    <w:abstractNumId w:val="14"/>
  </w:num>
  <w:num w:numId="27">
    <w:abstractNumId w:val="22"/>
  </w:num>
  <w:num w:numId="28">
    <w:abstractNumId w:val="20"/>
  </w:num>
  <w:num w:numId="29">
    <w:abstractNumId w:val="3"/>
  </w:num>
  <w:num w:numId="30">
    <w:abstractNumId w:val="8"/>
  </w:num>
  <w:num w:numId="31">
    <w:abstractNumId w:val="10"/>
  </w:num>
  <w:num w:numId="3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AF"/>
    <w:rsid w:val="00001AD8"/>
    <w:rsid w:val="00002460"/>
    <w:rsid w:val="00003007"/>
    <w:rsid w:val="00005A0C"/>
    <w:rsid w:val="00005B9F"/>
    <w:rsid w:val="000065E6"/>
    <w:rsid w:val="00014919"/>
    <w:rsid w:val="000154DA"/>
    <w:rsid w:val="000168FD"/>
    <w:rsid w:val="00016E45"/>
    <w:rsid w:val="00021013"/>
    <w:rsid w:val="0002273B"/>
    <w:rsid w:val="0002379E"/>
    <w:rsid w:val="00023FDE"/>
    <w:rsid w:val="00024B78"/>
    <w:rsid w:val="00024E56"/>
    <w:rsid w:val="00027BB7"/>
    <w:rsid w:val="000301B6"/>
    <w:rsid w:val="000313CB"/>
    <w:rsid w:val="000320B3"/>
    <w:rsid w:val="00034267"/>
    <w:rsid w:val="00034954"/>
    <w:rsid w:val="00036990"/>
    <w:rsid w:val="00036B5D"/>
    <w:rsid w:val="00036E93"/>
    <w:rsid w:val="00037661"/>
    <w:rsid w:val="00037707"/>
    <w:rsid w:val="00040DD5"/>
    <w:rsid w:val="00042036"/>
    <w:rsid w:val="00042118"/>
    <w:rsid w:val="00042842"/>
    <w:rsid w:val="00043301"/>
    <w:rsid w:val="00044F7C"/>
    <w:rsid w:val="00046716"/>
    <w:rsid w:val="00053D9A"/>
    <w:rsid w:val="000540F3"/>
    <w:rsid w:val="00054BCC"/>
    <w:rsid w:val="00061456"/>
    <w:rsid w:val="00063DEF"/>
    <w:rsid w:val="00065BBF"/>
    <w:rsid w:val="000661E5"/>
    <w:rsid w:val="0007280D"/>
    <w:rsid w:val="00072858"/>
    <w:rsid w:val="00075B7C"/>
    <w:rsid w:val="000761F9"/>
    <w:rsid w:val="00077E27"/>
    <w:rsid w:val="000806ED"/>
    <w:rsid w:val="00081392"/>
    <w:rsid w:val="00083B34"/>
    <w:rsid w:val="000844B4"/>
    <w:rsid w:val="0008535A"/>
    <w:rsid w:val="00085430"/>
    <w:rsid w:val="000866BC"/>
    <w:rsid w:val="00086746"/>
    <w:rsid w:val="00091E28"/>
    <w:rsid w:val="00093105"/>
    <w:rsid w:val="000951EC"/>
    <w:rsid w:val="00095A51"/>
    <w:rsid w:val="00096395"/>
    <w:rsid w:val="000971FA"/>
    <w:rsid w:val="000A155A"/>
    <w:rsid w:val="000A21B4"/>
    <w:rsid w:val="000A3178"/>
    <w:rsid w:val="000A3BAD"/>
    <w:rsid w:val="000A400E"/>
    <w:rsid w:val="000B0597"/>
    <w:rsid w:val="000B142A"/>
    <w:rsid w:val="000B2F1F"/>
    <w:rsid w:val="000B3B15"/>
    <w:rsid w:val="000B6FD2"/>
    <w:rsid w:val="000C2BAF"/>
    <w:rsid w:val="000C2E9B"/>
    <w:rsid w:val="000C3A77"/>
    <w:rsid w:val="000C56E9"/>
    <w:rsid w:val="000D131B"/>
    <w:rsid w:val="000D2F6E"/>
    <w:rsid w:val="000D6868"/>
    <w:rsid w:val="000E27DE"/>
    <w:rsid w:val="000E337A"/>
    <w:rsid w:val="000E34C3"/>
    <w:rsid w:val="000E4951"/>
    <w:rsid w:val="000E7E73"/>
    <w:rsid w:val="000F0781"/>
    <w:rsid w:val="000F1247"/>
    <w:rsid w:val="000F165F"/>
    <w:rsid w:val="000F18D7"/>
    <w:rsid w:val="000F3C47"/>
    <w:rsid w:val="000F5F75"/>
    <w:rsid w:val="000F74FC"/>
    <w:rsid w:val="000F75D5"/>
    <w:rsid w:val="001010AD"/>
    <w:rsid w:val="001026AF"/>
    <w:rsid w:val="00105189"/>
    <w:rsid w:val="00105C03"/>
    <w:rsid w:val="0010653A"/>
    <w:rsid w:val="00106D9A"/>
    <w:rsid w:val="00110EF5"/>
    <w:rsid w:val="00112BB6"/>
    <w:rsid w:val="001143C2"/>
    <w:rsid w:val="0011463B"/>
    <w:rsid w:val="001157AB"/>
    <w:rsid w:val="00116070"/>
    <w:rsid w:val="00116665"/>
    <w:rsid w:val="001214A4"/>
    <w:rsid w:val="00121CCA"/>
    <w:rsid w:val="001224F2"/>
    <w:rsid w:val="00122E54"/>
    <w:rsid w:val="00123404"/>
    <w:rsid w:val="00123BE5"/>
    <w:rsid w:val="00124912"/>
    <w:rsid w:val="00132831"/>
    <w:rsid w:val="001333D2"/>
    <w:rsid w:val="001340A7"/>
    <w:rsid w:val="001358B0"/>
    <w:rsid w:val="00136DD8"/>
    <w:rsid w:val="00137446"/>
    <w:rsid w:val="0014021C"/>
    <w:rsid w:val="001411EF"/>
    <w:rsid w:val="001413F1"/>
    <w:rsid w:val="001435E4"/>
    <w:rsid w:val="001445D3"/>
    <w:rsid w:val="00144C28"/>
    <w:rsid w:val="001452BB"/>
    <w:rsid w:val="0014635D"/>
    <w:rsid w:val="00150B30"/>
    <w:rsid w:val="00152004"/>
    <w:rsid w:val="00153027"/>
    <w:rsid w:val="001539AF"/>
    <w:rsid w:val="00155158"/>
    <w:rsid w:val="00155910"/>
    <w:rsid w:val="00156CCE"/>
    <w:rsid w:val="001604F3"/>
    <w:rsid w:val="001626ED"/>
    <w:rsid w:val="0017063C"/>
    <w:rsid w:val="00170F82"/>
    <w:rsid w:val="00171BF6"/>
    <w:rsid w:val="0017211F"/>
    <w:rsid w:val="00176AFA"/>
    <w:rsid w:val="001770C4"/>
    <w:rsid w:val="00177227"/>
    <w:rsid w:val="0018065A"/>
    <w:rsid w:val="00181D98"/>
    <w:rsid w:val="00183D07"/>
    <w:rsid w:val="0018467E"/>
    <w:rsid w:val="00184A76"/>
    <w:rsid w:val="00185A0F"/>
    <w:rsid w:val="00186C15"/>
    <w:rsid w:val="00192410"/>
    <w:rsid w:val="00195976"/>
    <w:rsid w:val="00196A1A"/>
    <w:rsid w:val="001A01C0"/>
    <w:rsid w:val="001A0AEE"/>
    <w:rsid w:val="001A4011"/>
    <w:rsid w:val="001A6051"/>
    <w:rsid w:val="001A7BAC"/>
    <w:rsid w:val="001B0D0A"/>
    <w:rsid w:val="001B1383"/>
    <w:rsid w:val="001B234D"/>
    <w:rsid w:val="001B2A79"/>
    <w:rsid w:val="001B2C05"/>
    <w:rsid w:val="001B3652"/>
    <w:rsid w:val="001B3F42"/>
    <w:rsid w:val="001B485E"/>
    <w:rsid w:val="001B4A9C"/>
    <w:rsid w:val="001B6C25"/>
    <w:rsid w:val="001C2DA5"/>
    <w:rsid w:val="001C6A25"/>
    <w:rsid w:val="001D6D31"/>
    <w:rsid w:val="001E0BEF"/>
    <w:rsid w:val="001E146E"/>
    <w:rsid w:val="001E28D2"/>
    <w:rsid w:val="001E3A24"/>
    <w:rsid w:val="001E3EB4"/>
    <w:rsid w:val="001E4482"/>
    <w:rsid w:val="001E4D03"/>
    <w:rsid w:val="001E5B7B"/>
    <w:rsid w:val="001E60CD"/>
    <w:rsid w:val="001E7DA8"/>
    <w:rsid w:val="001F05DF"/>
    <w:rsid w:val="001F0716"/>
    <w:rsid w:val="001F4B5A"/>
    <w:rsid w:val="00200060"/>
    <w:rsid w:val="00202BB0"/>
    <w:rsid w:val="002049CE"/>
    <w:rsid w:val="00204CA0"/>
    <w:rsid w:val="002056C8"/>
    <w:rsid w:val="00205F4E"/>
    <w:rsid w:val="00210FE0"/>
    <w:rsid w:val="00211F0C"/>
    <w:rsid w:val="002144B7"/>
    <w:rsid w:val="0021773C"/>
    <w:rsid w:val="00217B80"/>
    <w:rsid w:val="00220106"/>
    <w:rsid w:val="002224C4"/>
    <w:rsid w:val="002247D2"/>
    <w:rsid w:val="00224C48"/>
    <w:rsid w:val="00225192"/>
    <w:rsid w:val="0022569A"/>
    <w:rsid w:val="00225C99"/>
    <w:rsid w:val="00227E83"/>
    <w:rsid w:val="0023479D"/>
    <w:rsid w:val="00236FE9"/>
    <w:rsid w:val="0024005B"/>
    <w:rsid w:val="0024108E"/>
    <w:rsid w:val="002416AA"/>
    <w:rsid w:val="00241D15"/>
    <w:rsid w:val="00242E9F"/>
    <w:rsid w:val="00245211"/>
    <w:rsid w:val="00245912"/>
    <w:rsid w:val="002469D0"/>
    <w:rsid w:val="002512A8"/>
    <w:rsid w:val="002521D6"/>
    <w:rsid w:val="00253064"/>
    <w:rsid w:val="002552EA"/>
    <w:rsid w:val="002553B2"/>
    <w:rsid w:val="00256046"/>
    <w:rsid w:val="002562E2"/>
    <w:rsid w:val="0025742F"/>
    <w:rsid w:val="002577D6"/>
    <w:rsid w:val="002639D9"/>
    <w:rsid w:val="00264213"/>
    <w:rsid w:val="00265831"/>
    <w:rsid w:val="00266F42"/>
    <w:rsid w:val="00272AF7"/>
    <w:rsid w:val="00273AC5"/>
    <w:rsid w:val="00273BDB"/>
    <w:rsid w:val="00275526"/>
    <w:rsid w:val="00276EBC"/>
    <w:rsid w:val="00277CC4"/>
    <w:rsid w:val="0028362D"/>
    <w:rsid w:val="00284209"/>
    <w:rsid w:val="00284A34"/>
    <w:rsid w:val="00293504"/>
    <w:rsid w:val="002937B1"/>
    <w:rsid w:val="00294AC6"/>
    <w:rsid w:val="002960A3"/>
    <w:rsid w:val="00296FEB"/>
    <w:rsid w:val="002A00CD"/>
    <w:rsid w:val="002A01C7"/>
    <w:rsid w:val="002A1AE3"/>
    <w:rsid w:val="002A1F7B"/>
    <w:rsid w:val="002A5CA7"/>
    <w:rsid w:val="002A6CE6"/>
    <w:rsid w:val="002B1DBA"/>
    <w:rsid w:val="002B4100"/>
    <w:rsid w:val="002B459E"/>
    <w:rsid w:val="002B53AA"/>
    <w:rsid w:val="002B59DE"/>
    <w:rsid w:val="002C00B6"/>
    <w:rsid w:val="002C06C1"/>
    <w:rsid w:val="002C328C"/>
    <w:rsid w:val="002C4495"/>
    <w:rsid w:val="002C47D8"/>
    <w:rsid w:val="002C6306"/>
    <w:rsid w:val="002D0882"/>
    <w:rsid w:val="002D1241"/>
    <w:rsid w:val="002D1617"/>
    <w:rsid w:val="002D338B"/>
    <w:rsid w:val="002D435E"/>
    <w:rsid w:val="002D4C27"/>
    <w:rsid w:val="002D5067"/>
    <w:rsid w:val="002D609A"/>
    <w:rsid w:val="002D758D"/>
    <w:rsid w:val="002E1632"/>
    <w:rsid w:val="002E2668"/>
    <w:rsid w:val="002E2F70"/>
    <w:rsid w:val="002E33E3"/>
    <w:rsid w:val="002E3AF5"/>
    <w:rsid w:val="002E5764"/>
    <w:rsid w:val="002E5901"/>
    <w:rsid w:val="002E5E03"/>
    <w:rsid w:val="002E6DCF"/>
    <w:rsid w:val="002E7BDB"/>
    <w:rsid w:val="002F13CF"/>
    <w:rsid w:val="002F2074"/>
    <w:rsid w:val="002F3E4E"/>
    <w:rsid w:val="002F40A7"/>
    <w:rsid w:val="002F573D"/>
    <w:rsid w:val="002F6707"/>
    <w:rsid w:val="002F761C"/>
    <w:rsid w:val="00300176"/>
    <w:rsid w:val="00301015"/>
    <w:rsid w:val="0030141A"/>
    <w:rsid w:val="00302233"/>
    <w:rsid w:val="00302904"/>
    <w:rsid w:val="00302DAD"/>
    <w:rsid w:val="003045E4"/>
    <w:rsid w:val="00305B5D"/>
    <w:rsid w:val="0030678D"/>
    <w:rsid w:val="003117E3"/>
    <w:rsid w:val="003120E9"/>
    <w:rsid w:val="00312499"/>
    <w:rsid w:val="00312582"/>
    <w:rsid w:val="00313A8E"/>
    <w:rsid w:val="003140EB"/>
    <w:rsid w:val="00314BAC"/>
    <w:rsid w:val="00315FCA"/>
    <w:rsid w:val="00316C1E"/>
    <w:rsid w:val="003176DF"/>
    <w:rsid w:val="00320D25"/>
    <w:rsid w:val="0032421F"/>
    <w:rsid w:val="00330924"/>
    <w:rsid w:val="00330A53"/>
    <w:rsid w:val="003318C2"/>
    <w:rsid w:val="00331924"/>
    <w:rsid w:val="003319EC"/>
    <w:rsid w:val="00331F5E"/>
    <w:rsid w:val="0033435E"/>
    <w:rsid w:val="00335C21"/>
    <w:rsid w:val="0033638D"/>
    <w:rsid w:val="00336C1E"/>
    <w:rsid w:val="00337211"/>
    <w:rsid w:val="00337C75"/>
    <w:rsid w:val="00341CA0"/>
    <w:rsid w:val="0034276C"/>
    <w:rsid w:val="00344140"/>
    <w:rsid w:val="00344EFF"/>
    <w:rsid w:val="00345A91"/>
    <w:rsid w:val="00345CC6"/>
    <w:rsid w:val="00350397"/>
    <w:rsid w:val="00350B41"/>
    <w:rsid w:val="003512EB"/>
    <w:rsid w:val="0035233F"/>
    <w:rsid w:val="00354B01"/>
    <w:rsid w:val="00354D86"/>
    <w:rsid w:val="00355E78"/>
    <w:rsid w:val="003562A5"/>
    <w:rsid w:val="003607E0"/>
    <w:rsid w:val="00360F16"/>
    <w:rsid w:val="003618A6"/>
    <w:rsid w:val="00361BDE"/>
    <w:rsid w:val="003630D3"/>
    <w:rsid w:val="0036364C"/>
    <w:rsid w:val="00364371"/>
    <w:rsid w:val="003652D6"/>
    <w:rsid w:val="003665B8"/>
    <w:rsid w:val="00367A67"/>
    <w:rsid w:val="00382DBA"/>
    <w:rsid w:val="0038765E"/>
    <w:rsid w:val="003907C3"/>
    <w:rsid w:val="003914C3"/>
    <w:rsid w:val="003914E2"/>
    <w:rsid w:val="00391D25"/>
    <w:rsid w:val="003931CC"/>
    <w:rsid w:val="0039423C"/>
    <w:rsid w:val="00395EF6"/>
    <w:rsid w:val="00396771"/>
    <w:rsid w:val="003A2921"/>
    <w:rsid w:val="003A2CA1"/>
    <w:rsid w:val="003A3ED7"/>
    <w:rsid w:val="003A3F9B"/>
    <w:rsid w:val="003A4057"/>
    <w:rsid w:val="003A5413"/>
    <w:rsid w:val="003A587C"/>
    <w:rsid w:val="003A6199"/>
    <w:rsid w:val="003B1437"/>
    <w:rsid w:val="003B3BCA"/>
    <w:rsid w:val="003B42E7"/>
    <w:rsid w:val="003B4F3F"/>
    <w:rsid w:val="003B6419"/>
    <w:rsid w:val="003B6760"/>
    <w:rsid w:val="003B7700"/>
    <w:rsid w:val="003C0817"/>
    <w:rsid w:val="003C1DB3"/>
    <w:rsid w:val="003C2BC7"/>
    <w:rsid w:val="003C3103"/>
    <w:rsid w:val="003C39B9"/>
    <w:rsid w:val="003C48F4"/>
    <w:rsid w:val="003C4D13"/>
    <w:rsid w:val="003C54A3"/>
    <w:rsid w:val="003C6C4A"/>
    <w:rsid w:val="003C7837"/>
    <w:rsid w:val="003C7C2F"/>
    <w:rsid w:val="003D34D1"/>
    <w:rsid w:val="003D3C11"/>
    <w:rsid w:val="003D4424"/>
    <w:rsid w:val="003D52C9"/>
    <w:rsid w:val="003D5781"/>
    <w:rsid w:val="003D6106"/>
    <w:rsid w:val="003D64F6"/>
    <w:rsid w:val="003D6BD8"/>
    <w:rsid w:val="003E038F"/>
    <w:rsid w:val="003E0A3B"/>
    <w:rsid w:val="003E0FAD"/>
    <w:rsid w:val="003E1E45"/>
    <w:rsid w:val="003E3443"/>
    <w:rsid w:val="003F39FD"/>
    <w:rsid w:val="003F4A13"/>
    <w:rsid w:val="003F528C"/>
    <w:rsid w:val="003F6D7D"/>
    <w:rsid w:val="004029BC"/>
    <w:rsid w:val="00402FDF"/>
    <w:rsid w:val="00405AD6"/>
    <w:rsid w:val="00405E3E"/>
    <w:rsid w:val="00412DBE"/>
    <w:rsid w:val="00412EC4"/>
    <w:rsid w:val="00413D7B"/>
    <w:rsid w:val="00414A35"/>
    <w:rsid w:val="00416B60"/>
    <w:rsid w:val="0042143B"/>
    <w:rsid w:val="00421526"/>
    <w:rsid w:val="004271B7"/>
    <w:rsid w:val="004278E8"/>
    <w:rsid w:val="00427958"/>
    <w:rsid w:val="00430BF6"/>
    <w:rsid w:val="0043405A"/>
    <w:rsid w:val="004341B1"/>
    <w:rsid w:val="004348AE"/>
    <w:rsid w:val="00434D12"/>
    <w:rsid w:val="00436951"/>
    <w:rsid w:val="0043727C"/>
    <w:rsid w:val="00444B88"/>
    <w:rsid w:val="00446696"/>
    <w:rsid w:val="004474CC"/>
    <w:rsid w:val="0044766C"/>
    <w:rsid w:val="00447721"/>
    <w:rsid w:val="00447920"/>
    <w:rsid w:val="00447A4E"/>
    <w:rsid w:val="004510DA"/>
    <w:rsid w:val="004516BE"/>
    <w:rsid w:val="00453981"/>
    <w:rsid w:val="004554DA"/>
    <w:rsid w:val="00457A3B"/>
    <w:rsid w:val="00461918"/>
    <w:rsid w:val="00461985"/>
    <w:rsid w:val="00461C22"/>
    <w:rsid w:val="0046218F"/>
    <w:rsid w:val="00463D97"/>
    <w:rsid w:val="00465127"/>
    <w:rsid w:val="00465695"/>
    <w:rsid w:val="004666DF"/>
    <w:rsid w:val="00467094"/>
    <w:rsid w:val="00472FD3"/>
    <w:rsid w:val="0047305B"/>
    <w:rsid w:val="00473146"/>
    <w:rsid w:val="00473D98"/>
    <w:rsid w:val="00475D38"/>
    <w:rsid w:val="004777BF"/>
    <w:rsid w:val="0048035F"/>
    <w:rsid w:val="00480DC9"/>
    <w:rsid w:val="00481BEE"/>
    <w:rsid w:val="00483206"/>
    <w:rsid w:val="00485142"/>
    <w:rsid w:val="00486604"/>
    <w:rsid w:val="00486AF9"/>
    <w:rsid w:val="00486FDF"/>
    <w:rsid w:val="004930A2"/>
    <w:rsid w:val="00493537"/>
    <w:rsid w:val="00496350"/>
    <w:rsid w:val="004A1A01"/>
    <w:rsid w:val="004A3A62"/>
    <w:rsid w:val="004A4EC4"/>
    <w:rsid w:val="004A5B54"/>
    <w:rsid w:val="004A7CAE"/>
    <w:rsid w:val="004B0A0C"/>
    <w:rsid w:val="004B1991"/>
    <w:rsid w:val="004B1E4D"/>
    <w:rsid w:val="004B2F28"/>
    <w:rsid w:val="004B4BF2"/>
    <w:rsid w:val="004B55C9"/>
    <w:rsid w:val="004C0EEC"/>
    <w:rsid w:val="004C25D0"/>
    <w:rsid w:val="004C4E10"/>
    <w:rsid w:val="004C6402"/>
    <w:rsid w:val="004C65BD"/>
    <w:rsid w:val="004C706F"/>
    <w:rsid w:val="004C72B0"/>
    <w:rsid w:val="004D12A2"/>
    <w:rsid w:val="004D27D6"/>
    <w:rsid w:val="004D3C8D"/>
    <w:rsid w:val="004D3DEC"/>
    <w:rsid w:val="004D426D"/>
    <w:rsid w:val="004D5CF2"/>
    <w:rsid w:val="004D6E02"/>
    <w:rsid w:val="004E146D"/>
    <w:rsid w:val="004E2ADE"/>
    <w:rsid w:val="004E352F"/>
    <w:rsid w:val="004E4A32"/>
    <w:rsid w:val="004E4ACE"/>
    <w:rsid w:val="004E4B25"/>
    <w:rsid w:val="004E4EC0"/>
    <w:rsid w:val="004E6552"/>
    <w:rsid w:val="004E67F4"/>
    <w:rsid w:val="004F040E"/>
    <w:rsid w:val="004F0699"/>
    <w:rsid w:val="004F079A"/>
    <w:rsid w:val="004F1AC7"/>
    <w:rsid w:val="004F27BD"/>
    <w:rsid w:val="004F2CFC"/>
    <w:rsid w:val="004F4433"/>
    <w:rsid w:val="004F4A87"/>
    <w:rsid w:val="004F4B72"/>
    <w:rsid w:val="004F5F00"/>
    <w:rsid w:val="004F76E5"/>
    <w:rsid w:val="0050146B"/>
    <w:rsid w:val="00502893"/>
    <w:rsid w:val="00503692"/>
    <w:rsid w:val="00503C41"/>
    <w:rsid w:val="00504057"/>
    <w:rsid w:val="005040D2"/>
    <w:rsid w:val="0050768A"/>
    <w:rsid w:val="005104B1"/>
    <w:rsid w:val="00511179"/>
    <w:rsid w:val="00511606"/>
    <w:rsid w:val="0051167C"/>
    <w:rsid w:val="005133FD"/>
    <w:rsid w:val="00513B33"/>
    <w:rsid w:val="00517A73"/>
    <w:rsid w:val="00523ED1"/>
    <w:rsid w:val="00525E08"/>
    <w:rsid w:val="005304F0"/>
    <w:rsid w:val="00530A0E"/>
    <w:rsid w:val="00534A67"/>
    <w:rsid w:val="00535F89"/>
    <w:rsid w:val="00537498"/>
    <w:rsid w:val="005400D4"/>
    <w:rsid w:val="005422AB"/>
    <w:rsid w:val="00543BC7"/>
    <w:rsid w:val="00546738"/>
    <w:rsid w:val="00547BE8"/>
    <w:rsid w:val="00551352"/>
    <w:rsid w:val="00551457"/>
    <w:rsid w:val="005531F6"/>
    <w:rsid w:val="00553AF6"/>
    <w:rsid w:val="005543D8"/>
    <w:rsid w:val="005562EE"/>
    <w:rsid w:val="00556FDD"/>
    <w:rsid w:val="005570CC"/>
    <w:rsid w:val="005608B5"/>
    <w:rsid w:val="00560FBA"/>
    <w:rsid w:val="00561FA1"/>
    <w:rsid w:val="00562E26"/>
    <w:rsid w:val="00562F4F"/>
    <w:rsid w:val="00563914"/>
    <w:rsid w:val="005648BC"/>
    <w:rsid w:val="00566260"/>
    <w:rsid w:val="0056738F"/>
    <w:rsid w:val="00567503"/>
    <w:rsid w:val="00567541"/>
    <w:rsid w:val="00570A09"/>
    <w:rsid w:val="005710F3"/>
    <w:rsid w:val="005725BE"/>
    <w:rsid w:val="005726B7"/>
    <w:rsid w:val="005763AF"/>
    <w:rsid w:val="00576783"/>
    <w:rsid w:val="005808CE"/>
    <w:rsid w:val="00581534"/>
    <w:rsid w:val="00581ACB"/>
    <w:rsid w:val="0058362F"/>
    <w:rsid w:val="00583CB6"/>
    <w:rsid w:val="005908D2"/>
    <w:rsid w:val="0059336D"/>
    <w:rsid w:val="00594342"/>
    <w:rsid w:val="00597A3C"/>
    <w:rsid w:val="005A15D4"/>
    <w:rsid w:val="005A70B2"/>
    <w:rsid w:val="005B019B"/>
    <w:rsid w:val="005B04DD"/>
    <w:rsid w:val="005B31A2"/>
    <w:rsid w:val="005B3637"/>
    <w:rsid w:val="005B48AA"/>
    <w:rsid w:val="005B4C7F"/>
    <w:rsid w:val="005B4F31"/>
    <w:rsid w:val="005B54E9"/>
    <w:rsid w:val="005B5C4F"/>
    <w:rsid w:val="005B5DD7"/>
    <w:rsid w:val="005B6A54"/>
    <w:rsid w:val="005B6E6B"/>
    <w:rsid w:val="005C052B"/>
    <w:rsid w:val="005C1CCB"/>
    <w:rsid w:val="005D1B40"/>
    <w:rsid w:val="005D27AC"/>
    <w:rsid w:val="005D3F00"/>
    <w:rsid w:val="005D4D4A"/>
    <w:rsid w:val="005D5765"/>
    <w:rsid w:val="005D5FCB"/>
    <w:rsid w:val="005D64D7"/>
    <w:rsid w:val="005E055B"/>
    <w:rsid w:val="005E3363"/>
    <w:rsid w:val="005E3D36"/>
    <w:rsid w:val="005E716D"/>
    <w:rsid w:val="005F1201"/>
    <w:rsid w:val="005F1F0C"/>
    <w:rsid w:val="005F2307"/>
    <w:rsid w:val="005F2FB1"/>
    <w:rsid w:val="006023B3"/>
    <w:rsid w:val="00602C09"/>
    <w:rsid w:val="00605E0C"/>
    <w:rsid w:val="00610062"/>
    <w:rsid w:val="00610FA4"/>
    <w:rsid w:val="00613F7B"/>
    <w:rsid w:val="006153AB"/>
    <w:rsid w:val="006174EC"/>
    <w:rsid w:val="0062217A"/>
    <w:rsid w:val="006235D0"/>
    <w:rsid w:val="00623C1D"/>
    <w:rsid w:val="00625329"/>
    <w:rsid w:val="00625801"/>
    <w:rsid w:val="00625A51"/>
    <w:rsid w:val="006269F4"/>
    <w:rsid w:val="00630F01"/>
    <w:rsid w:val="00632A77"/>
    <w:rsid w:val="00633B28"/>
    <w:rsid w:val="00634025"/>
    <w:rsid w:val="00634CD0"/>
    <w:rsid w:val="00634CE3"/>
    <w:rsid w:val="00635390"/>
    <w:rsid w:val="006374FC"/>
    <w:rsid w:val="00640C94"/>
    <w:rsid w:val="00641438"/>
    <w:rsid w:val="006415BA"/>
    <w:rsid w:val="00641ADB"/>
    <w:rsid w:val="0064445A"/>
    <w:rsid w:val="00646794"/>
    <w:rsid w:val="006479F9"/>
    <w:rsid w:val="00650364"/>
    <w:rsid w:val="00650C3A"/>
    <w:rsid w:val="00650C61"/>
    <w:rsid w:val="006528D7"/>
    <w:rsid w:val="00653197"/>
    <w:rsid w:val="006547A1"/>
    <w:rsid w:val="006561BB"/>
    <w:rsid w:val="00657A61"/>
    <w:rsid w:val="00663126"/>
    <w:rsid w:val="00664E03"/>
    <w:rsid w:val="006650BB"/>
    <w:rsid w:val="00670072"/>
    <w:rsid w:val="00671872"/>
    <w:rsid w:val="006718A6"/>
    <w:rsid w:val="00671F27"/>
    <w:rsid w:val="00673906"/>
    <w:rsid w:val="00673C50"/>
    <w:rsid w:val="00673DF2"/>
    <w:rsid w:val="0067461C"/>
    <w:rsid w:val="00674F06"/>
    <w:rsid w:val="00675417"/>
    <w:rsid w:val="00676294"/>
    <w:rsid w:val="0068245A"/>
    <w:rsid w:val="00685632"/>
    <w:rsid w:val="00691B46"/>
    <w:rsid w:val="00692A74"/>
    <w:rsid w:val="006948D8"/>
    <w:rsid w:val="006956AA"/>
    <w:rsid w:val="0069633B"/>
    <w:rsid w:val="006978FD"/>
    <w:rsid w:val="006A0913"/>
    <w:rsid w:val="006A294E"/>
    <w:rsid w:val="006A6FBE"/>
    <w:rsid w:val="006B02E5"/>
    <w:rsid w:val="006B1443"/>
    <w:rsid w:val="006B1887"/>
    <w:rsid w:val="006B46F6"/>
    <w:rsid w:val="006C03EF"/>
    <w:rsid w:val="006C1F2E"/>
    <w:rsid w:val="006C4E06"/>
    <w:rsid w:val="006C5A06"/>
    <w:rsid w:val="006C5D90"/>
    <w:rsid w:val="006C66BD"/>
    <w:rsid w:val="006C68D6"/>
    <w:rsid w:val="006D12A5"/>
    <w:rsid w:val="006D1A6E"/>
    <w:rsid w:val="006D26E2"/>
    <w:rsid w:val="006D2A6C"/>
    <w:rsid w:val="006D3227"/>
    <w:rsid w:val="006D37EC"/>
    <w:rsid w:val="006D4199"/>
    <w:rsid w:val="006D6170"/>
    <w:rsid w:val="006E0EDC"/>
    <w:rsid w:val="006E2537"/>
    <w:rsid w:val="006E2DDC"/>
    <w:rsid w:val="006E5A7D"/>
    <w:rsid w:val="006F0AFC"/>
    <w:rsid w:val="006F279A"/>
    <w:rsid w:val="006F3532"/>
    <w:rsid w:val="006F48A0"/>
    <w:rsid w:val="006F5948"/>
    <w:rsid w:val="006F6DA2"/>
    <w:rsid w:val="00700906"/>
    <w:rsid w:val="00700A8C"/>
    <w:rsid w:val="00701A6B"/>
    <w:rsid w:val="00703C9B"/>
    <w:rsid w:val="00704EC7"/>
    <w:rsid w:val="00706E22"/>
    <w:rsid w:val="00707908"/>
    <w:rsid w:val="00711EB2"/>
    <w:rsid w:val="00712663"/>
    <w:rsid w:val="00712FFC"/>
    <w:rsid w:val="007152B7"/>
    <w:rsid w:val="00715D5C"/>
    <w:rsid w:val="00716757"/>
    <w:rsid w:val="007167D9"/>
    <w:rsid w:val="00717AF9"/>
    <w:rsid w:val="00720057"/>
    <w:rsid w:val="00720075"/>
    <w:rsid w:val="00720A9A"/>
    <w:rsid w:val="00722F5C"/>
    <w:rsid w:val="0072324C"/>
    <w:rsid w:val="00723ED2"/>
    <w:rsid w:val="00730F5B"/>
    <w:rsid w:val="00735A6E"/>
    <w:rsid w:val="00735CE1"/>
    <w:rsid w:val="00737396"/>
    <w:rsid w:val="00740CC1"/>
    <w:rsid w:val="00741D07"/>
    <w:rsid w:val="00743DF7"/>
    <w:rsid w:val="0074488C"/>
    <w:rsid w:val="007474D2"/>
    <w:rsid w:val="00751067"/>
    <w:rsid w:val="00751589"/>
    <w:rsid w:val="00751CFA"/>
    <w:rsid w:val="00752259"/>
    <w:rsid w:val="00752296"/>
    <w:rsid w:val="00752FA6"/>
    <w:rsid w:val="0075317C"/>
    <w:rsid w:val="00754CEA"/>
    <w:rsid w:val="00755244"/>
    <w:rsid w:val="00756427"/>
    <w:rsid w:val="007575ED"/>
    <w:rsid w:val="007603BC"/>
    <w:rsid w:val="00761FA5"/>
    <w:rsid w:val="00763DA2"/>
    <w:rsid w:val="00763F31"/>
    <w:rsid w:val="0076692C"/>
    <w:rsid w:val="0077281D"/>
    <w:rsid w:val="00775256"/>
    <w:rsid w:val="00775563"/>
    <w:rsid w:val="00776687"/>
    <w:rsid w:val="00776947"/>
    <w:rsid w:val="00780235"/>
    <w:rsid w:val="007805CC"/>
    <w:rsid w:val="00780926"/>
    <w:rsid w:val="00780C12"/>
    <w:rsid w:val="00780C66"/>
    <w:rsid w:val="0078167F"/>
    <w:rsid w:val="00781F82"/>
    <w:rsid w:val="00784017"/>
    <w:rsid w:val="007848E2"/>
    <w:rsid w:val="007939F8"/>
    <w:rsid w:val="00793FFC"/>
    <w:rsid w:val="0079469F"/>
    <w:rsid w:val="00796712"/>
    <w:rsid w:val="00796DEF"/>
    <w:rsid w:val="007A470E"/>
    <w:rsid w:val="007A75A2"/>
    <w:rsid w:val="007B014F"/>
    <w:rsid w:val="007B0D1C"/>
    <w:rsid w:val="007B12A8"/>
    <w:rsid w:val="007B1AA4"/>
    <w:rsid w:val="007B3884"/>
    <w:rsid w:val="007B43BB"/>
    <w:rsid w:val="007B4FFA"/>
    <w:rsid w:val="007B57B8"/>
    <w:rsid w:val="007B6E73"/>
    <w:rsid w:val="007B7086"/>
    <w:rsid w:val="007C03C2"/>
    <w:rsid w:val="007C0DE8"/>
    <w:rsid w:val="007C21EE"/>
    <w:rsid w:val="007C3ABA"/>
    <w:rsid w:val="007C3C08"/>
    <w:rsid w:val="007C5400"/>
    <w:rsid w:val="007C64BB"/>
    <w:rsid w:val="007D2A0D"/>
    <w:rsid w:val="007D3667"/>
    <w:rsid w:val="007D4AE6"/>
    <w:rsid w:val="007E0523"/>
    <w:rsid w:val="007E079F"/>
    <w:rsid w:val="007E315E"/>
    <w:rsid w:val="007E3719"/>
    <w:rsid w:val="007E470F"/>
    <w:rsid w:val="007E4DA7"/>
    <w:rsid w:val="007E4F0D"/>
    <w:rsid w:val="007F3408"/>
    <w:rsid w:val="007F37F9"/>
    <w:rsid w:val="007F4730"/>
    <w:rsid w:val="00802755"/>
    <w:rsid w:val="008049C6"/>
    <w:rsid w:val="00804F56"/>
    <w:rsid w:val="00805686"/>
    <w:rsid w:val="0080624F"/>
    <w:rsid w:val="00806385"/>
    <w:rsid w:val="00806842"/>
    <w:rsid w:val="00807DE9"/>
    <w:rsid w:val="00807E23"/>
    <w:rsid w:val="00810420"/>
    <w:rsid w:val="00811C49"/>
    <w:rsid w:val="008130C5"/>
    <w:rsid w:val="008156E5"/>
    <w:rsid w:val="0081579A"/>
    <w:rsid w:val="00817F6F"/>
    <w:rsid w:val="008216A4"/>
    <w:rsid w:val="00821C62"/>
    <w:rsid w:val="00823082"/>
    <w:rsid w:val="00824BA0"/>
    <w:rsid w:val="008253A5"/>
    <w:rsid w:val="00830D16"/>
    <w:rsid w:val="00830EB2"/>
    <w:rsid w:val="00830ED8"/>
    <w:rsid w:val="00831CB2"/>
    <w:rsid w:val="00832057"/>
    <w:rsid w:val="0083379B"/>
    <w:rsid w:val="00833FEF"/>
    <w:rsid w:val="008347A0"/>
    <w:rsid w:val="00834FBD"/>
    <w:rsid w:val="008356DB"/>
    <w:rsid w:val="00835D79"/>
    <w:rsid w:val="008368D0"/>
    <w:rsid w:val="00836BC8"/>
    <w:rsid w:val="008373AC"/>
    <w:rsid w:val="008374F2"/>
    <w:rsid w:val="0083775A"/>
    <w:rsid w:val="00837966"/>
    <w:rsid w:val="00840F84"/>
    <w:rsid w:val="00841555"/>
    <w:rsid w:val="008423F6"/>
    <w:rsid w:val="0084413D"/>
    <w:rsid w:val="008444B8"/>
    <w:rsid w:val="00844C55"/>
    <w:rsid w:val="0084555F"/>
    <w:rsid w:val="0084582D"/>
    <w:rsid w:val="00845F5F"/>
    <w:rsid w:val="00846C4A"/>
    <w:rsid w:val="008477B2"/>
    <w:rsid w:val="0085167F"/>
    <w:rsid w:val="00851918"/>
    <w:rsid w:val="00852910"/>
    <w:rsid w:val="00852EF9"/>
    <w:rsid w:val="00853CF0"/>
    <w:rsid w:val="00853F33"/>
    <w:rsid w:val="008615C3"/>
    <w:rsid w:val="00863490"/>
    <w:rsid w:val="008634D0"/>
    <w:rsid w:val="008637DA"/>
    <w:rsid w:val="00865193"/>
    <w:rsid w:val="0086605D"/>
    <w:rsid w:val="00866C07"/>
    <w:rsid w:val="00867140"/>
    <w:rsid w:val="00867EDB"/>
    <w:rsid w:val="00870944"/>
    <w:rsid w:val="0087238A"/>
    <w:rsid w:val="00874A27"/>
    <w:rsid w:val="00875E0B"/>
    <w:rsid w:val="008762B7"/>
    <w:rsid w:val="00877A8F"/>
    <w:rsid w:val="0088040E"/>
    <w:rsid w:val="008805A5"/>
    <w:rsid w:val="008817D4"/>
    <w:rsid w:val="00883B8F"/>
    <w:rsid w:val="00891EBE"/>
    <w:rsid w:val="00892A19"/>
    <w:rsid w:val="00893346"/>
    <w:rsid w:val="00897E77"/>
    <w:rsid w:val="008A0AA3"/>
    <w:rsid w:val="008A1CF7"/>
    <w:rsid w:val="008A23BA"/>
    <w:rsid w:val="008A3D21"/>
    <w:rsid w:val="008A42D0"/>
    <w:rsid w:val="008A442F"/>
    <w:rsid w:val="008A5537"/>
    <w:rsid w:val="008A6059"/>
    <w:rsid w:val="008B47DC"/>
    <w:rsid w:val="008B533F"/>
    <w:rsid w:val="008B65D2"/>
    <w:rsid w:val="008B6780"/>
    <w:rsid w:val="008B701D"/>
    <w:rsid w:val="008B7560"/>
    <w:rsid w:val="008C0278"/>
    <w:rsid w:val="008C02DE"/>
    <w:rsid w:val="008C0716"/>
    <w:rsid w:val="008C0B22"/>
    <w:rsid w:val="008C0C18"/>
    <w:rsid w:val="008C2ADD"/>
    <w:rsid w:val="008C54B5"/>
    <w:rsid w:val="008C618E"/>
    <w:rsid w:val="008C6A71"/>
    <w:rsid w:val="008C726D"/>
    <w:rsid w:val="008D0D0F"/>
    <w:rsid w:val="008D153E"/>
    <w:rsid w:val="008D1F88"/>
    <w:rsid w:val="008D2949"/>
    <w:rsid w:val="008D6DE8"/>
    <w:rsid w:val="008D7B06"/>
    <w:rsid w:val="008E1FC5"/>
    <w:rsid w:val="008E5064"/>
    <w:rsid w:val="008E5DFD"/>
    <w:rsid w:val="008E62F5"/>
    <w:rsid w:val="008E644A"/>
    <w:rsid w:val="008E6A2B"/>
    <w:rsid w:val="008E7121"/>
    <w:rsid w:val="008E7E3D"/>
    <w:rsid w:val="008F0E4D"/>
    <w:rsid w:val="008F2CB9"/>
    <w:rsid w:val="008F7581"/>
    <w:rsid w:val="00900BE7"/>
    <w:rsid w:val="0090311C"/>
    <w:rsid w:val="00904288"/>
    <w:rsid w:val="00904EDD"/>
    <w:rsid w:val="0090645F"/>
    <w:rsid w:val="00910805"/>
    <w:rsid w:val="0091115D"/>
    <w:rsid w:val="00911F44"/>
    <w:rsid w:val="0091331A"/>
    <w:rsid w:val="0092104E"/>
    <w:rsid w:val="0092179B"/>
    <w:rsid w:val="009234FF"/>
    <w:rsid w:val="0092459A"/>
    <w:rsid w:val="00927797"/>
    <w:rsid w:val="00930EB3"/>
    <w:rsid w:val="00933FD2"/>
    <w:rsid w:val="00935BCB"/>
    <w:rsid w:val="00936372"/>
    <w:rsid w:val="00936996"/>
    <w:rsid w:val="00937515"/>
    <w:rsid w:val="009404DE"/>
    <w:rsid w:val="00940B71"/>
    <w:rsid w:val="009429B3"/>
    <w:rsid w:val="00944CDC"/>
    <w:rsid w:val="00945334"/>
    <w:rsid w:val="00947D4E"/>
    <w:rsid w:val="00947E7C"/>
    <w:rsid w:val="00950924"/>
    <w:rsid w:val="0095156F"/>
    <w:rsid w:val="0095193B"/>
    <w:rsid w:val="00952498"/>
    <w:rsid w:val="00953757"/>
    <w:rsid w:val="00956500"/>
    <w:rsid w:val="00957C31"/>
    <w:rsid w:val="00960D7A"/>
    <w:rsid w:val="00962897"/>
    <w:rsid w:val="009629EF"/>
    <w:rsid w:val="00963ECB"/>
    <w:rsid w:val="009652BD"/>
    <w:rsid w:val="0097212C"/>
    <w:rsid w:val="00972F7B"/>
    <w:rsid w:val="00974AC5"/>
    <w:rsid w:val="00975149"/>
    <w:rsid w:val="00976C9F"/>
    <w:rsid w:val="0098250F"/>
    <w:rsid w:val="00984279"/>
    <w:rsid w:val="009856F6"/>
    <w:rsid w:val="00986420"/>
    <w:rsid w:val="009871F9"/>
    <w:rsid w:val="009937C0"/>
    <w:rsid w:val="00993AD1"/>
    <w:rsid w:val="0099518E"/>
    <w:rsid w:val="00995E76"/>
    <w:rsid w:val="00997BD5"/>
    <w:rsid w:val="009A13DA"/>
    <w:rsid w:val="009A1A10"/>
    <w:rsid w:val="009A2147"/>
    <w:rsid w:val="009A2888"/>
    <w:rsid w:val="009A3987"/>
    <w:rsid w:val="009B01A6"/>
    <w:rsid w:val="009B1EA7"/>
    <w:rsid w:val="009B3F13"/>
    <w:rsid w:val="009B412E"/>
    <w:rsid w:val="009B7310"/>
    <w:rsid w:val="009C0240"/>
    <w:rsid w:val="009C05BD"/>
    <w:rsid w:val="009C3095"/>
    <w:rsid w:val="009C381C"/>
    <w:rsid w:val="009C5468"/>
    <w:rsid w:val="009D1477"/>
    <w:rsid w:val="009D1647"/>
    <w:rsid w:val="009D3966"/>
    <w:rsid w:val="009D6263"/>
    <w:rsid w:val="009E08A3"/>
    <w:rsid w:val="009E2B1C"/>
    <w:rsid w:val="009E554A"/>
    <w:rsid w:val="009E5F6E"/>
    <w:rsid w:val="009E65CD"/>
    <w:rsid w:val="009E6B3F"/>
    <w:rsid w:val="009F039A"/>
    <w:rsid w:val="009F3939"/>
    <w:rsid w:val="009F3AB0"/>
    <w:rsid w:val="009F4F24"/>
    <w:rsid w:val="009F68B9"/>
    <w:rsid w:val="009F7BDD"/>
    <w:rsid w:val="00A014A7"/>
    <w:rsid w:val="00A016E0"/>
    <w:rsid w:val="00A0175F"/>
    <w:rsid w:val="00A03307"/>
    <w:rsid w:val="00A0332D"/>
    <w:rsid w:val="00A03AEF"/>
    <w:rsid w:val="00A1037E"/>
    <w:rsid w:val="00A120C9"/>
    <w:rsid w:val="00A13EAF"/>
    <w:rsid w:val="00A148F1"/>
    <w:rsid w:val="00A153FF"/>
    <w:rsid w:val="00A169C5"/>
    <w:rsid w:val="00A17258"/>
    <w:rsid w:val="00A2056D"/>
    <w:rsid w:val="00A2311C"/>
    <w:rsid w:val="00A2744F"/>
    <w:rsid w:val="00A33A86"/>
    <w:rsid w:val="00A33D84"/>
    <w:rsid w:val="00A353A1"/>
    <w:rsid w:val="00A417C0"/>
    <w:rsid w:val="00A42155"/>
    <w:rsid w:val="00A46498"/>
    <w:rsid w:val="00A5102E"/>
    <w:rsid w:val="00A53F10"/>
    <w:rsid w:val="00A547E7"/>
    <w:rsid w:val="00A55B78"/>
    <w:rsid w:val="00A56275"/>
    <w:rsid w:val="00A56F4B"/>
    <w:rsid w:val="00A574B1"/>
    <w:rsid w:val="00A6110C"/>
    <w:rsid w:val="00A6149D"/>
    <w:rsid w:val="00A637C9"/>
    <w:rsid w:val="00A6400E"/>
    <w:rsid w:val="00A64CB2"/>
    <w:rsid w:val="00A6676F"/>
    <w:rsid w:val="00A67076"/>
    <w:rsid w:val="00A701CC"/>
    <w:rsid w:val="00A72C7E"/>
    <w:rsid w:val="00A731BE"/>
    <w:rsid w:val="00A73C75"/>
    <w:rsid w:val="00A745C5"/>
    <w:rsid w:val="00A74A86"/>
    <w:rsid w:val="00A76628"/>
    <w:rsid w:val="00A76824"/>
    <w:rsid w:val="00A77725"/>
    <w:rsid w:val="00A77B21"/>
    <w:rsid w:val="00A77EF6"/>
    <w:rsid w:val="00A828FC"/>
    <w:rsid w:val="00A82B81"/>
    <w:rsid w:val="00A842B0"/>
    <w:rsid w:val="00A845BE"/>
    <w:rsid w:val="00A86001"/>
    <w:rsid w:val="00A866EF"/>
    <w:rsid w:val="00A86F14"/>
    <w:rsid w:val="00A87350"/>
    <w:rsid w:val="00A904D0"/>
    <w:rsid w:val="00A92059"/>
    <w:rsid w:val="00A93BC0"/>
    <w:rsid w:val="00A96702"/>
    <w:rsid w:val="00A97170"/>
    <w:rsid w:val="00AA091B"/>
    <w:rsid w:val="00AA2542"/>
    <w:rsid w:val="00AA2BE8"/>
    <w:rsid w:val="00AA72C1"/>
    <w:rsid w:val="00AA7D77"/>
    <w:rsid w:val="00AB0537"/>
    <w:rsid w:val="00AB0FC1"/>
    <w:rsid w:val="00AB0FD0"/>
    <w:rsid w:val="00AB1D4F"/>
    <w:rsid w:val="00AB2A7B"/>
    <w:rsid w:val="00AB5193"/>
    <w:rsid w:val="00AB5E62"/>
    <w:rsid w:val="00AC0AF2"/>
    <w:rsid w:val="00AC11DB"/>
    <w:rsid w:val="00AC29B3"/>
    <w:rsid w:val="00AC4305"/>
    <w:rsid w:val="00AC50E3"/>
    <w:rsid w:val="00AC6343"/>
    <w:rsid w:val="00AC67A8"/>
    <w:rsid w:val="00AD05AA"/>
    <w:rsid w:val="00AD2272"/>
    <w:rsid w:val="00AD2424"/>
    <w:rsid w:val="00AD498C"/>
    <w:rsid w:val="00AD4FEB"/>
    <w:rsid w:val="00AD623D"/>
    <w:rsid w:val="00AD647D"/>
    <w:rsid w:val="00AD67FD"/>
    <w:rsid w:val="00AE0FFE"/>
    <w:rsid w:val="00AE18F5"/>
    <w:rsid w:val="00AE2A65"/>
    <w:rsid w:val="00AE49D8"/>
    <w:rsid w:val="00AE5F4E"/>
    <w:rsid w:val="00AE754B"/>
    <w:rsid w:val="00AF20CE"/>
    <w:rsid w:val="00AF57A7"/>
    <w:rsid w:val="00AF5C87"/>
    <w:rsid w:val="00B00A7A"/>
    <w:rsid w:val="00B02788"/>
    <w:rsid w:val="00B06681"/>
    <w:rsid w:val="00B06764"/>
    <w:rsid w:val="00B10269"/>
    <w:rsid w:val="00B1083A"/>
    <w:rsid w:val="00B10ACC"/>
    <w:rsid w:val="00B11B30"/>
    <w:rsid w:val="00B132A6"/>
    <w:rsid w:val="00B1392F"/>
    <w:rsid w:val="00B20E78"/>
    <w:rsid w:val="00B225FD"/>
    <w:rsid w:val="00B2433F"/>
    <w:rsid w:val="00B246B3"/>
    <w:rsid w:val="00B25871"/>
    <w:rsid w:val="00B258E2"/>
    <w:rsid w:val="00B30C54"/>
    <w:rsid w:val="00B32941"/>
    <w:rsid w:val="00B339FA"/>
    <w:rsid w:val="00B34DD5"/>
    <w:rsid w:val="00B35488"/>
    <w:rsid w:val="00B35A71"/>
    <w:rsid w:val="00B35EE4"/>
    <w:rsid w:val="00B42980"/>
    <w:rsid w:val="00B432FA"/>
    <w:rsid w:val="00B47442"/>
    <w:rsid w:val="00B47C98"/>
    <w:rsid w:val="00B50873"/>
    <w:rsid w:val="00B5089F"/>
    <w:rsid w:val="00B52525"/>
    <w:rsid w:val="00B52C1E"/>
    <w:rsid w:val="00B52EA0"/>
    <w:rsid w:val="00B55D08"/>
    <w:rsid w:val="00B55E36"/>
    <w:rsid w:val="00B57A23"/>
    <w:rsid w:val="00B602A3"/>
    <w:rsid w:val="00B63242"/>
    <w:rsid w:val="00B63C30"/>
    <w:rsid w:val="00B64AA8"/>
    <w:rsid w:val="00B655C0"/>
    <w:rsid w:val="00B66A8C"/>
    <w:rsid w:val="00B70FC3"/>
    <w:rsid w:val="00B732DA"/>
    <w:rsid w:val="00B751F5"/>
    <w:rsid w:val="00B76DED"/>
    <w:rsid w:val="00B807A0"/>
    <w:rsid w:val="00B80CB5"/>
    <w:rsid w:val="00B82B2A"/>
    <w:rsid w:val="00B84083"/>
    <w:rsid w:val="00B85F21"/>
    <w:rsid w:val="00B86531"/>
    <w:rsid w:val="00B8757D"/>
    <w:rsid w:val="00B87986"/>
    <w:rsid w:val="00B915BD"/>
    <w:rsid w:val="00B9288D"/>
    <w:rsid w:val="00B968A6"/>
    <w:rsid w:val="00BA21E8"/>
    <w:rsid w:val="00BA2AC8"/>
    <w:rsid w:val="00BA62F0"/>
    <w:rsid w:val="00BA6D14"/>
    <w:rsid w:val="00BA6DF9"/>
    <w:rsid w:val="00BA73FD"/>
    <w:rsid w:val="00BA788F"/>
    <w:rsid w:val="00BA7BE8"/>
    <w:rsid w:val="00BB0158"/>
    <w:rsid w:val="00BB0321"/>
    <w:rsid w:val="00BB427C"/>
    <w:rsid w:val="00BB4E40"/>
    <w:rsid w:val="00BB554F"/>
    <w:rsid w:val="00BB585D"/>
    <w:rsid w:val="00BB679B"/>
    <w:rsid w:val="00BB69EE"/>
    <w:rsid w:val="00BB6D05"/>
    <w:rsid w:val="00BB6D3F"/>
    <w:rsid w:val="00BB7B21"/>
    <w:rsid w:val="00BC01F2"/>
    <w:rsid w:val="00BC103A"/>
    <w:rsid w:val="00BC2D6C"/>
    <w:rsid w:val="00BC342F"/>
    <w:rsid w:val="00BC45F6"/>
    <w:rsid w:val="00BC7029"/>
    <w:rsid w:val="00BC7331"/>
    <w:rsid w:val="00BC7E74"/>
    <w:rsid w:val="00BD18FB"/>
    <w:rsid w:val="00BD3801"/>
    <w:rsid w:val="00BD562C"/>
    <w:rsid w:val="00BE0933"/>
    <w:rsid w:val="00BE198E"/>
    <w:rsid w:val="00BE1A41"/>
    <w:rsid w:val="00BE1E07"/>
    <w:rsid w:val="00BE2358"/>
    <w:rsid w:val="00BE30DF"/>
    <w:rsid w:val="00BE3E0A"/>
    <w:rsid w:val="00BE5619"/>
    <w:rsid w:val="00BE6533"/>
    <w:rsid w:val="00BF115B"/>
    <w:rsid w:val="00BF7234"/>
    <w:rsid w:val="00BF77F7"/>
    <w:rsid w:val="00BF7A03"/>
    <w:rsid w:val="00C00664"/>
    <w:rsid w:val="00C01FC0"/>
    <w:rsid w:val="00C024E4"/>
    <w:rsid w:val="00C04F5F"/>
    <w:rsid w:val="00C05046"/>
    <w:rsid w:val="00C07CD2"/>
    <w:rsid w:val="00C07F93"/>
    <w:rsid w:val="00C110EB"/>
    <w:rsid w:val="00C11144"/>
    <w:rsid w:val="00C12BA6"/>
    <w:rsid w:val="00C13772"/>
    <w:rsid w:val="00C15F8B"/>
    <w:rsid w:val="00C16004"/>
    <w:rsid w:val="00C1631D"/>
    <w:rsid w:val="00C20695"/>
    <w:rsid w:val="00C20F0C"/>
    <w:rsid w:val="00C21894"/>
    <w:rsid w:val="00C2357D"/>
    <w:rsid w:val="00C247CF"/>
    <w:rsid w:val="00C279A2"/>
    <w:rsid w:val="00C30913"/>
    <w:rsid w:val="00C309F1"/>
    <w:rsid w:val="00C32241"/>
    <w:rsid w:val="00C34C9D"/>
    <w:rsid w:val="00C34FF3"/>
    <w:rsid w:val="00C353A0"/>
    <w:rsid w:val="00C35E57"/>
    <w:rsid w:val="00C41B3C"/>
    <w:rsid w:val="00C42409"/>
    <w:rsid w:val="00C442A8"/>
    <w:rsid w:val="00C458E1"/>
    <w:rsid w:val="00C459CB"/>
    <w:rsid w:val="00C46892"/>
    <w:rsid w:val="00C47B8A"/>
    <w:rsid w:val="00C5085F"/>
    <w:rsid w:val="00C53D55"/>
    <w:rsid w:val="00C616C0"/>
    <w:rsid w:val="00C6195E"/>
    <w:rsid w:val="00C63A0C"/>
    <w:rsid w:val="00C63E6E"/>
    <w:rsid w:val="00C6406A"/>
    <w:rsid w:val="00C6406C"/>
    <w:rsid w:val="00C66C3A"/>
    <w:rsid w:val="00C66E67"/>
    <w:rsid w:val="00C677CC"/>
    <w:rsid w:val="00C70A82"/>
    <w:rsid w:val="00C77931"/>
    <w:rsid w:val="00C8245B"/>
    <w:rsid w:val="00C82CD9"/>
    <w:rsid w:val="00C8575E"/>
    <w:rsid w:val="00C861B3"/>
    <w:rsid w:val="00C86BF8"/>
    <w:rsid w:val="00C901D8"/>
    <w:rsid w:val="00C9085F"/>
    <w:rsid w:val="00C91C25"/>
    <w:rsid w:val="00C93801"/>
    <w:rsid w:val="00C93E08"/>
    <w:rsid w:val="00C942CA"/>
    <w:rsid w:val="00C95C18"/>
    <w:rsid w:val="00CA23BA"/>
    <w:rsid w:val="00CA37D6"/>
    <w:rsid w:val="00CA4907"/>
    <w:rsid w:val="00CA643F"/>
    <w:rsid w:val="00CA6584"/>
    <w:rsid w:val="00CA6A4B"/>
    <w:rsid w:val="00CB0996"/>
    <w:rsid w:val="00CB2EBB"/>
    <w:rsid w:val="00CB2FE7"/>
    <w:rsid w:val="00CB471E"/>
    <w:rsid w:val="00CB4B22"/>
    <w:rsid w:val="00CB4CA2"/>
    <w:rsid w:val="00CB57EC"/>
    <w:rsid w:val="00CB5901"/>
    <w:rsid w:val="00CB7FB0"/>
    <w:rsid w:val="00CC18DB"/>
    <w:rsid w:val="00CC23E9"/>
    <w:rsid w:val="00CC26EC"/>
    <w:rsid w:val="00CC4C16"/>
    <w:rsid w:val="00CC5021"/>
    <w:rsid w:val="00CC5462"/>
    <w:rsid w:val="00CC6C60"/>
    <w:rsid w:val="00CC6E4D"/>
    <w:rsid w:val="00CD0460"/>
    <w:rsid w:val="00CD0EFB"/>
    <w:rsid w:val="00CD0F44"/>
    <w:rsid w:val="00CD2C6E"/>
    <w:rsid w:val="00CD5AFB"/>
    <w:rsid w:val="00CE04A2"/>
    <w:rsid w:val="00CE0F41"/>
    <w:rsid w:val="00CE3277"/>
    <w:rsid w:val="00CE4E94"/>
    <w:rsid w:val="00CE5662"/>
    <w:rsid w:val="00CE59FA"/>
    <w:rsid w:val="00CE5FBA"/>
    <w:rsid w:val="00CE6237"/>
    <w:rsid w:val="00CE7093"/>
    <w:rsid w:val="00CE7D15"/>
    <w:rsid w:val="00CE7D3E"/>
    <w:rsid w:val="00CF05D7"/>
    <w:rsid w:val="00CF2E15"/>
    <w:rsid w:val="00CF2F91"/>
    <w:rsid w:val="00CF56B8"/>
    <w:rsid w:val="00CF674F"/>
    <w:rsid w:val="00CF7A37"/>
    <w:rsid w:val="00D001EF"/>
    <w:rsid w:val="00D00A4E"/>
    <w:rsid w:val="00D010DB"/>
    <w:rsid w:val="00D02D60"/>
    <w:rsid w:val="00D038EE"/>
    <w:rsid w:val="00D06114"/>
    <w:rsid w:val="00D061DC"/>
    <w:rsid w:val="00D06908"/>
    <w:rsid w:val="00D107AA"/>
    <w:rsid w:val="00D14076"/>
    <w:rsid w:val="00D15B8C"/>
    <w:rsid w:val="00D17126"/>
    <w:rsid w:val="00D20B3B"/>
    <w:rsid w:val="00D22A5D"/>
    <w:rsid w:val="00D24C23"/>
    <w:rsid w:val="00D27465"/>
    <w:rsid w:val="00D3050C"/>
    <w:rsid w:val="00D30D61"/>
    <w:rsid w:val="00D3165F"/>
    <w:rsid w:val="00D3181D"/>
    <w:rsid w:val="00D32BA0"/>
    <w:rsid w:val="00D32E2A"/>
    <w:rsid w:val="00D343E7"/>
    <w:rsid w:val="00D344D7"/>
    <w:rsid w:val="00D34E47"/>
    <w:rsid w:val="00D36EB0"/>
    <w:rsid w:val="00D37353"/>
    <w:rsid w:val="00D37B78"/>
    <w:rsid w:val="00D40680"/>
    <w:rsid w:val="00D44E8D"/>
    <w:rsid w:val="00D45089"/>
    <w:rsid w:val="00D45BD3"/>
    <w:rsid w:val="00D500E8"/>
    <w:rsid w:val="00D50310"/>
    <w:rsid w:val="00D508EF"/>
    <w:rsid w:val="00D50A2B"/>
    <w:rsid w:val="00D511E5"/>
    <w:rsid w:val="00D5123F"/>
    <w:rsid w:val="00D52474"/>
    <w:rsid w:val="00D52A37"/>
    <w:rsid w:val="00D5356C"/>
    <w:rsid w:val="00D53D75"/>
    <w:rsid w:val="00D53EAA"/>
    <w:rsid w:val="00D56140"/>
    <w:rsid w:val="00D56A5E"/>
    <w:rsid w:val="00D57616"/>
    <w:rsid w:val="00D57C52"/>
    <w:rsid w:val="00D6036F"/>
    <w:rsid w:val="00D61735"/>
    <w:rsid w:val="00D61C9E"/>
    <w:rsid w:val="00D62515"/>
    <w:rsid w:val="00D631DB"/>
    <w:rsid w:val="00D636AD"/>
    <w:rsid w:val="00D6386D"/>
    <w:rsid w:val="00D70914"/>
    <w:rsid w:val="00D71E3D"/>
    <w:rsid w:val="00D7260E"/>
    <w:rsid w:val="00D72DA8"/>
    <w:rsid w:val="00D73C6D"/>
    <w:rsid w:val="00D7412A"/>
    <w:rsid w:val="00D75861"/>
    <w:rsid w:val="00D76713"/>
    <w:rsid w:val="00D779FA"/>
    <w:rsid w:val="00D80370"/>
    <w:rsid w:val="00D80A88"/>
    <w:rsid w:val="00D8264A"/>
    <w:rsid w:val="00D8310D"/>
    <w:rsid w:val="00D84BFA"/>
    <w:rsid w:val="00D856DC"/>
    <w:rsid w:val="00D85792"/>
    <w:rsid w:val="00D913C8"/>
    <w:rsid w:val="00D9179F"/>
    <w:rsid w:val="00D91880"/>
    <w:rsid w:val="00D929F8"/>
    <w:rsid w:val="00D93D87"/>
    <w:rsid w:val="00D9425C"/>
    <w:rsid w:val="00D94CAE"/>
    <w:rsid w:val="00D959EC"/>
    <w:rsid w:val="00D95FFC"/>
    <w:rsid w:val="00D9767A"/>
    <w:rsid w:val="00D97951"/>
    <w:rsid w:val="00DA1C7D"/>
    <w:rsid w:val="00DA2C25"/>
    <w:rsid w:val="00DA39BE"/>
    <w:rsid w:val="00DA483C"/>
    <w:rsid w:val="00DA4F39"/>
    <w:rsid w:val="00DA6478"/>
    <w:rsid w:val="00DA651A"/>
    <w:rsid w:val="00DA71B4"/>
    <w:rsid w:val="00DA7E8E"/>
    <w:rsid w:val="00DB10A1"/>
    <w:rsid w:val="00DB14F4"/>
    <w:rsid w:val="00DB15DD"/>
    <w:rsid w:val="00DB42DA"/>
    <w:rsid w:val="00DB4EAD"/>
    <w:rsid w:val="00DB5ADB"/>
    <w:rsid w:val="00DB6286"/>
    <w:rsid w:val="00DB6B86"/>
    <w:rsid w:val="00DB6C4F"/>
    <w:rsid w:val="00DB7744"/>
    <w:rsid w:val="00DC012D"/>
    <w:rsid w:val="00DC0210"/>
    <w:rsid w:val="00DC21B5"/>
    <w:rsid w:val="00DC2EA3"/>
    <w:rsid w:val="00DC40E4"/>
    <w:rsid w:val="00DC4216"/>
    <w:rsid w:val="00DC4D4C"/>
    <w:rsid w:val="00DC58DD"/>
    <w:rsid w:val="00DC6D33"/>
    <w:rsid w:val="00DD0F08"/>
    <w:rsid w:val="00DD1D2E"/>
    <w:rsid w:val="00DD5274"/>
    <w:rsid w:val="00DD6C5E"/>
    <w:rsid w:val="00DE00BF"/>
    <w:rsid w:val="00DE3BAD"/>
    <w:rsid w:val="00DE3E2C"/>
    <w:rsid w:val="00DE4283"/>
    <w:rsid w:val="00DE6DBE"/>
    <w:rsid w:val="00DF02F6"/>
    <w:rsid w:val="00DF16AA"/>
    <w:rsid w:val="00DF36CB"/>
    <w:rsid w:val="00DF44A3"/>
    <w:rsid w:val="00DF63D3"/>
    <w:rsid w:val="00DF7E24"/>
    <w:rsid w:val="00E00F12"/>
    <w:rsid w:val="00E016EB"/>
    <w:rsid w:val="00E04776"/>
    <w:rsid w:val="00E07673"/>
    <w:rsid w:val="00E12702"/>
    <w:rsid w:val="00E12CFF"/>
    <w:rsid w:val="00E143D0"/>
    <w:rsid w:val="00E150AB"/>
    <w:rsid w:val="00E15343"/>
    <w:rsid w:val="00E15EEC"/>
    <w:rsid w:val="00E177EB"/>
    <w:rsid w:val="00E20922"/>
    <w:rsid w:val="00E20BFD"/>
    <w:rsid w:val="00E22316"/>
    <w:rsid w:val="00E22BFD"/>
    <w:rsid w:val="00E241A5"/>
    <w:rsid w:val="00E2678D"/>
    <w:rsid w:val="00E27215"/>
    <w:rsid w:val="00E3004F"/>
    <w:rsid w:val="00E32E8B"/>
    <w:rsid w:val="00E34FB4"/>
    <w:rsid w:val="00E35ABB"/>
    <w:rsid w:val="00E37ECB"/>
    <w:rsid w:val="00E4005D"/>
    <w:rsid w:val="00E4219B"/>
    <w:rsid w:val="00E42A43"/>
    <w:rsid w:val="00E46468"/>
    <w:rsid w:val="00E46602"/>
    <w:rsid w:val="00E501C8"/>
    <w:rsid w:val="00E508C7"/>
    <w:rsid w:val="00E5097E"/>
    <w:rsid w:val="00E51621"/>
    <w:rsid w:val="00E523FD"/>
    <w:rsid w:val="00E52904"/>
    <w:rsid w:val="00E54187"/>
    <w:rsid w:val="00E5530F"/>
    <w:rsid w:val="00E61D15"/>
    <w:rsid w:val="00E64D00"/>
    <w:rsid w:val="00E662C4"/>
    <w:rsid w:val="00E679B8"/>
    <w:rsid w:val="00E67AC4"/>
    <w:rsid w:val="00E71B43"/>
    <w:rsid w:val="00E74B31"/>
    <w:rsid w:val="00E75572"/>
    <w:rsid w:val="00E758EB"/>
    <w:rsid w:val="00E76091"/>
    <w:rsid w:val="00E80AAB"/>
    <w:rsid w:val="00E81314"/>
    <w:rsid w:val="00E8194C"/>
    <w:rsid w:val="00E84285"/>
    <w:rsid w:val="00E8429E"/>
    <w:rsid w:val="00E85816"/>
    <w:rsid w:val="00E86106"/>
    <w:rsid w:val="00E90FCB"/>
    <w:rsid w:val="00E91B19"/>
    <w:rsid w:val="00E93D6D"/>
    <w:rsid w:val="00E949BB"/>
    <w:rsid w:val="00E955EB"/>
    <w:rsid w:val="00E97FCC"/>
    <w:rsid w:val="00EA2AC7"/>
    <w:rsid w:val="00EA3379"/>
    <w:rsid w:val="00EA3620"/>
    <w:rsid w:val="00EA3EBA"/>
    <w:rsid w:val="00EA5F5F"/>
    <w:rsid w:val="00EB09E3"/>
    <w:rsid w:val="00EB10AB"/>
    <w:rsid w:val="00EB4D7B"/>
    <w:rsid w:val="00EB6226"/>
    <w:rsid w:val="00EB6561"/>
    <w:rsid w:val="00EB7FD9"/>
    <w:rsid w:val="00EC0B75"/>
    <w:rsid w:val="00EC104F"/>
    <w:rsid w:val="00EC161B"/>
    <w:rsid w:val="00EC1B15"/>
    <w:rsid w:val="00EC1FE7"/>
    <w:rsid w:val="00EC2483"/>
    <w:rsid w:val="00EC2EA4"/>
    <w:rsid w:val="00EC2FA9"/>
    <w:rsid w:val="00EC343B"/>
    <w:rsid w:val="00EC3EC0"/>
    <w:rsid w:val="00EC46D4"/>
    <w:rsid w:val="00EC4892"/>
    <w:rsid w:val="00EC72CC"/>
    <w:rsid w:val="00ED2537"/>
    <w:rsid w:val="00ED363D"/>
    <w:rsid w:val="00ED6F34"/>
    <w:rsid w:val="00EE0447"/>
    <w:rsid w:val="00EE05F8"/>
    <w:rsid w:val="00EE0E72"/>
    <w:rsid w:val="00EE22A2"/>
    <w:rsid w:val="00EE23D1"/>
    <w:rsid w:val="00EE2670"/>
    <w:rsid w:val="00EE2985"/>
    <w:rsid w:val="00EE2CA1"/>
    <w:rsid w:val="00EE45CB"/>
    <w:rsid w:val="00EE60E2"/>
    <w:rsid w:val="00EF3E13"/>
    <w:rsid w:val="00EF4C79"/>
    <w:rsid w:val="00EF57E6"/>
    <w:rsid w:val="00EF7364"/>
    <w:rsid w:val="00EF746B"/>
    <w:rsid w:val="00EF781C"/>
    <w:rsid w:val="00F0064F"/>
    <w:rsid w:val="00F039A0"/>
    <w:rsid w:val="00F049D5"/>
    <w:rsid w:val="00F04CD8"/>
    <w:rsid w:val="00F10519"/>
    <w:rsid w:val="00F1179F"/>
    <w:rsid w:val="00F13F19"/>
    <w:rsid w:val="00F15930"/>
    <w:rsid w:val="00F15F38"/>
    <w:rsid w:val="00F167EE"/>
    <w:rsid w:val="00F174F0"/>
    <w:rsid w:val="00F176E6"/>
    <w:rsid w:val="00F17CA6"/>
    <w:rsid w:val="00F20BC9"/>
    <w:rsid w:val="00F241A9"/>
    <w:rsid w:val="00F24F7D"/>
    <w:rsid w:val="00F269D9"/>
    <w:rsid w:val="00F26D31"/>
    <w:rsid w:val="00F27BC3"/>
    <w:rsid w:val="00F30702"/>
    <w:rsid w:val="00F30C72"/>
    <w:rsid w:val="00F318B5"/>
    <w:rsid w:val="00F32588"/>
    <w:rsid w:val="00F3332D"/>
    <w:rsid w:val="00F3637A"/>
    <w:rsid w:val="00F37BF5"/>
    <w:rsid w:val="00F405C7"/>
    <w:rsid w:val="00F416DD"/>
    <w:rsid w:val="00F418CD"/>
    <w:rsid w:val="00F42C5C"/>
    <w:rsid w:val="00F44514"/>
    <w:rsid w:val="00F508B5"/>
    <w:rsid w:val="00F52F9E"/>
    <w:rsid w:val="00F5666A"/>
    <w:rsid w:val="00F605B4"/>
    <w:rsid w:val="00F60784"/>
    <w:rsid w:val="00F628B5"/>
    <w:rsid w:val="00F639B8"/>
    <w:rsid w:val="00F64982"/>
    <w:rsid w:val="00F661FB"/>
    <w:rsid w:val="00F66470"/>
    <w:rsid w:val="00F666A2"/>
    <w:rsid w:val="00F67D2D"/>
    <w:rsid w:val="00F70034"/>
    <w:rsid w:val="00F7010C"/>
    <w:rsid w:val="00F702D9"/>
    <w:rsid w:val="00F70A44"/>
    <w:rsid w:val="00F70B83"/>
    <w:rsid w:val="00F72088"/>
    <w:rsid w:val="00F73117"/>
    <w:rsid w:val="00F73584"/>
    <w:rsid w:val="00F73ACA"/>
    <w:rsid w:val="00F73BB9"/>
    <w:rsid w:val="00F8187B"/>
    <w:rsid w:val="00F83091"/>
    <w:rsid w:val="00F83C44"/>
    <w:rsid w:val="00F8464A"/>
    <w:rsid w:val="00F86824"/>
    <w:rsid w:val="00F90490"/>
    <w:rsid w:val="00F918CC"/>
    <w:rsid w:val="00F92035"/>
    <w:rsid w:val="00F93B1B"/>
    <w:rsid w:val="00F96DD3"/>
    <w:rsid w:val="00FA08FD"/>
    <w:rsid w:val="00FA1ABD"/>
    <w:rsid w:val="00FA3A2A"/>
    <w:rsid w:val="00FA3C6D"/>
    <w:rsid w:val="00FA4FB3"/>
    <w:rsid w:val="00FA5A94"/>
    <w:rsid w:val="00FB032B"/>
    <w:rsid w:val="00FB072E"/>
    <w:rsid w:val="00FB12B0"/>
    <w:rsid w:val="00FB15EE"/>
    <w:rsid w:val="00FB3022"/>
    <w:rsid w:val="00FB4F0B"/>
    <w:rsid w:val="00FB602F"/>
    <w:rsid w:val="00FB6845"/>
    <w:rsid w:val="00FB7F26"/>
    <w:rsid w:val="00FC38D9"/>
    <w:rsid w:val="00FC3FC5"/>
    <w:rsid w:val="00FC4BF8"/>
    <w:rsid w:val="00FC5987"/>
    <w:rsid w:val="00FC6166"/>
    <w:rsid w:val="00FC759E"/>
    <w:rsid w:val="00FC795B"/>
    <w:rsid w:val="00FD0AE3"/>
    <w:rsid w:val="00FD1BFB"/>
    <w:rsid w:val="00FD4D64"/>
    <w:rsid w:val="00FD5B31"/>
    <w:rsid w:val="00FD6D8A"/>
    <w:rsid w:val="00FD6F18"/>
    <w:rsid w:val="00FD77E6"/>
    <w:rsid w:val="00FD7990"/>
    <w:rsid w:val="00FE29C5"/>
    <w:rsid w:val="00FE4607"/>
    <w:rsid w:val="00FF1969"/>
    <w:rsid w:val="00FF3C8B"/>
    <w:rsid w:val="00FF4C16"/>
    <w:rsid w:val="00FF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D261C1"/>
  <w14:defaultImageDpi w14:val="300"/>
  <w15:docId w15:val="{C7AD9A65-2A94-4FA0-81F8-5F061A35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6E45"/>
    <w:pPr>
      <w:keepNext/>
      <w:outlineLvl w:val="0"/>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0301B6"/>
  </w:style>
  <w:style w:type="character" w:customStyle="1" w:styleId="FootnoteTextChar">
    <w:name w:val="Footnote Text Char"/>
    <w:basedOn w:val="DefaultParagraphFont"/>
    <w:link w:val="FootnoteText"/>
    <w:uiPriority w:val="99"/>
    <w:rsid w:val="000301B6"/>
  </w:style>
  <w:style w:type="character" w:styleId="FootnoteReference">
    <w:name w:val="footnote reference"/>
    <w:basedOn w:val="DefaultParagraphFont"/>
    <w:uiPriority w:val="99"/>
    <w:unhideWhenUsed/>
    <w:rsid w:val="000301B6"/>
    <w:rPr>
      <w:vertAlign w:val="superscript"/>
    </w:rPr>
  </w:style>
  <w:style w:type="table" w:styleId="TableGrid">
    <w:name w:val="Table Grid"/>
    <w:basedOn w:val="TableNormal"/>
    <w:uiPriority w:val="59"/>
    <w:rsid w:val="00030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301B6"/>
    <w:pPr>
      <w:widowControl w:val="0"/>
      <w:spacing w:after="240"/>
      <w:ind w:firstLine="720"/>
    </w:pPr>
    <w:rPr>
      <w:rFonts w:ascii="Times New Roman" w:eastAsia="Times New Roman" w:hAnsi="Times New Roman" w:cs="Times New Roman"/>
    </w:rPr>
  </w:style>
  <w:style w:type="character" w:customStyle="1" w:styleId="BodyTextChar">
    <w:name w:val="Body Text Char"/>
    <w:basedOn w:val="DefaultParagraphFont"/>
    <w:link w:val="BodyText"/>
    <w:rsid w:val="000301B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301B6"/>
    <w:rPr>
      <w:sz w:val="18"/>
      <w:szCs w:val="18"/>
    </w:rPr>
  </w:style>
  <w:style w:type="paragraph" w:styleId="CommentText">
    <w:name w:val="annotation text"/>
    <w:basedOn w:val="Normal"/>
    <w:link w:val="CommentTextChar"/>
    <w:uiPriority w:val="99"/>
    <w:unhideWhenUsed/>
    <w:rsid w:val="000301B6"/>
  </w:style>
  <w:style w:type="character" w:customStyle="1" w:styleId="CommentTextChar">
    <w:name w:val="Comment Text Char"/>
    <w:basedOn w:val="DefaultParagraphFont"/>
    <w:link w:val="CommentText"/>
    <w:uiPriority w:val="99"/>
    <w:rsid w:val="000301B6"/>
  </w:style>
  <w:style w:type="paragraph" w:styleId="BalloonText">
    <w:name w:val="Balloon Text"/>
    <w:basedOn w:val="Normal"/>
    <w:link w:val="BalloonTextChar"/>
    <w:uiPriority w:val="99"/>
    <w:semiHidden/>
    <w:unhideWhenUsed/>
    <w:rsid w:val="000301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1B6"/>
    <w:rPr>
      <w:rFonts w:ascii="Lucida Grande" w:hAnsi="Lucida Grande" w:cs="Lucida Grande"/>
      <w:sz w:val="18"/>
      <w:szCs w:val="18"/>
    </w:rPr>
  </w:style>
  <w:style w:type="paragraph" w:styleId="ListParagraph">
    <w:name w:val="List Paragraph"/>
    <w:basedOn w:val="Normal"/>
    <w:uiPriority w:val="34"/>
    <w:qFormat/>
    <w:rsid w:val="00BC7E74"/>
    <w:pPr>
      <w:ind w:left="720"/>
      <w:contextualSpacing/>
    </w:pPr>
  </w:style>
  <w:style w:type="character" w:customStyle="1" w:styleId="apple-converted-space">
    <w:name w:val="apple-converted-space"/>
    <w:basedOn w:val="DefaultParagraphFont"/>
    <w:rsid w:val="00BC7E74"/>
  </w:style>
  <w:style w:type="character" w:styleId="Emphasis">
    <w:name w:val="Emphasis"/>
    <w:basedOn w:val="DefaultParagraphFont"/>
    <w:uiPriority w:val="20"/>
    <w:qFormat/>
    <w:rsid w:val="00BC7E74"/>
    <w:rPr>
      <w:i/>
      <w:iCs/>
    </w:rPr>
  </w:style>
  <w:style w:type="character" w:styleId="Hyperlink">
    <w:name w:val="Hyperlink"/>
    <w:basedOn w:val="DefaultParagraphFont"/>
    <w:uiPriority w:val="99"/>
    <w:unhideWhenUsed/>
    <w:rsid w:val="00BC7E7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C7E74"/>
    <w:rPr>
      <w:b/>
      <w:bCs/>
      <w:sz w:val="20"/>
      <w:szCs w:val="20"/>
    </w:rPr>
  </w:style>
  <w:style w:type="character" w:customStyle="1" w:styleId="CommentSubjectChar">
    <w:name w:val="Comment Subject Char"/>
    <w:basedOn w:val="CommentTextChar"/>
    <w:link w:val="CommentSubject"/>
    <w:uiPriority w:val="99"/>
    <w:semiHidden/>
    <w:rsid w:val="00BC7E74"/>
    <w:rPr>
      <w:b/>
      <w:bCs/>
      <w:sz w:val="20"/>
      <w:szCs w:val="20"/>
    </w:rPr>
  </w:style>
  <w:style w:type="paragraph" w:styleId="Footer">
    <w:name w:val="footer"/>
    <w:basedOn w:val="Normal"/>
    <w:link w:val="FooterChar"/>
    <w:uiPriority w:val="99"/>
    <w:unhideWhenUsed/>
    <w:rsid w:val="00BC7E74"/>
    <w:pPr>
      <w:tabs>
        <w:tab w:val="center" w:pos="4320"/>
        <w:tab w:val="right" w:pos="8640"/>
      </w:tabs>
    </w:pPr>
  </w:style>
  <w:style w:type="character" w:customStyle="1" w:styleId="FooterChar">
    <w:name w:val="Footer Char"/>
    <w:basedOn w:val="DefaultParagraphFont"/>
    <w:link w:val="Footer"/>
    <w:uiPriority w:val="99"/>
    <w:rsid w:val="00BC7E74"/>
  </w:style>
  <w:style w:type="character" w:styleId="PageNumber">
    <w:name w:val="page number"/>
    <w:basedOn w:val="DefaultParagraphFont"/>
    <w:uiPriority w:val="99"/>
    <w:semiHidden/>
    <w:unhideWhenUsed/>
    <w:rsid w:val="00BC7E74"/>
  </w:style>
  <w:style w:type="paragraph" w:styleId="Header">
    <w:name w:val="header"/>
    <w:basedOn w:val="Normal"/>
    <w:link w:val="HeaderChar"/>
    <w:uiPriority w:val="99"/>
    <w:unhideWhenUsed/>
    <w:rsid w:val="00BC7E74"/>
    <w:pPr>
      <w:tabs>
        <w:tab w:val="center" w:pos="4680"/>
        <w:tab w:val="right" w:pos="9360"/>
      </w:tabs>
    </w:pPr>
  </w:style>
  <w:style w:type="character" w:customStyle="1" w:styleId="HeaderChar">
    <w:name w:val="Header Char"/>
    <w:basedOn w:val="DefaultParagraphFont"/>
    <w:link w:val="Header"/>
    <w:uiPriority w:val="99"/>
    <w:rsid w:val="00BC7E74"/>
  </w:style>
  <w:style w:type="character" w:styleId="FollowedHyperlink">
    <w:name w:val="FollowedHyperlink"/>
    <w:basedOn w:val="DefaultParagraphFont"/>
    <w:uiPriority w:val="99"/>
    <w:semiHidden/>
    <w:unhideWhenUsed/>
    <w:rsid w:val="00BC7E74"/>
    <w:rPr>
      <w:color w:val="800080" w:themeColor="followedHyperlink"/>
      <w:u w:val="single"/>
    </w:rPr>
  </w:style>
  <w:style w:type="character" w:customStyle="1" w:styleId="term1">
    <w:name w:val="term1"/>
    <w:basedOn w:val="DefaultParagraphFont"/>
    <w:rsid w:val="00BC7E74"/>
    <w:rPr>
      <w:b/>
      <w:bCs/>
    </w:rPr>
  </w:style>
  <w:style w:type="table" w:customStyle="1" w:styleId="PlainTable11">
    <w:name w:val="Plain Table 11"/>
    <w:basedOn w:val="TableNormal"/>
    <w:uiPriority w:val="99"/>
    <w:rsid w:val="00DC21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99"/>
    <w:rsid w:val="00DC21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99"/>
    <w:rsid w:val="00DC21B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rsid w:val="00016E45"/>
    <w:rPr>
      <w:rFonts w:ascii="Times New Roman" w:eastAsia="Times New Roman" w:hAnsi="Times New Roman" w:cs="Times New Roman"/>
      <w:b/>
      <w:sz w:val="22"/>
      <w:szCs w:val="20"/>
    </w:rPr>
  </w:style>
  <w:style w:type="paragraph" w:styleId="Revision">
    <w:name w:val="Revision"/>
    <w:hidden/>
    <w:uiPriority w:val="99"/>
    <w:semiHidden/>
    <w:rsid w:val="0067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667">
      <w:bodyDiv w:val="1"/>
      <w:marLeft w:val="0"/>
      <w:marRight w:val="0"/>
      <w:marTop w:val="0"/>
      <w:marBottom w:val="0"/>
      <w:divBdr>
        <w:top w:val="none" w:sz="0" w:space="0" w:color="auto"/>
        <w:left w:val="none" w:sz="0" w:space="0" w:color="auto"/>
        <w:bottom w:val="none" w:sz="0" w:space="0" w:color="auto"/>
        <w:right w:val="none" w:sz="0" w:space="0" w:color="auto"/>
      </w:divBdr>
    </w:div>
    <w:div w:id="18315814">
      <w:bodyDiv w:val="1"/>
      <w:marLeft w:val="0"/>
      <w:marRight w:val="0"/>
      <w:marTop w:val="0"/>
      <w:marBottom w:val="0"/>
      <w:divBdr>
        <w:top w:val="none" w:sz="0" w:space="0" w:color="auto"/>
        <w:left w:val="none" w:sz="0" w:space="0" w:color="auto"/>
        <w:bottom w:val="none" w:sz="0" w:space="0" w:color="auto"/>
        <w:right w:val="none" w:sz="0" w:space="0" w:color="auto"/>
      </w:divBdr>
    </w:div>
    <w:div w:id="110519599">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9545411">
      <w:bodyDiv w:val="1"/>
      <w:marLeft w:val="0"/>
      <w:marRight w:val="0"/>
      <w:marTop w:val="0"/>
      <w:marBottom w:val="0"/>
      <w:divBdr>
        <w:top w:val="none" w:sz="0" w:space="0" w:color="auto"/>
        <w:left w:val="none" w:sz="0" w:space="0" w:color="auto"/>
        <w:bottom w:val="none" w:sz="0" w:space="0" w:color="auto"/>
        <w:right w:val="none" w:sz="0" w:space="0" w:color="auto"/>
      </w:divBdr>
    </w:div>
    <w:div w:id="183907258">
      <w:bodyDiv w:val="1"/>
      <w:marLeft w:val="0"/>
      <w:marRight w:val="0"/>
      <w:marTop w:val="0"/>
      <w:marBottom w:val="0"/>
      <w:divBdr>
        <w:top w:val="none" w:sz="0" w:space="0" w:color="auto"/>
        <w:left w:val="none" w:sz="0" w:space="0" w:color="auto"/>
        <w:bottom w:val="none" w:sz="0" w:space="0" w:color="auto"/>
        <w:right w:val="none" w:sz="0" w:space="0" w:color="auto"/>
      </w:divBdr>
    </w:div>
    <w:div w:id="202257263">
      <w:bodyDiv w:val="1"/>
      <w:marLeft w:val="0"/>
      <w:marRight w:val="0"/>
      <w:marTop w:val="0"/>
      <w:marBottom w:val="0"/>
      <w:divBdr>
        <w:top w:val="none" w:sz="0" w:space="0" w:color="auto"/>
        <w:left w:val="none" w:sz="0" w:space="0" w:color="auto"/>
        <w:bottom w:val="none" w:sz="0" w:space="0" w:color="auto"/>
        <w:right w:val="none" w:sz="0" w:space="0" w:color="auto"/>
      </w:divBdr>
    </w:div>
    <w:div w:id="204147292">
      <w:bodyDiv w:val="1"/>
      <w:marLeft w:val="0"/>
      <w:marRight w:val="0"/>
      <w:marTop w:val="0"/>
      <w:marBottom w:val="0"/>
      <w:divBdr>
        <w:top w:val="none" w:sz="0" w:space="0" w:color="auto"/>
        <w:left w:val="none" w:sz="0" w:space="0" w:color="auto"/>
        <w:bottom w:val="none" w:sz="0" w:space="0" w:color="auto"/>
        <w:right w:val="none" w:sz="0" w:space="0" w:color="auto"/>
      </w:divBdr>
    </w:div>
    <w:div w:id="213931224">
      <w:bodyDiv w:val="1"/>
      <w:marLeft w:val="0"/>
      <w:marRight w:val="0"/>
      <w:marTop w:val="0"/>
      <w:marBottom w:val="0"/>
      <w:divBdr>
        <w:top w:val="none" w:sz="0" w:space="0" w:color="auto"/>
        <w:left w:val="none" w:sz="0" w:space="0" w:color="auto"/>
        <w:bottom w:val="none" w:sz="0" w:space="0" w:color="auto"/>
        <w:right w:val="none" w:sz="0" w:space="0" w:color="auto"/>
      </w:divBdr>
    </w:div>
    <w:div w:id="241455003">
      <w:bodyDiv w:val="1"/>
      <w:marLeft w:val="0"/>
      <w:marRight w:val="0"/>
      <w:marTop w:val="0"/>
      <w:marBottom w:val="0"/>
      <w:divBdr>
        <w:top w:val="none" w:sz="0" w:space="0" w:color="auto"/>
        <w:left w:val="none" w:sz="0" w:space="0" w:color="auto"/>
        <w:bottom w:val="none" w:sz="0" w:space="0" w:color="auto"/>
        <w:right w:val="none" w:sz="0" w:space="0" w:color="auto"/>
      </w:divBdr>
    </w:div>
    <w:div w:id="248277012">
      <w:bodyDiv w:val="1"/>
      <w:marLeft w:val="0"/>
      <w:marRight w:val="0"/>
      <w:marTop w:val="0"/>
      <w:marBottom w:val="0"/>
      <w:divBdr>
        <w:top w:val="none" w:sz="0" w:space="0" w:color="auto"/>
        <w:left w:val="none" w:sz="0" w:space="0" w:color="auto"/>
        <w:bottom w:val="none" w:sz="0" w:space="0" w:color="auto"/>
        <w:right w:val="none" w:sz="0" w:space="0" w:color="auto"/>
      </w:divBdr>
    </w:div>
    <w:div w:id="305941908">
      <w:bodyDiv w:val="1"/>
      <w:marLeft w:val="0"/>
      <w:marRight w:val="0"/>
      <w:marTop w:val="0"/>
      <w:marBottom w:val="0"/>
      <w:divBdr>
        <w:top w:val="none" w:sz="0" w:space="0" w:color="auto"/>
        <w:left w:val="none" w:sz="0" w:space="0" w:color="auto"/>
        <w:bottom w:val="none" w:sz="0" w:space="0" w:color="auto"/>
        <w:right w:val="none" w:sz="0" w:space="0" w:color="auto"/>
      </w:divBdr>
    </w:div>
    <w:div w:id="313725228">
      <w:bodyDiv w:val="1"/>
      <w:marLeft w:val="0"/>
      <w:marRight w:val="0"/>
      <w:marTop w:val="0"/>
      <w:marBottom w:val="0"/>
      <w:divBdr>
        <w:top w:val="none" w:sz="0" w:space="0" w:color="auto"/>
        <w:left w:val="none" w:sz="0" w:space="0" w:color="auto"/>
        <w:bottom w:val="none" w:sz="0" w:space="0" w:color="auto"/>
        <w:right w:val="none" w:sz="0" w:space="0" w:color="auto"/>
      </w:divBdr>
    </w:div>
    <w:div w:id="339813233">
      <w:bodyDiv w:val="1"/>
      <w:marLeft w:val="0"/>
      <w:marRight w:val="0"/>
      <w:marTop w:val="0"/>
      <w:marBottom w:val="0"/>
      <w:divBdr>
        <w:top w:val="none" w:sz="0" w:space="0" w:color="auto"/>
        <w:left w:val="none" w:sz="0" w:space="0" w:color="auto"/>
        <w:bottom w:val="none" w:sz="0" w:space="0" w:color="auto"/>
        <w:right w:val="none" w:sz="0" w:space="0" w:color="auto"/>
      </w:divBdr>
    </w:div>
    <w:div w:id="353966052">
      <w:bodyDiv w:val="1"/>
      <w:marLeft w:val="0"/>
      <w:marRight w:val="0"/>
      <w:marTop w:val="0"/>
      <w:marBottom w:val="0"/>
      <w:divBdr>
        <w:top w:val="none" w:sz="0" w:space="0" w:color="auto"/>
        <w:left w:val="none" w:sz="0" w:space="0" w:color="auto"/>
        <w:bottom w:val="none" w:sz="0" w:space="0" w:color="auto"/>
        <w:right w:val="none" w:sz="0" w:space="0" w:color="auto"/>
      </w:divBdr>
    </w:div>
    <w:div w:id="361979429">
      <w:bodyDiv w:val="1"/>
      <w:marLeft w:val="0"/>
      <w:marRight w:val="0"/>
      <w:marTop w:val="0"/>
      <w:marBottom w:val="0"/>
      <w:divBdr>
        <w:top w:val="none" w:sz="0" w:space="0" w:color="auto"/>
        <w:left w:val="none" w:sz="0" w:space="0" w:color="auto"/>
        <w:bottom w:val="none" w:sz="0" w:space="0" w:color="auto"/>
        <w:right w:val="none" w:sz="0" w:space="0" w:color="auto"/>
      </w:divBdr>
    </w:div>
    <w:div w:id="379978765">
      <w:bodyDiv w:val="1"/>
      <w:marLeft w:val="0"/>
      <w:marRight w:val="0"/>
      <w:marTop w:val="0"/>
      <w:marBottom w:val="0"/>
      <w:divBdr>
        <w:top w:val="none" w:sz="0" w:space="0" w:color="auto"/>
        <w:left w:val="none" w:sz="0" w:space="0" w:color="auto"/>
        <w:bottom w:val="none" w:sz="0" w:space="0" w:color="auto"/>
        <w:right w:val="none" w:sz="0" w:space="0" w:color="auto"/>
      </w:divBdr>
    </w:div>
    <w:div w:id="392049687">
      <w:bodyDiv w:val="1"/>
      <w:marLeft w:val="0"/>
      <w:marRight w:val="0"/>
      <w:marTop w:val="0"/>
      <w:marBottom w:val="0"/>
      <w:divBdr>
        <w:top w:val="none" w:sz="0" w:space="0" w:color="auto"/>
        <w:left w:val="none" w:sz="0" w:space="0" w:color="auto"/>
        <w:bottom w:val="none" w:sz="0" w:space="0" w:color="auto"/>
        <w:right w:val="none" w:sz="0" w:space="0" w:color="auto"/>
      </w:divBdr>
    </w:div>
    <w:div w:id="409347239">
      <w:bodyDiv w:val="1"/>
      <w:marLeft w:val="0"/>
      <w:marRight w:val="0"/>
      <w:marTop w:val="0"/>
      <w:marBottom w:val="0"/>
      <w:divBdr>
        <w:top w:val="none" w:sz="0" w:space="0" w:color="auto"/>
        <w:left w:val="none" w:sz="0" w:space="0" w:color="auto"/>
        <w:bottom w:val="none" w:sz="0" w:space="0" w:color="auto"/>
        <w:right w:val="none" w:sz="0" w:space="0" w:color="auto"/>
      </w:divBdr>
    </w:div>
    <w:div w:id="430513837">
      <w:bodyDiv w:val="1"/>
      <w:marLeft w:val="0"/>
      <w:marRight w:val="0"/>
      <w:marTop w:val="0"/>
      <w:marBottom w:val="0"/>
      <w:divBdr>
        <w:top w:val="none" w:sz="0" w:space="0" w:color="auto"/>
        <w:left w:val="none" w:sz="0" w:space="0" w:color="auto"/>
        <w:bottom w:val="none" w:sz="0" w:space="0" w:color="auto"/>
        <w:right w:val="none" w:sz="0" w:space="0" w:color="auto"/>
      </w:divBdr>
    </w:div>
    <w:div w:id="474025443">
      <w:bodyDiv w:val="1"/>
      <w:marLeft w:val="0"/>
      <w:marRight w:val="0"/>
      <w:marTop w:val="0"/>
      <w:marBottom w:val="0"/>
      <w:divBdr>
        <w:top w:val="none" w:sz="0" w:space="0" w:color="auto"/>
        <w:left w:val="none" w:sz="0" w:space="0" w:color="auto"/>
        <w:bottom w:val="none" w:sz="0" w:space="0" w:color="auto"/>
        <w:right w:val="none" w:sz="0" w:space="0" w:color="auto"/>
      </w:divBdr>
    </w:div>
    <w:div w:id="488836663">
      <w:bodyDiv w:val="1"/>
      <w:marLeft w:val="0"/>
      <w:marRight w:val="0"/>
      <w:marTop w:val="0"/>
      <w:marBottom w:val="0"/>
      <w:divBdr>
        <w:top w:val="none" w:sz="0" w:space="0" w:color="auto"/>
        <w:left w:val="none" w:sz="0" w:space="0" w:color="auto"/>
        <w:bottom w:val="none" w:sz="0" w:space="0" w:color="auto"/>
        <w:right w:val="none" w:sz="0" w:space="0" w:color="auto"/>
      </w:divBdr>
    </w:div>
    <w:div w:id="509564078">
      <w:bodyDiv w:val="1"/>
      <w:marLeft w:val="0"/>
      <w:marRight w:val="0"/>
      <w:marTop w:val="0"/>
      <w:marBottom w:val="0"/>
      <w:divBdr>
        <w:top w:val="none" w:sz="0" w:space="0" w:color="auto"/>
        <w:left w:val="none" w:sz="0" w:space="0" w:color="auto"/>
        <w:bottom w:val="none" w:sz="0" w:space="0" w:color="auto"/>
        <w:right w:val="none" w:sz="0" w:space="0" w:color="auto"/>
      </w:divBdr>
    </w:div>
    <w:div w:id="625703184">
      <w:bodyDiv w:val="1"/>
      <w:marLeft w:val="0"/>
      <w:marRight w:val="0"/>
      <w:marTop w:val="0"/>
      <w:marBottom w:val="0"/>
      <w:divBdr>
        <w:top w:val="none" w:sz="0" w:space="0" w:color="auto"/>
        <w:left w:val="none" w:sz="0" w:space="0" w:color="auto"/>
        <w:bottom w:val="none" w:sz="0" w:space="0" w:color="auto"/>
        <w:right w:val="none" w:sz="0" w:space="0" w:color="auto"/>
      </w:divBdr>
    </w:div>
    <w:div w:id="633214943">
      <w:bodyDiv w:val="1"/>
      <w:marLeft w:val="0"/>
      <w:marRight w:val="0"/>
      <w:marTop w:val="0"/>
      <w:marBottom w:val="0"/>
      <w:divBdr>
        <w:top w:val="none" w:sz="0" w:space="0" w:color="auto"/>
        <w:left w:val="none" w:sz="0" w:space="0" w:color="auto"/>
        <w:bottom w:val="none" w:sz="0" w:space="0" w:color="auto"/>
        <w:right w:val="none" w:sz="0" w:space="0" w:color="auto"/>
      </w:divBdr>
    </w:div>
    <w:div w:id="640427278">
      <w:bodyDiv w:val="1"/>
      <w:marLeft w:val="0"/>
      <w:marRight w:val="0"/>
      <w:marTop w:val="0"/>
      <w:marBottom w:val="0"/>
      <w:divBdr>
        <w:top w:val="none" w:sz="0" w:space="0" w:color="auto"/>
        <w:left w:val="none" w:sz="0" w:space="0" w:color="auto"/>
        <w:bottom w:val="none" w:sz="0" w:space="0" w:color="auto"/>
        <w:right w:val="none" w:sz="0" w:space="0" w:color="auto"/>
      </w:divBdr>
    </w:div>
    <w:div w:id="664430793">
      <w:bodyDiv w:val="1"/>
      <w:marLeft w:val="0"/>
      <w:marRight w:val="0"/>
      <w:marTop w:val="0"/>
      <w:marBottom w:val="0"/>
      <w:divBdr>
        <w:top w:val="none" w:sz="0" w:space="0" w:color="auto"/>
        <w:left w:val="none" w:sz="0" w:space="0" w:color="auto"/>
        <w:bottom w:val="none" w:sz="0" w:space="0" w:color="auto"/>
        <w:right w:val="none" w:sz="0" w:space="0" w:color="auto"/>
      </w:divBdr>
    </w:div>
    <w:div w:id="671223288">
      <w:bodyDiv w:val="1"/>
      <w:marLeft w:val="0"/>
      <w:marRight w:val="0"/>
      <w:marTop w:val="0"/>
      <w:marBottom w:val="0"/>
      <w:divBdr>
        <w:top w:val="none" w:sz="0" w:space="0" w:color="auto"/>
        <w:left w:val="none" w:sz="0" w:space="0" w:color="auto"/>
        <w:bottom w:val="none" w:sz="0" w:space="0" w:color="auto"/>
        <w:right w:val="none" w:sz="0" w:space="0" w:color="auto"/>
      </w:divBdr>
    </w:div>
    <w:div w:id="676080722">
      <w:bodyDiv w:val="1"/>
      <w:marLeft w:val="0"/>
      <w:marRight w:val="0"/>
      <w:marTop w:val="0"/>
      <w:marBottom w:val="0"/>
      <w:divBdr>
        <w:top w:val="none" w:sz="0" w:space="0" w:color="auto"/>
        <w:left w:val="none" w:sz="0" w:space="0" w:color="auto"/>
        <w:bottom w:val="none" w:sz="0" w:space="0" w:color="auto"/>
        <w:right w:val="none" w:sz="0" w:space="0" w:color="auto"/>
      </w:divBdr>
    </w:div>
    <w:div w:id="684943487">
      <w:bodyDiv w:val="1"/>
      <w:marLeft w:val="0"/>
      <w:marRight w:val="0"/>
      <w:marTop w:val="0"/>
      <w:marBottom w:val="0"/>
      <w:divBdr>
        <w:top w:val="none" w:sz="0" w:space="0" w:color="auto"/>
        <w:left w:val="none" w:sz="0" w:space="0" w:color="auto"/>
        <w:bottom w:val="none" w:sz="0" w:space="0" w:color="auto"/>
        <w:right w:val="none" w:sz="0" w:space="0" w:color="auto"/>
      </w:divBdr>
    </w:div>
    <w:div w:id="712771308">
      <w:bodyDiv w:val="1"/>
      <w:marLeft w:val="0"/>
      <w:marRight w:val="0"/>
      <w:marTop w:val="0"/>
      <w:marBottom w:val="0"/>
      <w:divBdr>
        <w:top w:val="none" w:sz="0" w:space="0" w:color="auto"/>
        <w:left w:val="none" w:sz="0" w:space="0" w:color="auto"/>
        <w:bottom w:val="none" w:sz="0" w:space="0" w:color="auto"/>
        <w:right w:val="none" w:sz="0" w:space="0" w:color="auto"/>
      </w:divBdr>
    </w:div>
    <w:div w:id="719864916">
      <w:bodyDiv w:val="1"/>
      <w:marLeft w:val="0"/>
      <w:marRight w:val="0"/>
      <w:marTop w:val="0"/>
      <w:marBottom w:val="0"/>
      <w:divBdr>
        <w:top w:val="none" w:sz="0" w:space="0" w:color="auto"/>
        <w:left w:val="none" w:sz="0" w:space="0" w:color="auto"/>
        <w:bottom w:val="none" w:sz="0" w:space="0" w:color="auto"/>
        <w:right w:val="none" w:sz="0" w:space="0" w:color="auto"/>
      </w:divBdr>
    </w:div>
    <w:div w:id="725107079">
      <w:bodyDiv w:val="1"/>
      <w:marLeft w:val="0"/>
      <w:marRight w:val="0"/>
      <w:marTop w:val="0"/>
      <w:marBottom w:val="0"/>
      <w:divBdr>
        <w:top w:val="none" w:sz="0" w:space="0" w:color="auto"/>
        <w:left w:val="none" w:sz="0" w:space="0" w:color="auto"/>
        <w:bottom w:val="none" w:sz="0" w:space="0" w:color="auto"/>
        <w:right w:val="none" w:sz="0" w:space="0" w:color="auto"/>
      </w:divBdr>
    </w:div>
    <w:div w:id="729763828">
      <w:bodyDiv w:val="1"/>
      <w:marLeft w:val="0"/>
      <w:marRight w:val="0"/>
      <w:marTop w:val="0"/>
      <w:marBottom w:val="0"/>
      <w:divBdr>
        <w:top w:val="none" w:sz="0" w:space="0" w:color="auto"/>
        <w:left w:val="none" w:sz="0" w:space="0" w:color="auto"/>
        <w:bottom w:val="none" w:sz="0" w:space="0" w:color="auto"/>
        <w:right w:val="none" w:sz="0" w:space="0" w:color="auto"/>
      </w:divBdr>
    </w:div>
    <w:div w:id="764155951">
      <w:bodyDiv w:val="1"/>
      <w:marLeft w:val="0"/>
      <w:marRight w:val="0"/>
      <w:marTop w:val="0"/>
      <w:marBottom w:val="0"/>
      <w:divBdr>
        <w:top w:val="none" w:sz="0" w:space="0" w:color="auto"/>
        <w:left w:val="none" w:sz="0" w:space="0" w:color="auto"/>
        <w:bottom w:val="none" w:sz="0" w:space="0" w:color="auto"/>
        <w:right w:val="none" w:sz="0" w:space="0" w:color="auto"/>
      </w:divBdr>
    </w:div>
    <w:div w:id="765200172">
      <w:bodyDiv w:val="1"/>
      <w:marLeft w:val="0"/>
      <w:marRight w:val="0"/>
      <w:marTop w:val="0"/>
      <w:marBottom w:val="0"/>
      <w:divBdr>
        <w:top w:val="none" w:sz="0" w:space="0" w:color="auto"/>
        <w:left w:val="none" w:sz="0" w:space="0" w:color="auto"/>
        <w:bottom w:val="none" w:sz="0" w:space="0" w:color="auto"/>
        <w:right w:val="none" w:sz="0" w:space="0" w:color="auto"/>
      </w:divBdr>
    </w:div>
    <w:div w:id="765733923">
      <w:bodyDiv w:val="1"/>
      <w:marLeft w:val="0"/>
      <w:marRight w:val="0"/>
      <w:marTop w:val="0"/>
      <w:marBottom w:val="0"/>
      <w:divBdr>
        <w:top w:val="none" w:sz="0" w:space="0" w:color="auto"/>
        <w:left w:val="none" w:sz="0" w:space="0" w:color="auto"/>
        <w:bottom w:val="none" w:sz="0" w:space="0" w:color="auto"/>
        <w:right w:val="none" w:sz="0" w:space="0" w:color="auto"/>
      </w:divBdr>
    </w:div>
    <w:div w:id="770928571">
      <w:bodyDiv w:val="1"/>
      <w:marLeft w:val="0"/>
      <w:marRight w:val="0"/>
      <w:marTop w:val="0"/>
      <w:marBottom w:val="0"/>
      <w:divBdr>
        <w:top w:val="none" w:sz="0" w:space="0" w:color="auto"/>
        <w:left w:val="none" w:sz="0" w:space="0" w:color="auto"/>
        <w:bottom w:val="none" w:sz="0" w:space="0" w:color="auto"/>
        <w:right w:val="none" w:sz="0" w:space="0" w:color="auto"/>
      </w:divBdr>
    </w:div>
    <w:div w:id="793014228">
      <w:bodyDiv w:val="1"/>
      <w:marLeft w:val="0"/>
      <w:marRight w:val="0"/>
      <w:marTop w:val="0"/>
      <w:marBottom w:val="0"/>
      <w:divBdr>
        <w:top w:val="none" w:sz="0" w:space="0" w:color="auto"/>
        <w:left w:val="none" w:sz="0" w:space="0" w:color="auto"/>
        <w:bottom w:val="none" w:sz="0" w:space="0" w:color="auto"/>
        <w:right w:val="none" w:sz="0" w:space="0" w:color="auto"/>
      </w:divBdr>
    </w:div>
    <w:div w:id="832986820">
      <w:bodyDiv w:val="1"/>
      <w:marLeft w:val="0"/>
      <w:marRight w:val="0"/>
      <w:marTop w:val="0"/>
      <w:marBottom w:val="0"/>
      <w:divBdr>
        <w:top w:val="none" w:sz="0" w:space="0" w:color="auto"/>
        <w:left w:val="none" w:sz="0" w:space="0" w:color="auto"/>
        <w:bottom w:val="none" w:sz="0" w:space="0" w:color="auto"/>
        <w:right w:val="none" w:sz="0" w:space="0" w:color="auto"/>
      </w:divBdr>
    </w:div>
    <w:div w:id="836922501">
      <w:bodyDiv w:val="1"/>
      <w:marLeft w:val="0"/>
      <w:marRight w:val="0"/>
      <w:marTop w:val="0"/>
      <w:marBottom w:val="0"/>
      <w:divBdr>
        <w:top w:val="none" w:sz="0" w:space="0" w:color="auto"/>
        <w:left w:val="none" w:sz="0" w:space="0" w:color="auto"/>
        <w:bottom w:val="none" w:sz="0" w:space="0" w:color="auto"/>
        <w:right w:val="none" w:sz="0" w:space="0" w:color="auto"/>
      </w:divBdr>
    </w:div>
    <w:div w:id="843324214">
      <w:bodyDiv w:val="1"/>
      <w:marLeft w:val="0"/>
      <w:marRight w:val="0"/>
      <w:marTop w:val="0"/>
      <w:marBottom w:val="0"/>
      <w:divBdr>
        <w:top w:val="none" w:sz="0" w:space="0" w:color="auto"/>
        <w:left w:val="none" w:sz="0" w:space="0" w:color="auto"/>
        <w:bottom w:val="none" w:sz="0" w:space="0" w:color="auto"/>
        <w:right w:val="none" w:sz="0" w:space="0" w:color="auto"/>
      </w:divBdr>
    </w:div>
    <w:div w:id="858277422">
      <w:bodyDiv w:val="1"/>
      <w:marLeft w:val="0"/>
      <w:marRight w:val="0"/>
      <w:marTop w:val="0"/>
      <w:marBottom w:val="0"/>
      <w:divBdr>
        <w:top w:val="none" w:sz="0" w:space="0" w:color="auto"/>
        <w:left w:val="none" w:sz="0" w:space="0" w:color="auto"/>
        <w:bottom w:val="none" w:sz="0" w:space="0" w:color="auto"/>
        <w:right w:val="none" w:sz="0" w:space="0" w:color="auto"/>
      </w:divBdr>
    </w:div>
    <w:div w:id="882132839">
      <w:bodyDiv w:val="1"/>
      <w:marLeft w:val="0"/>
      <w:marRight w:val="0"/>
      <w:marTop w:val="0"/>
      <w:marBottom w:val="0"/>
      <w:divBdr>
        <w:top w:val="none" w:sz="0" w:space="0" w:color="auto"/>
        <w:left w:val="none" w:sz="0" w:space="0" w:color="auto"/>
        <w:bottom w:val="none" w:sz="0" w:space="0" w:color="auto"/>
        <w:right w:val="none" w:sz="0" w:space="0" w:color="auto"/>
      </w:divBdr>
    </w:div>
    <w:div w:id="898056936">
      <w:bodyDiv w:val="1"/>
      <w:marLeft w:val="0"/>
      <w:marRight w:val="0"/>
      <w:marTop w:val="0"/>
      <w:marBottom w:val="0"/>
      <w:divBdr>
        <w:top w:val="none" w:sz="0" w:space="0" w:color="auto"/>
        <w:left w:val="none" w:sz="0" w:space="0" w:color="auto"/>
        <w:bottom w:val="none" w:sz="0" w:space="0" w:color="auto"/>
        <w:right w:val="none" w:sz="0" w:space="0" w:color="auto"/>
      </w:divBdr>
    </w:div>
    <w:div w:id="903220327">
      <w:bodyDiv w:val="1"/>
      <w:marLeft w:val="0"/>
      <w:marRight w:val="0"/>
      <w:marTop w:val="0"/>
      <w:marBottom w:val="0"/>
      <w:divBdr>
        <w:top w:val="none" w:sz="0" w:space="0" w:color="auto"/>
        <w:left w:val="none" w:sz="0" w:space="0" w:color="auto"/>
        <w:bottom w:val="none" w:sz="0" w:space="0" w:color="auto"/>
        <w:right w:val="none" w:sz="0" w:space="0" w:color="auto"/>
      </w:divBdr>
    </w:div>
    <w:div w:id="971405655">
      <w:bodyDiv w:val="1"/>
      <w:marLeft w:val="0"/>
      <w:marRight w:val="0"/>
      <w:marTop w:val="0"/>
      <w:marBottom w:val="0"/>
      <w:divBdr>
        <w:top w:val="none" w:sz="0" w:space="0" w:color="auto"/>
        <w:left w:val="none" w:sz="0" w:space="0" w:color="auto"/>
        <w:bottom w:val="none" w:sz="0" w:space="0" w:color="auto"/>
        <w:right w:val="none" w:sz="0" w:space="0" w:color="auto"/>
      </w:divBdr>
    </w:div>
    <w:div w:id="986737542">
      <w:bodyDiv w:val="1"/>
      <w:marLeft w:val="0"/>
      <w:marRight w:val="0"/>
      <w:marTop w:val="0"/>
      <w:marBottom w:val="0"/>
      <w:divBdr>
        <w:top w:val="none" w:sz="0" w:space="0" w:color="auto"/>
        <w:left w:val="none" w:sz="0" w:space="0" w:color="auto"/>
        <w:bottom w:val="none" w:sz="0" w:space="0" w:color="auto"/>
        <w:right w:val="none" w:sz="0" w:space="0" w:color="auto"/>
      </w:divBdr>
    </w:div>
    <w:div w:id="990791555">
      <w:bodyDiv w:val="1"/>
      <w:marLeft w:val="0"/>
      <w:marRight w:val="0"/>
      <w:marTop w:val="0"/>
      <w:marBottom w:val="0"/>
      <w:divBdr>
        <w:top w:val="none" w:sz="0" w:space="0" w:color="auto"/>
        <w:left w:val="none" w:sz="0" w:space="0" w:color="auto"/>
        <w:bottom w:val="none" w:sz="0" w:space="0" w:color="auto"/>
        <w:right w:val="none" w:sz="0" w:space="0" w:color="auto"/>
      </w:divBdr>
    </w:div>
    <w:div w:id="991832475">
      <w:bodyDiv w:val="1"/>
      <w:marLeft w:val="0"/>
      <w:marRight w:val="0"/>
      <w:marTop w:val="0"/>
      <w:marBottom w:val="0"/>
      <w:divBdr>
        <w:top w:val="none" w:sz="0" w:space="0" w:color="auto"/>
        <w:left w:val="none" w:sz="0" w:space="0" w:color="auto"/>
        <w:bottom w:val="none" w:sz="0" w:space="0" w:color="auto"/>
        <w:right w:val="none" w:sz="0" w:space="0" w:color="auto"/>
      </w:divBdr>
    </w:div>
    <w:div w:id="1017534967">
      <w:bodyDiv w:val="1"/>
      <w:marLeft w:val="0"/>
      <w:marRight w:val="0"/>
      <w:marTop w:val="0"/>
      <w:marBottom w:val="0"/>
      <w:divBdr>
        <w:top w:val="none" w:sz="0" w:space="0" w:color="auto"/>
        <w:left w:val="none" w:sz="0" w:space="0" w:color="auto"/>
        <w:bottom w:val="none" w:sz="0" w:space="0" w:color="auto"/>
        <w:right w:val="none" w:sz="0" w:space="0" w:color="auto"/>
      </w:divBdr>
    </w:div>
    <w:div w:id="1041247350">
      <w:bodyDiv w:val="1"/>
      <w:marLeft w:val="0"/>
      <w:marRight w:val="0"/>
      <w:marTop w:val="0"/>
      <w:marBottom w:val="0"/>
      <w:divBdr>
        <w:top w:val="none" w:sz="0" w:space="0" w:color="auto"/>
        <w:left w:val="none" w:sz="0" w:space="0" w:color="auto"/>
        <w:bottom w:val="none" w:sz="0" w:space="0" w:color="auto"/>
        <w:right w:val="none" w:sz="0" w:space="0" w:color="auto"/>
      </w:divBdr>
    </w:div>
    <w:div w:id="1052997441">
      <w:bodyDiv w:val="1"/>
      <w:marLeft w:val="0"/>
      <w:marRight w:val="0"/>
      <w:marTop w:val="0"/>
      <w:marBottom w:val="0"/>
      <w:divBdr>
        <w:top w:val="none" w:sz="0" w:space="0" w:color="auto"/>
        <w:left w:val="none" w:sz="0" w:space="0" w:color="auto"/>
        <w:bottom w:val="none" w:sz="0" w:space="0" w:color="auto"/>
        <w:right w:val="none" w:sz="0" w:space="0" w:color="auto"/>
      </w:divBdr>
    </w:div>
    <w:div w:id="1090004253">
      <w:bodyDiv w:val="1"/>
      <w:marLeft w:val="0"/>
      <w:marRight w:val="0"/>
      <w:marTop w:val="0"/>
      <w:marBottom w:val="0"/>
      <w:divBdr>
        <w:top w:val="none" w:sz="0" w:space="0" w:color="auto"/>
        <w:left w:val="none" w:sz="0" w:space="0" w:color="auto"/>
        <w:bottom w:val="none" w:sz="0" w:space="0" w:color="auto"/>
        <w:right w:val="none" w:sz="0" w:space="0" w:color="auto"/>
      </w:divBdr>
    </w:div>
    <w:div w:id="1091007016">
      <w:bodyDiv w:val="1"/>
      <w:marLeft w:val="0"/>
      <w:marRight w:val="0"/>
      <w:marTop w:val="0"/>
      <w:marBottom w:val="0"/>
      <w:divBdr>
        <w:top w:val="none" w:sz="0" w:space="0" w:color="auto"/>
        <w:left w:val="none" w:sz="0" w:space="0" w:color="auto"/>
        <w:bottom w:val="none" w:sz="0" w:space="0" w:color="auto"/>
        <w:right w:val="none" w:sz="0" w:space="0" w:color="auto"/>
      </w:divBdr>
    </w:div>
    <w:div w:id="1095437771">
      <w:bodyDiv w:val="1"/>
      <w:marLeft w:val="0"/>
      <w:marRight w:val="0"/>
      <w:marTop w:val="0"/>
      <w:marBottom w:val="0"/>
      <w:divBdr>
        <w:top w:val="none" w:sz="0" w:space="0" w:color="auto"/>
        <w:left w:val="none" w:sz="0" w:space="0" w:color="auto"/>
        <w:bottom w:val="none" w:sz="0" w:space="0" w:color="auto"/>
        <w:right w:val="none" w:sz="0" w:space="0" w:color="auto"/>
      </w:divBdr>
    </w:div>
    <w:div w:id="1106196463">
      <w:bodyDiv w:val="1"/>
      <w:marLeft w:val="0"/>
      <w:marRight w:val="0"/>
      <w:marTop w:val="0"/>
      <w:marBottom w:val="0"/>
      <w:divBdr>
        <w:top w:val="none" w:sz="0" w:space="0" w:color="auto"/>
        <w:left w:val="none" w:sz="0" w:space="0" w:color="auto"/>
        <w:bottom w:val="none" w:sz="0" w:space="0" w:color="auto"/>
        <w:right w:val="none" w:sz="0" w:space="0" w:color="auto"/>
      </w:divBdr>
    </w:div>
    <w:div w:id="1252546359">
      <w:bodyDiv w:val="1"/>
      <w:marLeft w:val="0"/>
      <w:marRight w:val="0"/>
      <w:marTop w:val="0"/>
      <w:marBottom w:val="0"/>
      <w:divBdr>
        <w:top w:val="none" w:sz="0" w:space="0" w:color="auto"/>
        <w:left w:val="none" w:sz="0" w:space="0" w:color="auto"/>
        <w:bottom w:val="none" w:sz="0" w:space="0" w:color="auto"/>
        <w:right w:val="none" w:sz="0" w:space="0" w:color="auto"/>
      </w:divBdr>
    </w:div>
    <w:div w:id="1254390521">
      <w:bodyDiv w:val="1"/>
      <w:marLeft w:val="0"/>
      <w:marRight w:val="0"/>
      <w:marTop w:val="0"/>
      <w:marBottom w:val="0"/>
      <w:divBdr>
        <w:top w:val="none" w:sz="0" w:space="0" w:color="auto"/>
        <w:left w:val="none" w:sz="0" w:space="0" w:color="auto"/>
        <w:bottom w:val="none" w:sz="0" w:space="0" w:color="auto"/>
        <w:right w:val="none" w:sz="0" w:space="0" w:color="auto"/>
      </w:divBdr>
    </w:div>
    <w:div w:id="1270547662">
      <w:bodyDiv w:val="1"/>
      <w:marLeft w:val="0"/>
      <w:marRight w:val="0"/>
      <w:marTop w:val="0"/>
      <w:marBottom w:val="0"/>
      <w:divBdr>
        <w:top w:val="none" w:sz="0" w:space="0" w:color="auto"/>
        <w:left w:val="none" w:sz="0" w:space="0" w:color="auto"/>
        <w:bottom w:val="none" w:sz="0" w:space="0" w:color="auto"/>
        <w:right w:val="none" w:sz="0" w:space="0" w:color="auto"/>
      </w:divBdr>
    </w:div>
    <w:div w:id="1329409211">
      <w:bodyDiv w:val="1"/>
      <w:marLeft w:val="0"/>
      <w:marRight w:val="0"/>
      <w:marTop w:val="0"/>
      <w:marBottom w:val="0"/>
      <w:divBdr>
        <w:top w:val="none" w:sz="0" w:space="0" w:color="auto"/>
        <w:left w:val="none" w:sz="0" w:space="0" w:color="auto"/>
        <w:bottom w:val="none" w:sz="0" w:space="0" w:color="auto"/>
        <w:right w:val="none" w:sz="0" w:space="0" w:color="auto"/>
      </w:divBdr>
    </w:div>
    <w:div w:id="1348099697">
      <w:bodyDiv w:val="1"/>
      <w:marLeft w:val="0"/>
      <w:marRight w:val="0"/>
      <w:marTop w:val="0"/>
      <w:marBottom w:val="0"/>
      <w:divBdr>
        <w:top w:val="none" w:sz="0" w:space="0" w:color="auto"/>
        <w:left w:val="none" w:sz="0" w:space="0" w:color="auto"/>
        <w:bottom w:val="none" w:sz="0" w:space="0" w:color="auto"/>
        <w:right w:val="none" w:sz="0" w:space="0" w:color="auto"/>
      </w:divBdr>
    </w:div>
    <w:div w:id="1368875138">
      <w:bodyDiv w:val="1"/>
      <w:marLeft w:val="0"/>
      <w:marRight w:val="0"/>
      <w:marTop w:val="0"/>
      <w:marBottom w:val="0"/>
      <w:divBdr>
        <w:top w:val="none" w:sz="0" w:space="0" w:color="auto"/>
        <w:left w:val="none" w:sz="0" w:space="0" w:color="auto"/>
        <w:bottom w:val="none" w:sz="0" w:space="0" w:color="auto"/>
        <w:right w:val="none" w:sz="0" w:space="0" w:color="auto"/>
      </w:divBdr>
    </w:div>
    <w:div w:id="1372874170">
      <w:bodyDiv w:val="1"/>
      <w:marLeft w:val="0"/>
      <w:marRight w:val="0"/>
      <w:marTop w:val="0"/>
      <w:marBottom w:val="0"/>
      <w:divBdr>
        <w:top w:val="none" w:sz="0" w:space="0" w:color="auto"/>
        <w:left w:val="none" w:sz="0" w:space="0" w:color="auto"/>
        <w:bottom w:val="none" w:sz="0" w:space="0" w:color="auto"/>
        <w:right w:val="none" w:sz="0" w:space="0" w:color="auto"/>
      </w:divBdr>
    </w:div>
    <w:div w:id="1392382443">
      <w:bodyDiv w:val="1"/>
      <w:marLeft w:val="0"/>
      <w:marRight w:val="0"/>
      <w:marTop w:val="0"/>
      <w:marBottom w:val="0"/>
      <w:divBdr>
        <w:top w:val="none" w:sz="0" w:space="0" w:color="auto"/>
        <w:left w:val="none" w:sz="0" w:space="0" w:color="auto"/>
        <w:bottom w:val="none" w:sz="0" w:space="0" w:color="auto"/>
        <w:right w:val="none" w:sz="0" w:space="0" w:color="auto"/>
      </w:divBdr>
    </w:div>
    <w:div w:id="1439762174">
      <w:bodyDiv w:val="1"/>
      <w:marLeft w:val="0"/>
      <w:marRight w:val="0"/>
      <w:marTop w:val="0"/>
      <w:marBottom w:val="0"/>
      <w:divBdr>
        <w:top w:val="none" w:sz="0" w:space="0" w:color="auto"/>
        <w:left w:val="none" w:sz="0" w:space="0" w:color="auto"/>
        <w:bottom w:val="none" w:sz="0" w:space="0" w:color="auto"/>
        <w:right w:val="none" w:sz="0" w:space="0" w:color="auto"/>
      </w:divBdr>
    </w:div>
    <w:div w:id="1460609817">
      <w:bodyDiv w:val="1"/>
      <w:marLeft w:val="0"/>
      <w:marRight w:val="0"/>
      <w:marTop w:val="0"/>
      <w:marBottom w:val="0"/>
      <w:divBdr>
        <w:top w:val="none" w:sz="0" w:space="0" w:color="auto"/>
        <w:left w:val="none" w:sz="0" w:space="0" w:color="auto"/>
        <w:bottom w:val="none" w:sz="0" w:space="0" w:color="auto"/>
        <w:right w:val="none" w:sz="0" w:space="0" w:color="auto"/>
      </w:divBdr>
    </w:div>
    <w:div w:id="1498769589">
      <w:bodyDiv w:val="1"/>
      <w:marLeft w:val="0"/>
      <w:marRight w:val="0"/>
      <w:marTop w:val="0"/>
      <w:marBottom w:val="0"/>
      <w:divBdr>
        <w:top w:val="none" w:sz="0" w:space="0" w:color="auto"/>
        <w:left w:val="none" w:sz="0" w:space="0" w:color="auto"/>
        <w:bottom w:val="none" w:sz="0" w:space="0" w:color="auto"/>
        <w:right w:val="none" w:sz="0" w:space="0" w:color="auto"/>
      </w:divBdr>
    </w:div>
    <w:div w:id="1553350981">
      <w:bodyDiv w:val="1"/>
      <w:marLeft w:val="0"/>
      <w:marRight w:val="0"/>
      <w:marTop w:val="0"/>
      <w:marBottom w:val="0"/>
      <w:divBdr>
        <w:top w:val="none" w:sz="0" w:space="0" w:color="auto"/>
        <w:left w:val="none" w:sz="0" w:space="0" w:color="auto"/>
        <w:bottom w:val="none" w:sz="0" w:space="0" w:color="auto"/>
        <w:right w:val="none" w:sz="0" w:space="0" w:color="auto"/>
      </w:divBdr>
    </w:div>
    <w:div w:id="1553426026">
      <w:bodyDiv w:val="1"/>
      <w:marLeft w:val="0"/>
      <w:marRight w:val="0"/>
      <w:marTop w:val="0"/>
      <w:marBottom w:val="0"/>
      <w:divBdr>
        <w:top w:val="none" w:sz="0" w:space="0" w:color="auto"/>
        <w:left w:val="none" w:sz="0" w:space="0" w:color="auto"/>
        <w:bottom w:val="none" w:sz="0" w:space="0" w:color="auto"/>
        <w:right w:val="none" w:sz="0" w:space="0" w:color="auto"/>
      </w:divBdr>
    </w:div>
    <w:div w:id="1560937786">
      <w:bodyDiv w:val="1"/>
      <w:marLeft w:val="0"/>
      <w:marRight w:val="0"/>
      <w:marTop w:val="0"/>
      <w:marBottom w:val="0"/>
      <w:divBdr>
        <w:top w:val="none" w:sz="0" w:space="0" w:color="auto"/>
        <w:left w:val="none" w:sz="0" w:space="0" w:color="auto"/>
        <w:bottom w:val="none" w:sz="0" w:space="0" w:color="auto"/>
        <w:right w:val="none" w:sz="0" w:space="0" w:color="auto"/>
      </w:divBdr>
    </w:div>
    <w:div w:id="1571497832">
      <w:bodyDiv w:val="1"/>
      <w:marLeft w:val="0"/>
      <w:marRight w:val="0"/>
      <w:marTop w:val="0"/>
      <w:marBottom w:val="0"/>
      <w:divBdr>
        <w:top w:val="none" w:sz="0" w:space="0" w:color="auto"/>
        <w:left w:val="none" w:sz="0" w:space="0" w:color="auto"/>
        <w:bottom w:val="none" w:sz="0" w:space="0" w:color="auto"/>
        <w:right w:val="none" w:sz="0" w:space="0" w:color="auto"/>
      </w:divBdr>
    </w:div>
    <w:div w:id="1584682762">
      <w:bodyDiv w:val="1"/>
      <w:marLeft w:val="0"/>
      <w:marRight w:val="0"/>
      <w:marTop w:val="0"/>
      <w:marBottom w:val="0"/>
      <w:divBdr>
        <w:top w:val="none" w:sz="0" w:space="0" w:color="auto"/>
        <w:left w:val="none" w:sz="0" w:space="0" w:color="auto"/>
        <w:bottom w:val="none" w:sz="0" w:space="0" w:color="auto"/>
        <w:right w:val="none" w:sz="0" w:space="0" w:color="auto"/>
      </w:divBdr>
    </w:div>
    <w:div w:id="1674140572">
      <w:bodyDiv w:val="1"/>
      <w:marLeft w:val="0"/>
      <w:marRight w:val="0"/>
      <w:marTop w:val="0"/>
      <w:marBottom w:val="0"/>
      <w:divBdr>
        <w:top w:val="none" w:sz="0" w:space="0" w:color="auto"/>
        <w:left w:val="none" w:sz="0" w:space="0" w:color="auto"/>
        <w:bottom w:val="none" w:sz="0" w:space="0" w:color="auto"/>
        <w:right w:val="none" w:sz="0" w:space="0" w:color="auto"/>
      </w:divBdr>
    </w:div>
    <w:div w:id="1679497824">
      <w:bodyDiv w:val="1"/>
      <w:marLeft w:val="0"/>
      <w:marRight w:val="0"/>
      <w:marTop w:val="0"/>
      <w:marBottom w:val="0"/>
      <w:divBdr>
        <w:top w:val="none" w:sz="0" w:space="0" w:color="auto"/>
        <w:left w:val="none" w:sz="0" w:space="0" w:color="auto"/>
        <w:bottom w:val="none" w:sz="0" w:space="0" w:color="auto"/>
        <w:right w:val="none" w:sz="0" w:space="0" w:color="auto"/>
      </w:divBdr>
    </w:div>
    <w:div w:id="1727025044">
      <w:bodyDiv w:val="1"/>
      <w:marLeft w:val="0"/>
      <w:marRight w:val="0"/>
      <w:marTop w:val="0"/>
      <w:marBottom w:val="0"/>
      <w:divBdr>
        <w:top w:val="none" w:sz="0" w:space="0" w:color="auto"/>
        <w:left w:val="none" w:sz="0" w:space="0" w:color="auto"/>
        <w:bottom w:val="none" w:sz="0" w:space="0" w:color="auto"/>
        <w:right w:val="none" w:sz="0" w:space="0" w:color="auto"/>
      </w:divBdr>
    </w:div>
    <w:div w:id="1800876209">
      <w:bodyDiv w:val="1"/>
      <w:marLeft w:val="0"/>
      <w:marRight w:val="0"/>
      <w:marTop w:val="0"/>
      <w:marBottom w:val="0"/>
      <w:divBdr>
        <w:top w:val="none" w:sz="0" w:space="0" w:color="auto"/>
        <w:left w:val="none" w:sz="0" w:space="0" w:color="auto"/>
        <w:bottom w:val="none" w:sz="0" w:space="0" w:color="auto"/>
        <w:right w:val="none" w:sz="0" w:space="0" w:color="auto"/>
      </w:divBdr>
    </w:div>
    <w:div w:id="1822188684">
      <w:bodyDiv w:val="1"/>
      <w:marLeft w:val="0"/>
      <w:marRight w:val="0"/>
      <w:marTop w:val="0"/>
      <w:marBottom w:val="0"/>
      <w:divBdr>
        <w:top w:val="none" w:sz="0" w:space="0" w:color="auto"/>
        <w:left w:val="none" w:sz="0" w:space="0" w:color="auto"/>
        <w:bottom w:val="none" w:sz="0" w:space="0" w:color="auto"/>
        <w:right w:val="none" w:sz="0" w:space="0" w:color="auto"/>
      </w:divBdr>
    </w:div>
    <w:div w:id="1822425700">
      <w:bodyDiv w:val="1"/>
      <w:marLeft w:val="0"/>
      <w:marRight w:val="0"/>
      <w:marTop w:val="0"/>
      <w:marBottom w:val="0"/>
      <w:divBdr>
        <w:top w:val="none" w:sz="0" w:space="0" w:color="auto"/>
        <w:left w:val="none" w:sz="0" w:space="0" w:color="auto"/>
        <w:bottom w:val="none" w:sz="0" w:space="0" w:color="auto"/>
        <w:right w:val="none" w:sz="0" w:space="0" w:color="auto"/>
      </w:divBdr>
    </w:div>
    <w:div w:id="1844584640">
      <w:bodyDiv w:val="1"/>
      <w:marLeft w:val="0"/>
      <w:marRight w:val="0"/>
      <w:marTop w:val="0"/>
      <w:marBottom w:val="0"/>
      <w:divBdr>
        <w:top w:val="none" w:sz="0" w:space="0" w:color="auto"/>
        <w:left w:val="none" w:sz="0" w:space="0" w:color="auto"/>
        <w:bottom w:val="none" w:sz="0" w:space="0" w:color="auto"/>
        <w:right w:val="none" w:sz="0" w:space="0" w:color="auto"/>
      </w:divBdr>
    </w:div>
    <w:div w:id="1880313944">
      <w:bodyDiv w:val="1"/>
      <w:marLeft w:val="0"/>
      <w:marRight w:val="0"/>
      <w:marTop w:val="0"/>
      <w:marBottom w:val="0"/>
      <w:divBdr>
        <w:top w:val="none" w:sz="0" w:space="0" w:color="auto"/>
        <w:left w:val="none" w:sz="0" w:space="0" w:color="auto"/>
        <w:bottom w:val="none" w:sz="0" w:space="0" w:color="auto"/>
        <w:right w:val="none" w:sz="0" w:space="0" w:color="auto"/>
      </w:divBdr>
    </w:div>
    <w:div w:id="1885170510">
      <w:bodyDiv w:val="1"/>
      <w:marLeft w:val="0"/>
      <w:marRight w:val="0"/>
      <w:marTop w:val="0"/>
      <w:marBottom w:val="0"/>
      <w:divBdr>
        <w:top w:val="none" w:sz="0" w:space="0" w:color="auto"/>
        <w:left w:val="none" w:sz="0" w:space="0" w:color="auto"/>
        <w:bottom w:val="none" w:sz="0" w:space="0" w:color="auto"/>
        <w:right w:val="none" w:sz="0" w:space="0" w:color="auto"/>
      </w:divBdr>
    </w:div>
    <w:div w:id="1890068124">
      <w:bodyDiv w:val="1"/>
      <w:marLeft w:val="0"/>
      <w:marRight w:val="0"/>
      <w:marTop w:val="0"/>
      <w:marBottom w:val="0"/>
      <w:divBdr>
        <w:top w:val="none" w:sz="0" w:space="0" w:color="auto"/>
        <w:left w:val="none" w:sz="0" w:space="0" w:color="auto"/>
        <w:bottom w:val="none" w:sz="0" w:space="0" w:color="auto"/>
        <w:right w:val="none" w:sz="0" w:space="0" w:color="auto"/>
      </w:divBdr>
    </w:div>
    <w:div w:id="1958951043">
      <w:bodyDiv w:val="1"/>
      <w:marLeft w:val="0"/>
      <w:marRight w:val="0"/>
      <w:marTop w:val="0"/>
      <w:marBottom w:val="0"/>
      <w:divBdr>
        <w:top w:val="none" w:sz="0" w:space="0" w:color="auto"/>
        <w:left w:val="none" w:sz="0" w:space="0" w:color="auto"/>
        <w:bottom w:val="none" w:sz="0" w:space="0" w:color="auto"/>
        <w:right w:val="none" w:sz="0" w:space="0" w:color="auto"/>
      </w:divBdr>
    </w:div>
    <w:div w:id="1999265017">
      <w:bodyDiv w:val="1"/>
      <w:marLeft w:val="0"/>
      <w:marRight w:val="0"/>
      <w:marTop w:val="0"/>
      <w:marBottom w:val="0"/>
      <w:divBdr>
        <w:top w:val="none" w:sz="0" w:space="0" w:color="auto"/>
        <w:left w:val="none" w:sz="0" w:space="0" w:color="auto"/>
        <w:bottom w:val="none" w:sz="0" w:space="0" w:color="auto"/>
        <w:right w:val="none" w:sz="0" w:space="0" w:color="auto"/>
      </w:divBdr>
    </w:div>
    <w:div w:id="2083718137">
      <w:bodyDiv w:val="1"/>
      <w:marLeft w:val="0"/>
      <w:marRight w:val="0"/>
      <w:marTop w:val="0"/>
      <w:marBottom w:val="0"/>
      <w:divBdr>
        <w:top w:val="none" w:sz="0" w:space="0" w:color="auto"/>
        <w:left w:val="none" w:sz="0" w:space="0" w:color="auto"/>
        <w:bottom w:val="none" w:sz="0" w:space="0" w:color="auto"/>
        <w:right w:val="none" w:sz="0" w:space="0" w:color="auto"/>
      </w:divBdr>
    </w:div>
    <w:div w:id="2116441116">
      <w:bodyDiv w:val="1"/>
      <w:marLeft w:val="0"/>
      <w:marRight w:val="0"/>
      <w:marTop w:val="0"/>
      <w:marBottom w:val="0"/>
      <w:divBdr>
        <w:top w:val="none" w:sz="0" w:space="0" w:color="auto"/>
        <w:left w:val="none" w:sz="0" w:space="0" w:color="auto"/>
        <w:bottom w:val="none" w:sz="0" w:space="0" w:color="auto"/>
        <w:right w:val="none" w:sz="0" w:space="0" w:color="auto"/>
      </w:divBdr>
    </w:div>
    <w:div w:id="2134011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genderchecker.com/search.aspx" TargetMode="External"/><Relationship Id="rId2" Type="http://schemas.openxmlformats.org/officeDocument/2006/relationships/hyperlink" Target="http://www.uscourts.gov/forms/individual-debtors/voluntary-petition-individuals-filing-bankruptcy" TargetMode="External"/><Relationship Id="rId1" Type="http://schemas.openxmlformats.org/officeDocument/2006/relationships/hyperlink" Target="http://www.uscourts.gov/statistics/table/f-2/statistical-tables-federal-judiciary/2010/12/31" TargetMode="External"/><Relationship Id="rId6" Type="http://schemas.openxmlformats.org/officeDocument/2006/relationships/hyperlink" Target="http://www.cacb.uscourts.gov/forms/individual-debtors-chapter-11-plan-reorganization" TargetMode="External"/><Relationship Id="rId5" Type="http://schemas.openxmlformats.org/officeDocument/2006/relationships/hyperlink" Target="http://www.uscourts.gov/statistics/table/bapcpa-2b/bankruptcy-abuse-prevention-and-consumer-protection-act-bapcpa/2013/12/31" TargetMode="External"/><Relationship Id="rId4" Type="http://schemas.openxmlformats.org/officeDocument/2006/relationships/hyperlink" Target="http://www.uscourts.gov/statistics/table/bapcpa-2b/bankruptcy-abuse-prevention-and-consumer-protection-act-bapcpa/2010/12/3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Figure 1: Individual Chapter 11Cases</a:t>
            </a:r>
            <a:r>
              <a:rPr lang="en-US" sz="1400" baseline="0"/>
              <a:t> </a:t>
            </a:r>
            <a:r>
              <a:rPr lang="en-US" sz="1400"/>
              <a:t>in Harvard's Bankruptcy Data Project</a:t>
            </a:r>
          </a:p>
        </c:rich>
      </c:tx>
      <c:overlay val="0"/>
    </c:title>
    <c:autoTitleDeleted val="0"/>
    <c:plotArea>
      <c:layout>
        <c:manualLayout>
          <c:layoutTarget val="inner"/>
          <c:xMode val="edge"/>
          <c:yMode val="edge"/>
          <c:x val="0.100057835318662"/>
          <c:y val="0.211111111111111"/>
          <c:w val="0.80215919032848204"/>
          <c:h val="0.60841582302212205"/>
        </c:manualLayout>
      </c:layout>
      <c:lineChart>
        <c:grouping val="standard"/>
        <c:varyColors val="0"/>
        <c:ser>
          <c:idx val="0"/>
          <c:order val="0"/>
          <c:tx>
            <c:strRef>
              <c:f>Sheet2!$H$18</c:f>
              <c:strCache>
                <c:ptCount val="1"/>
                <c:pt idx="0">
                  <c:v>Indiv. Ch. 11</c:v>
                </c:pt>
              </c:strCache>
            </c:strRef>
          </c:tx>
          <c:spPr>
            <a:ln>
              <a:solidFill>
                <a:schemeClr val="tx1"/>
              </a:solidFill>
            </a:ln>
          </c:spPr>
          <c:marker>
            <c:symbol val="none"/>
          </c:marker>
          <c:cat>
            <c:numRef>
              <c:f>Sheet2!$G$19:$G$25</c:f>
              <c:numCache>
                <c:formatCode>General</c:formatCode>
                <c:ptCount val="7"/>
                <c:pt idx="0">
                  <c:v>2006</c:v>
                </c:pt>
                <c:pt idx="1">
                  <c:v>2007</c:v>
                </c:pt>
                <c:pt idx="2">
                  <c:v>2008</c:v>
                </c:pt>
                <c:pt idx="3">
                  <c:v>2009</c:v>
                </c:pt>
                <c:pt idx="4">
                  <c:v>2010</c:v>
                </c:pt>
                <c:pt idx="5">
                  <c:v>2011</c:v>
                </c:pt>
                <c:pt idx="6">
                  <c:v>2012</c:v>
                </c:pt>
              </c:numCache>
            </c:numRef>
          </c:cat>
          <c:val>
            <c:numRef>
              <c:f>Sheet2!$H$19:$H$25</c:f>
              <c:numCache>
                <c:formatCode>#,##0</c:formatCode>
                <c:ptCount val="7"/>
                <c:pt idx="0">
                  <c:v>1003</c:v>
                </c:pt>
                <c:pt idx="1">
                  <c:v>1402</c:v>
                </c:pt>
                <c:pt idx="2">
                  <c:v>1905</c:v>
                </c:pt>
                <c:pt idx="3">
                  <c:v>3271</c:v>
                </c:pt>
                <c:pt idx="4">
                  <c:v>3713</c:v>
                </c:pt>
                <c:pt idx="5">
                  <c:v>3363</c:v>
                </c:pt>
                <c:pt idx="6">
                  <c:v>2726</c:v>
                </c:pt>
              </c:numCache>
            </c:numRef>
          </c:val>
          <c:smooth val="0"/>
          <c:extLst xmlns:c16r2="http://schemas.microsoft.com/office/drawing/2015/06/chart">
            <c:ext xmlns:c16="http://schemas.microsoft.com/office/drawing/2014/chart" uri="{C3380CC4-5D6E-409C-BE32-E72D297353CC}">
              <c16:uniqueId val="{00000000-CA9B-4DE3-B374-616D0ABB4D23}"/>
            </c:ext>
          </c:extLst>
        </c:ser>
        <c:dLbls>
          <c:showLegendKey val="0"/>
          <c:showVal val="0"/>
          <c:showCatName val="0"/>
          <c:showSerName val="0"/>
          <c:showPercent val="0"/>
          <c:showBubbleSize val="0"/>
        </c:dLbls>
        <c:marker val="1"/>
        <c:smooth val="0"/>
        <c:axId val="187719200"/>
        <c:axId val="187719592"/>
      </c:lineChart>
      <c:lineChart>
        <c:grouping val="standard"/>
        <c:varyColors val="0"/>
        <c:ser>
          <c:idx val="1"/>
          <c:order val="1"/>
          <c:tx>
            <c:strRef>
              <c:f>Sheet2!$I$18</c:f>
              <c:strCache>
                <c:ptCount val="1"/>
                <c:pt idx="0">
                  <c:v>Pct. Indiv.</c:v>
                </c:pt>
              </c:strCache>
            </c:strRef>
          </c:tx>
          <c:spPr>
            <a:ln>
              <a:solidFill>
                <a:schemeClr val="tx1"/>
              </a:solidFill>
              <a:prstDash val="sysDash"/>
            </a:ln>
          </c:spPr>
          <c:marker>
            <c:symbol val="none"/>
          </c:marker>
          <c:cat>
            <c:numRef>
              <c:f>Sheet2!$G$19:$G$25</c:f>
              <c:numCache>
                <c:formatCode>General</c:formatCode>
                <c:ptCount val="7"/>
                <c:pt idx="0">
                  <c:v>2006</c:v>
                </c:pt>
                <c:pt idx="1">
                  <c:v>2007</c:v>
                </c:pt>
                <c:pt idx="2">
                  <c:v>2008</c:v>
                </c:pt>
                <c:pt idx="3">
                  <c:v>2009</c:v>
                </c:pt>
                <c:pt idx="4">
                  <c:v>2010</c:v>
                </c:pt>
                <c:pt idx="5">
                  <c:v>2011</c:v>
                </c:pt>
                <c:pt idx="6">
                  <c:v>2012</c:v>
                </c:pt>
              </c:numCache>
            </c:numRef>
          </c:cat>
          <c:val>
            <c:numRef>
              <c:f>Sheet2!$I$19:$I$25</c:f>
              <c:numCache>
                <c:formatCode>0.0%</c:formatCode>
                <c:ptCount val="7"/>
                <c:pt idx="0">
                  <c:v>0.20015964877270001</c:v>
                </c:pt>
                <c:pt idx="1">
                  <c:v>0.22449959967974401</c:v>
                </c:pt>
                <c:pt idx="2">
                  <c:v>0.188166732516792</c:v>
                </c:pt>
                <c:pt idx="3">
                  <c:v>0.21498521196188</c:v>
                </c:pt>
                <c:pt idx="4">
                  <c:v>0.271418128654971</c:v>
                </c:pt>
                <c:pt idx="5">
                  <c:v>0.29396853146853102</c:v>
                </c:pt>
                <c:pt idx="6">
                  <c:v>0.27173046251993599</c:v>
                </c:pt>
              </c:numCache>
            </c:numRef>
          </c:val>
          <c:smooth val="0"/>
          <c:extLst xmlns:c16r2="http://schemas.microsoft.com/office/drawing/2015/06/chart">
            <c:ext xmlns:c16="http://schemas.microsoft.com/office/drawing/2014/chart" uri="{C3380CC4-5D6E-409C-BE32-E72D297353CC}">
              <c16:uniqueId val="{00000001-CA9B-4DE3-B374-616D0ABB4D23}"/>
            </c:ext>
          </c:extLst>
        </c:ser>
        <c:dLbls>
          <c:showLegendKey val="0"/>
          <c:showVal val="0"/>
          <c:showCatName val="0"/>
          <c:showSerName val="0"/>
          <c:showPercent val="0"/>
          <c:showBubbleSize val="0"/>
        </c:dLbls>
        <c:marker val="1"/>
        <c:smooth val="0"/>
        <c:axId val="187720376"/>
        <c:axId val="187719984"/>
      </c:lineChart>
      <c:catAx>
        <c:axId val="187719200"/>
        <c:scaling>
          <c:orientation val="minMax"/>
        </c:scaling>
        <c:delete val="0"/>
        <c:axPos val="b"/>
        <c:numFmt formatCode="General" sourceLinked="1"/>
        <c:majorTickMark val="none"/>
        <c:minorTickMark val="none"/>
        <c:tickLblPos val="nextTo"/>
        <c:crossAx val="187719592"/>
        <c:crosses val="autoZero"/>
        <c:auto val="1"/>
        <c:lblAlgn val="ctr"/>
        <c:lblOffset val="100"/>
        <c:noMultiLvlLbl val="0"/>
      </c:catAx>
      <c:valAx>
        <c:axId val="187719592"/>
        <c:scaling>
          <c:orientation val="minMax"/>
        </c:scaling>
        <c:delete val="0"/>
        <c:axPos val="l"/>
        <c:majorGridlines/>
        <c:numFmt formatCode="#,##0" sourceLinked="1"/>
        <c:majorTickMark val="none"/>
        <c:minorTickMark val="none"/>
        <c:tickLblPos val="nextTo"/>
        <c:spPr>
          <a:ln w="9525">
            <a:noFill/>
          </a:ln>
        </c:spPr>
        <c:crossAx val="187719200"/>
        <c:crosses val="autoZero"/>
        <c:crossBetween val="between"/>
      </c:valAx>
      <c:valAx>
        <c:axId val="187719984"/>
        <c:scaling>
          <c:orientation val="minMax"/>
        </c:scaling>
        <c:delete val="0"/>
        <c:axPos val="r"/>
        <c:numFmt formatCode="0.0%" sourceLinked="1"/>
        <c:majorTickMark val="out"/>
        <c:minorTickMark val="none"/>
        <c:tickLblPos val="nextTo"/>
        <c:crossAx val="187720376"/>
        <c:crosses val="max"/>
        <c:crossBetween val="between"/>
      </c:valAx>
      <c:catAx>
        <c:axId val="187720376"/>
        <c:scaling>
          <c:orientation val="minMax"/>
        </c:scaling>
        <c:delete val="1"/>
        <c:axPos val="b"/>
        <c:numFmt formatCode="General" sourceLinked="1"/>
        <c:majorTickMark val="out"/>
        <c:minorTickMark val="none"/>
        <c:tickLblPos val="nextTo"/>
        <c:crossAx val="187719984"/>
        <c:crosses val="autoZero"/>
        <c:auto val="1"/>
        <c:lblAlgn val="ctr"/>
        <c:lblOffset val="100"/>
        <c:noMultiLvlLbl val="0"/>
      </c:catAx>
    </c:plotArea>
    <c:legend>
      <c:legendPos val="b"/>
      <c:overlay val="0"/>
      <c:spPr>
        <a:ln>
          <a:solidFill>
            <a:schemeClr val="tx1"/>
          </a:solidFill>
        </a:ln>
      </c:spPr>
    </c:legend>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Figure 2: Number of Other</a:t>
            </a:r>
            <a:r>
              <a:rPr lang="en-US" baseline="0"/>
              <a:t> Bankruptcy Filings by 2010 Debtors</a:t>
            </a:r>
            <a:endParaRPr lang="en-US"/>
          </a:p>
        </c:rich>
      </c:tx>
      <c:overlay val="0"/>
      <c:spPr>
        <a:noFill/>
        <a:ln>
          <a:noFill/>
        </a:ln>
        <a:effectLst/>
      </c:spPr>
    </c:title>
    <c:autoTitleDeleted val="0"/>
    <c:plotArea>
      <c:layout/>
      <c:pieChart>
        <c:varyColors val="1"/>
        <c:ser>
          <c:idx val="0"/>
          <c:order val="0"/>
          <c:tx>
            <c:strRef>
              <c:f>Sheet1!$B$1</c:f>
              <c:strCache>
                <c:ptCount val="1"/>
                <c:pt idx="0">
                  <c:v>0</c:v>
                </c:pt>
              </c:strCache>
            </c:strRef>
          </c:tx>
          <c:dPt>
            <c:idx val="0"/>
            <c:bubble3D val="0"/>
            <c:spPr>
              <a:solidFill>
                <a:schemeClr val="dk1">
                  <a:tint val="88500"/>
                </a:schemeClr>
              </a:solidFill>
              <a:ln>
                <a:noFill/>
              </a:ln>
              <a:effectLst/>
            </c:spPr>
            <c:extLst xmlns:c16r2="http://schemas.microsoft.com/office/drawing/2015/06/chart">
              <c:ext xmlns:c16="http://schemas.microsoft.com/office/drawing/2014/chart" uri="{C3380CC4-5D6E-409C-BE32-E72D297353CC}">
                <c16:uniqueId val="{00000001-EE83-41A6-B30E-F790FEB27AB8}"/>
              </c:ext>
            </c:extLst>
          </c:dPt>
          <c:dPt>
            <c:idx val="1"/>
            <c:bubble3D val="0"/>
            <c:spPr>
              <a:solidFill>
                <a:schemeClr val="dk1">
                  <a:tint val="55000"/>
                </a:schemeClr>
              </a:solidFill>
              <a:ln>
                <a:noFill/>
              </a:ln>
              <a:effectLst/>
            </c:spPr>
            <c:extLst xmlns:c16r2="http://schemas.microsoft.com/office/drawing/2015/06/chart">
              <c:ext xmlns:c16="http://schemas.microsoft.com/office/drawing/2014/chart" uri="{C3380CC4-5D6E-409C-BE32-E72D297353CC}">
                <c16:uniqueId val="{00000003-EE83-41A6-B30E-F790FEB27AB8}"/>
              </c:ext>
            </c:extLst>
          </c:dPt>
          <c:dPt>
            <c:idx val="2"/>
            <c:bubble3D val="0"/>
            <c:spPr>
              <a:solidFill>
                <a:schemeClr val="dk1">
                  <a:tint val="75000"/>
                </a:schemeClr>
              </a:solidFill>
              <a:ln>
                <a:noFill/>
              </a:ln>
              <a:effectLst/>
            </c:spPr>
            <c:extLst xmlns:c16r2="http://schemas.microsoft.com/office/drawing/2015/06/chart">
              <c:ext xmlns:c16="http://schemas.microsoft.com/office/drawing/2014/chart" uri="{C3380CC4-5D6E-409C-BE32-E72D297353CC}">
                <c16:uniqueId val="{00000005-EE83-41A6-B30E-F790FEB27AB8}"/>
              </c:ext>
            </c:extLst>
          </c:dPt>
          <c:dPt>
            <c:idx val="3"/>
            <c:bubble3D val="0"/>
            <c:spPr>
              <a:solidFill>
                <a:schemeClr val="dk1">
                  <a:tint val="98500"/>
                </a:schemeClr>
              </a:solidFill>
              <a:ln>
                <a:noFill/>
              </a:ln>
              <a:effectLst/>
            </c:spPr>
            <c:extLst xmlns:c16r2="http://schemas.microsoft.com/office/drawing/2015/06/chart">
              <c:ext xmlns:c16="http://schemas.microsoft.com/office/drawing/2014/chart" uri="{C3380CC4-5D6E-409C-BE32-E72D297353CC}">
                <c16:uniqueId val="{00000007-EE83-41A6-B30E-F790FEB27AB8}"/>
              </c:ext>
            </c:extLst>
          </c:dPt>
          <c:dPt>
            <c:idx val="4"/>
            <c:bubble3D val="0"/>
            <c:spPr>
              <a:solidFill>
                <a:schemeClr val="dk1">
                  <a:tint val="30000"/>
                </a:schemeClr>
              </a:solidFill>
              <a:ln>
                <a:noFill/>
              </a:ln>
              <a:effectLst/>
            </c:spPr>
            <c:extLst xmlns:c16r2="http://schemas.microsoft.com/office/drawing/2015/06/chart">
              <c:ext xmlns:c16="http://schemas.microsoft.com/office/drawing/2014/chart" uri="{C3380CC4-5D6E-409C-BE32-E72D297353CC}">
                <c16:uniqueId val="{00000009-EE83-41A6-B30E-F790FEB27AB8}"/>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None</c:v>
                </c:pt>
                <c:pt idx="1">
                  <c:v>One</c:v>
                </c:pt>
                <c:pt idx="2">
                  <c:v>Two</c:v>
                </c:pt>
                <c:pt idx="3">
                  <c:v>Three</c:v>
                </c:pt>
                <c:pt idx="4">
                  <c:v>Five</c:v>
                </c:pt>
              </c:strCache>
            </c:strRef>
          </c:cat>
          <c:val>
            <c:numRef>
              <c:f>Sheet1!$B$2:$B$6</c:f>
              <c:numCache>
                <c:formatCode>0.0%</c:formatCode>
                <c:ptCount val="5"/>
                <c:pt idx="0">
                  <c:v>0.67900000000000005</c:v>
                </c:pt>
                <c:pt idx="1">
                  <c:v>0.17399999999999999</c:v>
                </c:pt>
                <c:pt idx="2">
                  <c:v>0.10100000000000001</c:v>
                </c:pt>
                <c:pt idx="3">
                  <c:v>2.8000000000000001E-2</c:v>
                </c:pt>
                <c:pt idx="4">
                  <c:v>1.7999999999999999E-2</c:v>
                </c:pt>
              </c:numCache>
            </c:numRef>
          </c:val>
          <c:extLst xmlns:c16r2="http://schemas.microsoft.com/office/drawing/2015/06/chart">
            <c:ext xmlns:c16="http://schemas.microsoft.com/office/drawing/2014/chart" uri="{C3380CC4-5D6E-409C-BE32-E72D297353CC}">
              <c16:uniqueId val="{00000000-91FB-439C-A2EF-8D0EFD2CF755}"/>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0659795129775402"/>
          <c:y val="0.30264966879140098"/>
          <c:w val="0.10633366141732301"/>
          <c:h val="0.4561211098612670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FDFE9-FC15-41C5-900A-AEA6BE6E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30416</Words>
  <Characters>173373</Characters>
  <Application>Microsoft Office Word</Application>
  <DocSecurity>4</DocSecurity>
  <Lines>1444</Lines>
  <Paragraphs>406</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203383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Hynes</dc:creator>
  <cp:lastModifiedBy>MH</cp:lastModifiedBy>
  <cp:revision>2</cp:revision>
  <cp:lastPrinted>2016-08-27T16:33:00Z</cp:lastPrinted>
  <dcterms:created xsi:type="dcterms:W3CDTF">2016-10-19T16:25:00Z</dcterms:created>
  <dcterms:modified xsi:type="dcterms:W3CDTF">2016-10-19T16:25:00Z</dcterms:modified>
</cp:coreProperties>
</file>